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29"/>
        <w:bidiVisual/>
        <w:tblW w:w="8520" w:type="dxa"/>
        <w:tblLayout w:type="fixed"/>
        <w:tblLook w:val="0000" w:firstRow="0" w:lastRow="0" w:firstColumn="0" w:lastColumn="0" w:noHBand="0" w:noVBand="0"/>
      </w:tblPr>
      <w:tblGrid>
        <w:gridCol w:w="2840"/>
        <w:gridCol w:w="2850"/>
        <w:gridCol w:w="2830"/>
      </w:tblGrid>
      <w:tr w:rsidR="007F4980" w:rsidRPr="00542073" w14:paraId="0E8A9439" w14:textId="77777777" w:rsidTr="008B7C99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C7089" w14:textId="77777777" w:rsidR="007F4980" w:rsidRDefault="007F4980" w:rsidP="007F4980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42073">
              <w:rPr>
                <w:rFonts w:cstheme="minorHAnsi"/>
                <w:b/>
                <w:bCs/>
                <w:sz w:val="24"/>
                <w:szCs w:val="24"/>
                <w:rtl/>
              </w:rPr>
              <w:t>בנק ישראל</w:t>
            </w:r>
          </w:p>
          <w:p w14:paraId="14B0B2C8" w14:textId="2FE659B6" w:rsidR="007F4980" w:rsidRPr="007F4980" w:rsidRDefault="007F4980" w:rsidP="007F4980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42073">
              <w:rPr>
                <w:rFonts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59C75FB9" w14:textId="77777777" w:rsidR="007F4980" w:rsidRPr="00542073" w:rsidRDefault="007F4980" w:rsidP="007F49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207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564FDAF" wp14:editId="3E651E82">
                  <wp:extent cx="676275" cy="676275"/>
                  <wp:effectExtent l="0" t="0" r="9525" b="9525"/>
                  <wp:docPr id="1" name="תמונה 1" descr="C:\Users\U240\AppData\Local\Microsoft\Windows\INetCache\Content.Word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240\AppData\Local\Microsoft\Windows\INetCache\Content.Word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01778" w14:textId="77777777" w:rsidR="007F4980" w:rsidRPr="00542073" w:rsidRDefault="007F4980" w:rsidP="007F4980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542073">
              <w:rPr>
                <w:rFonts w:cstheme="minorHAnsi"/>
                <w:sz w:val="24"/>
                <w:szCs w:val="24"/>
                <w:rtl/>
              </w:rPr>
              <w:t xml:space="preserve">‏ירושלים, </w:t>
            </w:r>
            <w:r>
              <w:rPr>
                <w:rFonts w:cstheme="minorHAnsi" w:hint="cs"/>
                <w:sz w:val="24"/>
                <w:szCs w:val="24"/>
                <w:rtl/>
              </w:rPr>
              <w:t>כ"ה</w:t>
            </w:r>
            <w:r w:rsidRPr="00542073">
              <w:rPr>
                <w:rFonts w:cstheme="minorHAnsi"/>
                <w:sz w:val="24"/>
                <w:szCs w:val="24"/>
                <w:rtl/>
              </w:rPr>
              <w:t xml:space="preserve"> תמוז, תשפ"ד</w:t>
            </w:r>
          </w:p>
          <w:p w14:paraId="0E813994" w14:textId="57302842" w:rsidR="007F4980" w:rsidRPr="00542073" w:rsidRDefault="007F4980" w:rsidP="008B7C99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542073">
              <w:rPr>
                <w:rFonts w:cstheme="minorHAnsi"/>
                <w:sz w:val="24"/>
                <w:szCs w:val="24"/>
                <w:rtl/>
              </w:rPr>
              <w:t>‏‏</w:t>
            </w:r>
            <w:r>
              <w:rPr>
                <w:rFonts w:cstheme="minorHAnsi" w:hint="cs"/>
                <w:sz w:val="24"/>
                <w:szCs w:val="24"/>
                <w:rtl/>
              </w:rPr>
              <w:t>3</w:t>
            </w:r>
            <w:r w:rsidR="008B7C99">
              <w:rPr>
                <w:rFonts w:cstheme="minorHAnsi" w:hint="cs"/>
                <w:sz w:val="24"/>
                <w:szCs w:val="24"/>
                <w:rtl/>
              </w:rPr>
              <w:t>1</w:t>
            </w:r>
            <w:bookmarkStart w:id="0" w:name="_GoBack"/>
            <w:bookmarkEnd w:id="0"/>
            <w:r>
              <w:rPr>
                <w:rFonts w:cstheme="minorHAnsi" w:hint="cs"/>
                <w:sz w:val="24"/>
                <w:szCs w:val="24"/>
                <w:rtl/>
              </w:rPr>
              <w:t xml:space="preserve"> יולי 2024</w:t>
            </w:r>
          </w:p>
        </w:tc>
      </w:tr>
    </w:tbl>
    <w:p w14:paraId="40FF9177" w14:textId="77777777" w:rsidR="006C3A1C" w:rsidRPr="00575FFF" w:rsidRDefault="006C3A1C" w:rsidP="006C3A1C">
      <w:pPr>
        <w:pStyle w:val="a3"/>
        <w:jc w:val="right"/>
        <w:rPr>
          <w:rFonts w:cs="Calibri"/>
          <w:rtl/>
        </w:rPr>
      </w:pPr>
    </w:p>
    <w:p w14:paraId="68FBEF2D" w14:textId="42F637EA" w:rsidR="00F20AD5" w:rsidRPr="007F4980" w:rsidRDefault="007F4980" w:rsidP="007F4980">
      <w:pPr>
        <w:spacing w:line="360" w:lineRule="auto"/>
        <w:rPr>
          <w:rFonts w:cs="Calibri"/>
          <w:rtl/>
        </w:rPr>
      </w:pPr>
      <w:r w:rsidRPr="007F4980">
        <w:rPr>
          <w:rFonts w:cs="Calibri" w:hint="cs"/>
          <w:rtl/>
        </w:rPr>
        <w:t>הודעה לעיתונות:</w:t>
      </w:r>
    </w:p>
    <w:p w14:paraId="00872701" w14:textId="77777777" w:rsidR="007F4980" w:rsidRPr="007F4980" w:rsidRDefault="007F4980" w:rsidP="00E47240">
      <w:pPr>
        <w:pStyle w:val="a7"/>
        <w:spacing w:line="360" w:lineRule="auto"/>
        <w:ind w:left="510"/>
        <w:jc w:val="center"/>
        <w:rPr>
          <w:rFonts w:cs="Calibri"/>
          <w:rtl/>
        </w:rPr>
      </w:pPr>
    </w:p>
    <w:p w14:paraId="24137022" w14:textId="5BEFFD7F" w:rsidR="00615E31" w:rsidRPr="00E47240" w:rsidRDefault="006814C8" w:rsidP="00E47240">
      <w:pPr>
        <w:pStyle w:val="a7"/>
        <w:spacing w:line="360" w:lineRule="auto"/>
        <w:ind w:left="510"/>
        <w:jc w:val="center"/>
        <w:rPr>
          <w:rFonts w:cs="Calibri"/>
          <w:b/>
          <w:bCs/>
          <w:rtl/>
        </w:rPr>
      </w:pPr>
      <w:r w:rsidRPr="00E47240">
        <w:rPr>
          <w:rFonts w:cs="Calibri" w:hint="cs"/>
          <w:b/>
          <w:bCs/>
          <w:rtl/>
        </w:rPr>
        <w:t>הכרזה על "</w:t>
      </w:r>
      <w:r w:rsidR="00E47240" w:rsidRPr="00E47240">
        <w:rPr>
          <w:rFonts w:cs="Calibri" w:hint="cs"/>
          <w:b/>
          <w:bCs/>
          <w:rtl/>
        </w:rPr>
        <w:t>סכמת</w:t>
      </w:r>
      <w:r w:rsidR="00201CCF" w:rsidRPr="00E47240">
        <w:rPr>
          <w:rFonts w:cs="Calibri"/>
          <w:b/>
          <w:bCs/>
          <w:rtl/>
        </w:rPr>
        <w:t xml:space="preserve"> כרטיסי חיוב</w:t>
      </w:r>
      <w:r w:rsidRPr="00E47240">
        <w:rPr>
          <w:rFonts w:cs="Calibri" w:hint="cs"/>
          <w:b/>
          <w:bCs/>
          <w:rtl/>
        </w:rPr>
        <w:t>" כמערכת תשלומים מבוקרת</w:t>
      </w:r>
    </w:p>
    <w:p w14:paraId="18C19994" w14:textId="77777777" w:rsidR="008165BF" w:rsidRDefault="006814C8" w:rsidP="00F20AD5">
      <w:pPr>
        <w:spacing w:line="360" w:lineRule="auto"/>
        <w:jc w:val="both"/>
        <w:rPr>
          <w:rFonts w:cs="Calibri"/>
          <w:rtl/>
        </w:rPr>
      </w:pPr>
      <w:r w:rsidRPr="00CD50E9">
        <w:rPr>
          <w:rFonts w:cs="Calibri"/>
          <w:rtl/>
        </w:rPr>
        <w:t>נגיד בנק ישראל הכריז על מערכת "</w:t>
      </w:r>
      <w:r w:rsidR="002B0801" w:rsidRPr="00CD50E9">
        <w:rPr>
          <w:rFonts w:cs="Calibri" w:hint="cs"/>
          <w:rtl/>
        </w:rPr>
        <w:t>סכמת</w:t>
      </w:r>
      <w:r w:rsidR="00201CCF" w:rsidRPr="00CD50E9">
        <w:rPr>
          <w:rFonts w:cs="Calibri"/>
          <w:rtl/>
        </w:rPr>
        <w:t xml:space="preserve"> כרטיסי חיוב</w:t>
      </w:r>
      <w:r w:rsidRPr="00CD50E9">
        <w:rPr>
          <w:rFonts w:cs="Calibri"/>
          <w:rtl/>
        </w:rPr>
        <w:t>"</w:t>
      </w:r>
      <w:r w:rsidR="002B0801" w:rsidRPr="00CD50E9">
        <w:rPr>
          <w:rFonts w:cs="Calibri" w:hint="cs"/>
          <w:rtl/>
        </w:rPr>
        <w:t>, הידוע</w:t>
      </w:r>
      <w:r w:rsidR="00D74AC5" w:rsidRPr="00CD50E9">
        <w:rPr>
          <w:rFonts w:cs="Calibri" w:hint="cs"/>
          <w:rtl/>
        </w:rPr>
        <w:t>ה בשמה "</w:t>
      </w:r>
      <w:r w:rsidR="002B0801" w:rsidRPr="00CD50E9">
        <w:rPr>
          <w:rFonts w:cs="Calibri" w:hint="cs"/>
          <w:rtl/>
        </w:rPr>
        <w:t>ההסכם המקומי</w:t>
      </w:r>
      <w:r w:rsidR="00D74AC5" w:rsidRPr="00CD50E9">
        <w:rPr>
          <w:rFonts w:cs="Calibri" w:hint="cs"/>
          <w:rtl/>
        </w:rPr>
        <w:t>"</w:t>
      </w:r>
      <w:r w:rsidR="00EE6981" w:rsidRPr="00CD50E9">
        <w:rPr>
          <w:rFonts w:cs="Calibri" w:hint="cs"/>
          <w:rtl/>
        </w:rPr>
        <w:t xml:space="preserve"> </w:t>
      </w:r>
      <w:r w:rsidRPr="00CD50E9">
        <w:rPr>
          <w:rFonts w:cs="Calibri"/>
          <w:rtl/>
        </w:rPr>
        <w:t>המופעלת על ידי</w:t>
      </w:r>
      <w:r w:rsidRPr="00CD50E9">
        <w:rPr>
          <w:rFonts w:cs="Calibri" w:hint="cs"/>
          <w:rtl/>
        </w:rPr>
        <w:t xml:space="preserve"> חברת שב"א</w:t>
      </w:r>
      <w:r w:rsidR="002F4058">
        <w:rPr>
          <w:rFonts w:cs="Calibri" w:hint="cs"/>
          <w:rtl/>
        </w:rPr>
        <w:t xml:space="preserve"> כ</w:t>
      </w:r>
      <w:r w:rsidRPr="00CD50E9">
        <w:rPr>
          <w:rFonts w:cs="Calibri"/>
          <w:rtl/>
        </w:rPr>
        <w:t xml:space="preserve">מערכת מבוקרת לפי חוק מערכות תשלומים, </w:t>
      </w:r>
      <w:proofErr w:type="spellStart"/>
      <w:r w:rsidRPr="00CD50E9">
        <w:rPr>
          <w:rFonts w:cs="Calibri"/>
          <w:rtl/>
        </w:rPr>
        <w:t>התשס"ח</w:t>
      </w:r>
      <w:proofErr w:type="spellEnd"/>
      <w:r w:rsidRPr="00CD50E9">
        <w:rPr>
          <w:rFonts w:cs="Calibri"/>
          <w:rtl/>
        </w:rPr>
        <w:t xml:space="preserve"> – 2008.</w:t>
      </w:r>
    </w:p>
    <w:p w14:paraId="562D7258" w14:textId="77777777" w:rsidR="00F20AD5" w:rsidRPr="00F20AD5" w:rsidRDefault="00F20AD5" w:rsidP="00F20AD5">
      <w:pPr>
        <w:spacing w:line="360" w:lineRule="auto"/>
        <w:jc w:val="both"/>
        <w:rPr>
          <w:rFonts w:cs="Calibri"/>
          <w:rtl/>
        </w:rPr>
      </w:pPr>
    </w:p>
    <w:p w14:paraId="288880EC" w14:textId="54831958" w:rsidR="007F50B2" w:rsidRDefault="006814C8" w:rsidP="007B0CDC">
      <w:pPr>
        <w:spacing w:line="360" w:lineRule="auto"/>
        <w:jc w:val="both"/>
        <w:rPr>
          <w:rFonts w:cs="Calibri"/>
          <w:rtl/>
        </w:rPr>
      </w:pPr>
      <w:r>
        <w:rPr>
          <w:rFonts w:cs="Calibri" w:hint="cs"/>
          <w:rtl/>
        </w:rPr>
        <w:t>סכמת</w:t>
      </w:r>
      <w:r w:rsidR="00201CCF" w:rsidRPr="00CD50E9">
        <w:rPr>
          <w:rFonts w:cs="Calibri"/>
          <w:rtl/>
        </w:rPr>
        <w:t xml:space="preserve"> כרטיסי חיוב</w:t>
      </w:r>
      <w:r w:rsidR="00ED73E9" w:rsidRPr="00CD50E9">
        <w:rPr>
          <w:rFonts w:cs="Calibri" w:hint="cs"/>
          <w:rtl/>
        </w:rPr>
        <w:t xml:space="preserve"> </w:t>
      </w:r>
      <w:r w:rsidR="004502BF" w:rsidRPr="00CD50E9">
        <w:rPr>
          <w:rFonts w:cs="Calibri" w:hint="cs"/>
          <w:rtl/>
        </w:rPr>
        <w:t>מהווה סט כללים</w:t>
      </w:r>
      <w:r w:rsidR="00EE6981" w:rsidRPr="00CD50E9">
        <w:rPr>
          <w:rFonts w:cs="Calibri" w:hint="cs"/>
          <w:rtl/>
        </w:rPr>
        <w:t xml:space="preserve"> בין</w:t>
      </w:r>
      <w:r w:rsidR="004502BF" w:rsidRPr="00CD50E9">
        <w:rPr>
          <w:rFonts w:cs="Calibri" w:hint="cs"/>
          <w:rtl/>
        </w:rPr>
        <w:t xml:space="preserve"> מנפיקים </w:t>
      </w:r>
      <w:r w:rsidR="00EB366B" w:rsidRPr="00CD50E9">
        <w:rPr>
          <w:rFonts w:cs="Calibri" w:hint="cs"/>
          <w:rtl/>
        </w:rPr>
        <w:t xml:space="preserve">לבין </w:t>
      </w:r>
      <w:proofErr w:type="spellStart"/>
      <w:r w:rsidR="004502BF" w:rsidRPr="00CD50E9">
        <w:rPr>
          <w:rFonts w:cs="Calibri" w:hint="cs"/>
          <w:rtl/>
        </w:rPr>
        <w:t>סולקים</w:t>
      </w:r>
      <w:proofErr w:type="spellEnd"/>
      <w:r w:rsidR="004502BF" w:rsidRPr="00CD50E9">
        <w:rPr>
          <w:rFonts w:cs="Calibri" w:hint="cs"/>
          <w:rtl/>
        </w:rPr>
        <w:t xml:space="preserve"> </w:t>
      </w:r>
      <w:r w:rsidR="007B0CDC">
        <w:rPr>
          <w:rFonts w:cs="Calibri" w:hint="cs"/>
          <w:rtl/>
        </w:rPr>
        <w:t xml:space="preserve">בישראל </w:t>
      </w:r>
      <w:r w:rsidR="004502BF" w:rsidRPr="00CD50E9">
        <w:rPr>
          <w:rFonts w:cs="Calibri" w:hint="cs"/>
          <w:rtl/>
        </w:rPr>
        <w:t xml:space="preserve">לעניין </w:t>
      </w:r>
      <w:r w:rsidR="007B0CDC">
        <w:rPr>
          <w:rFonts w:cs="Calibri" w:hint="cs"/>
          <w:rtl/>
        </w:rPr>
        <w:t>פעילותם</w:t>
      </w:r>
      <w:r w:rsidR="007B0CDC" w:rsidRPr="00CD50E9">
        <w:rPr>
          <w:rFonts w:cs="Calibri" w:hint="cs"/>
          <w:rtl/>
        </w:rPr>
        <w:t xml:space="preserve"> </w:t>
      </w:r>
      <w:r w:rsidR="00ED73E9" w:rsidRPr="00CD50E9">
        <w:rPr>
          <w:rFonts w:cs="Calibri" w:hint="cs"/>
          <w:rtl/>
        </w:rPr>
        <w:t>בתחום</w:t>
      </w:r>
      <w:r w:rsidR="00D6321F" w:rsidRPr="00CD50E9">
        <w:rPr>
          <w:rFonts w:cs="Calibri" w:hint="cs"/>
          <w:rtl/>
        </w:rPr>
        <w:t xml:space="preserve"> כרטיסי החיוב</w:t>
      </w:r>
      <w:r w:rsidR="004502BF" w:rsidRPr="00CD50E9">
        <w:rPr>
          <w:rFonts w:cs="Calibri" w:hint="cs"/>
          <w:rtl/>
        </w:rPr>
        <w:t>.</w:t>
      </w:r>
      <w:r w:rsidR="00ED73E9" w:rsidRPr="00CD50E9">
        <w:rPr>
          <w:rFonts w:cs="Calibri" w:hint="cs"/>
          <w:rtl/>
        </w:rPr>
        <w:t xml:space="preserve"> </w:t>
      </w:r>
    </w:p>
    <w:p w14:paraId="17C6A73E" w14:textId="68A7AF13" w:rsidR="00EC2826" w:rsidRPr="005D540A" w:rsidRDefault="00F779E2" w:rsidP="007B0CDC">
      <w:pPr>
        <w:spacing w:line="360" w:lineRule="auto"/>
        <w:jc w:val="both"/>
        <w:rPr>
          <w:rFonts w:cs="Calibri"/>
          <w:rtl/>
        </w:rPr>
      </w:pPr>
      <w:r>
        <w:rPr>
          <w:rFonts w:cs="Calibri" w:hint="cs"/>
          <w:rtl/>
        </w:rPr>
        <w:t>הסכמה</w:t>
      </w:r>
      <w:r w:rsidR="0000309E">
        <w:rPr>
          <w:rFonts w:cs="Calibri" w:hint="cs"/>
          <w:rtl/>
        </w:rPr>
        <w:t xml:space="preserve"> מהווה תשתית שוק פיננסי </w:t>
      </w:r>
      <w:r w:rsidR="007B0CDC">
        <w:rPr>
          <w:rFonts w:cs="Calibri" w:hint="cs"/>
          <w:rtl/>
        </w:rPr>
        <w:t>חיונית למערך התשלומים בישראל</w:t>
      </w:r>
      <w:r w:rsidR="00D917E6" w:rsidRPr="00CD50E9">
        <w:rPr>
          <w:rFonts w:cs="Calibri" w:hint="cs"/>
          <w:rtl/>
        </w:rPr>
        <w:t xml:space="preserve">, </w:t>
      </w:r>
      <w:r w:rsidR="004502BF" w:rsidRPr="00CD50E9">
        <w:rPr>
          <w:rFonts w:cs="Calibri" w:hint="cs"/>
          <w:rtl/>
        </w:rPr>
        <w:t xml:space="preserve">הן </w:t>
      </w:r>
      <w:r w:rsidR="001F2249" w:rsidRPr="00CD50E9">
        <w:rPr>
          <w:rFonts w:cs="Calibri" w:hint="cs"/>
          <w:rtl/>
        </w:rPr>
        <w:t>בשל השפעת</w:t>
      </w:r>
      <w:r w:rsidR="007F50B2">
        <w:rPr>
          <w:rFonts w:cs="Calibri" w:hint="cs"/>
          <w:rtl/>
        </w:rPr>
        <w:t xml:space="preserve">ה </w:t>
      </w:r>
      <w:r w:rsidR="001F2249" w:rsidRPr="00CD50E9">
        <w:rPr>
          <w:rFonts w:cs="Calibri" w:hint="cs"/>
          <w:rtl/>
        </w:rPr>
        <w:t xml:space="preserve"> על עיצוב המאפיינים לשימוש באמצעי תשלום זה, והן </w:t>
      </w:r>
      <w:r w:rsidR="004502BF" w:rsidRPr="00CD50E9">
        <w:rPr>
          <w:rFonts w:cs="Calibri" w:hint="cs"/>
          <w:rtl/>
        </w:rPr>
        <w:t xml:space="preserve">בשל היותה כרטיס הכניסה של שחקנים לשוק כרטיסי החיוב בישראל </w:t>
      </w:r>
      <w:r w:rsidR="001F2249" w:rsidRPr="005D540A">
        <w:rPr>
          <w:rFonts w:cs="Calibri" w:hint="cs"/>
          <w:rtl/>
        </w:rPr>
        <w:t>.</w:t>
      </w:r>
      <w:r w:rsidR="00353576" w:rsidRPr="005D540A">
        <w:rPr>
          <w:rFonts w:cs="Calibri" w:hint="cs"/>
          <w:rtl/>
        </w:rPr>
        <w:t xml:space="preserve"> </w:t>
      </w:r>
      <w:r w:rsidR="007B0CDC">
        <w:rPr>
          <w:rFonts w:cs="Calibri" w:hint="cs"/>
          <w:rtl/>
        </w:rPr>
        <w:t xml:space="preserve">כמו כן, </w:t>
      </w:r>
      <w:r w:rsidR="00BC3C01">
        <w:rPr>
          <w:rFonts w:cs="Calibri" w:hint="cs"/>
          <w:rtl/>
        </w:rPr>
        <w:t>קיימת חשיבות לשמור על התקינות, היעילות והאמינות של הסכמה על מנת להבטיח את פעילותו התקינה של מערך התשלומים.</w:t>
      </w:r>
    </w:p>
    <w:p w14:paraId="3B0AB045" w14:textId="261AE367" w:rsidR="00353576" w:rsidRPr="00907497" w:rsidRDefault="0000309E" w:rsidP="00F779E2">
      <w:pPr>
        <w:spacing w:line="360" w:lineRule="auto"/>
        <w:jc w:val="both"/>
        <w:rPr>
          <w:rFonts w:cs="Calibri"/>
          <w:color w:val="FF0000"/>
          <w:rtl/>
        </w:rPr>
      </w:pPr>
      <w:r>
        <w:rPr>
          <w:rFonts w:cs="Calibri" w:hint="cs"/>
          <w:rtl/>
        </w:rPr>
        <w:t>תשתיות שוק פיננסיות</w:t>
      </w:r>
      <w:r w:rsidRPr="00A622EE">
        <w:rPr>
          <w:rFonts w:cs="Calibri" w:hint="cs"/>
          <w:rtl/>
        </w:rPr>
        <w:t xml:space="preserve"> אמינות, יציבות ויעילות הכרחיות לתפקוד היעיל של המערכת הפיננ</w:t>
      </w:r>
      <w:r>
        <w:rPr>
          <w:rFonts w:cs="Calibri" w:hint="cs"/>
          <w:rtl/>
        </w:rPr>
        <w:t>סית. בהתאם</w:t>
      </w:r>
      <w:r w:rsidR="00F779E2">
        <w:rPr>
          <w:rFonts w:cs="Calibri" w:hint="cs"/>
          <w:rtl/>
        </w:rPr>
        <w:t xml:space="preserve">, </w:t>
      </w:r>
      <w:r w:rsidR="006814C8" w:rsidRPr="008165BF">
        <w:rPr>
          <w:rFonts w:cs="Calibri"/>
          <w:rtl/>
        </w:rPr>
        <w:t xml:space="preserve">ההכרזה תאפשר </w:t>
      </w:r>
      <w:r w:rsidR="004E37F6">
        <w:rPr>
          <w:rFonts w:cs="Calibri" w:hint="cs"/>
          <w:rtl/>
        </w:rPr>
        <w:t>לבנק ישראל</w:t>
      </w:r>
      <w:r w:rsidR="00D42CE1">
        <w:rPr>
          <w:rFonts w:cs="Calibri" w:hint="cs"/>
          <w:rtl/>
        </w:rPr>
        <w:t xml:space="preserve"> לפקח על הסכמה</w:t>
      </w:r>
      <w:r>
        <w:rPr>
          <w:rFonts w:cs="Calibri" w:hint="cs"/>
          <w:rtl/>
        </w:rPr>
        <w:t xml:space="preserve">, </w:t>
      </w:r>
      <w:r w:rsidR="00D42CE1">
        <w:rPr>
          <w:rFonts w:cs="Calibri" w:hint="cs"/>
          <w:rtl/>
        </w:rPr>
        <w:t xml:space="preserve"> </w:t>
      </w:r>
      <w:r>
        <w:rPr>
          <w:rFonts w:cs="Calibri" w:hint="cs"/>
          <w:rtl/>
        </w:rPr>
        <w:t>כדי</w:t>
      </w:r>
      <w:r w:rsidR="00D42CE1">
        <w:rPr>
          <w:rFonts w:cs="Calibri" w:hint="cs"/>
          <w:rtl/>
        </w:rPr>
        <w:t xml:space="preserve"> להבטיח </w:t>
      </w:r>
      <w:r w:rsidR="00232D3D">
        <w:rPr>
          <w:rFonts w:cs="Calibri" w:hint="cs"/>
          <w:rtl/>
        </w:rPr>
        <w:t>את</w:t>
      </w:r>
      <w:r w:rsidR="006814C8" w:rsidRPr="008165BF">
        <w:rPr>
          <w:rFonts w:cs="Calibri"/>
          <w:rtl/>
        </w:rPr>
        <w:t xml:space="preserve"> </w:t>
      </w:r>
      <w:r w:rsidR="00E47240">
        <w:rPr>
          <w:rFonts w:cs="Calibri" w:hint="cs"/>
          <w:rtl/>
        </w:rPr>
        <w:t>יציבות</w:t>
      </w:r>
      <w:r>
        <w:rPr>
          <w:rFonts w:cs="Calibri" w:hint="cs"/>
          <w:rtl/>
        </w:rPr>
        <w:t>ה</w:t>
      </w:r>
      <w:r w:rsidR="00E47240">
        <w:rPr>
          <w:rFonts w:cs="Calibri" w:hint="cs"/>
          <w:rtl/>
        </w:rPr>
        <w:t xml:space="preserve"> ו</w:t>
      </w:r>
      <w:r w:rsidR="006814C8" w:rsidRPr="008165BF">
        <w:rPr>
          <w:rFonts w:cs="Calibri"/>
          <w:rtl/>
        </w:rPr>
        <w:t>יעילות</w:t>
      </w:r>
      <w:r>
        <w:rPr>
          <w:rFonts w:cs="Calibri" w:hint="cs"/>
          <w:rtl/>
        </w:rPr>
        <w:t>ה</w:t>
      </w:r>
      <w:r w:rsidR="00F779E2">
        <w:rPr>
          <w:rFonts w:cs="Calibri" w:hint="cs"/>
          <w:rtl/>
        </w:rPr>
        <w:t>.</w:t>
      </w:r>
    </w:p>
    <w:p w14:paraId="24190A21" w14:textId="59A3ADDF" w:rsidR="00D74AC5" w:rsidRPr="00CD50E9" w:rsidRDefault="006814C8" w:rsidP="002264AC">
      <w:pPr>
        <w:spacing w:line="360" w:lineRule="auto"/>
        <w:jc w:val="both"/>
        <w:rPr>
          <w:rFonts w:cs="Calibri"/>
        </w:rPr>
      </w:pPr>
      <w:r w:rsidRPr="00CD50E9">
        <w:rPr>
          <w:rFonts w:cs="Calibri" w:hint="cs"/>
          <w:rtl/>
        </w:rPr>
        <w:t>מר עודד סלומי, מנהל מחלקת תשלומים וסליקה: "</w:t>
      </w:r>
      <w:r w:rsidR="00C34B64" w:rsidRPr="00CD50E9">
        <w:rPr>
          <w:rFonts w:cs="Calibri" w:hint="cs"/>
          <w:rtl/>
        </w:rPr>
        <w:t xml:space="preserve">ההכרזה </w:t>
      </w:r>
      <w:r w:rsidRPr="00CD50E9">
        <w:rPr>
          <w:rFonts w:cs="Calibri" w:hint="cs"/>
          <w:rtl/>
        </w:rPr>
        <w:t xml:space="preserve">על מערכת "סכמת כרטיסי חיוב" </w:t>
      </w:r>
      <w:r w:rsidR="00A47AB3" w:rsidRPr="00CD50E9">
        <w:rPr>
          <w:rFonts w:cs="Calibri" w:hint="cs"/>
          <w:rtl/>
        </w:rPr>
        <w:t>ה</w:t>
      </w:r>
      <w:r w:rsidR="00A47AB3">
        <w:rPr>
          <w:rFonts w:cs="Calibri" w:hint="cs"/>
          <w:rtl/>
        </w:rPr>
        <w:t xml:space="preserve">יא </w:t>
      </w:r>
      <w:r w:rsidRPr="00CD50E9">
        <w:rPr>
          <w:rFonts w:cs="Calibri" w:hint="cs"/>
          <w:rtl/>
        </w:rPr>
        <w:t xml:space="preserve">חלק מהצעדים </w:t>
      </w:r>
      <w:r w:rsidR="00C34B64" w:rsidRPr="00CD50E9">
        <w:rPr>
          <w:rFonts w:cs="Calibri" w:hint="cs"/>
          <w:rtl/>
        </w:rPr>
        <w:t>שמקדם</w:t>
      </w:r>
      <w:r w:rsidRPr="00CD50E9">
        <w:rPr>
          <w:rFonts w:cs="Calibri" w:hint="cs"/>
          <w:rtl/>
        </w:rPr>
        <w:t xml:space="preserve"> בנק ישראל </w:t>
      </w:r>
      <w:r w:rsidR="00F779E2">
        <w:rPr>
          <w:rFonts w:cs="Calibri" w:hint="cs"/>
          <w:rtl/>
        </w:rPr>
        <w:t>להבטחת</w:t>
      </w:r>
      <w:r w:rsidRPr="00CD50E9">
        <w:rPr>
          <w:rFonts w:cs="Calibri" w:hint="cs"/>
          <w:rtl/>
        </w:rPr>
        <w:t xml:space="preserve"> </w:t>
      </w:r>
      <w:r w:rsidR="00C34B64" w:rsidRPr="00CD50E9">
        <w:rPr>
          <w:rFonts w:cs="Calibri" w:hint="cs"/>
          <w:rtl/>
        </w:rPr>
        <w:t xml:space="preserve">היעילות </w:t>
      </w:r>
      <w:r>
        <w:rPr>
          <w:rFonts w:cs="Calibri" w:hint="cs"/>
          <w:rtl/>
        </w:rPr>
        <w:t xml:space="preserve">והיציבות </w:t>
      </w:r>
      <w:r w:rsidR="00F779E2">
        <w:rPr>
          <w:rFonts w:cs="Calibri" w:hint="cs"/>
          <w:rtl/>
        </w:rPr>
        <w:t>של תשתיות השוק הפיננסי בישראל</w:t>
      </w:r>
      <w:r w:rsidR="002F4058">
        <w:rPr>
          <w:rFonts w:cs="Calibri" w:hint="cs"/>
          <w:rtl/>
        </w:rPr>
        <w:t xml:space="preserve">. </w:t>
      </w:r>
      <w:r w:rsidR="002264AC">
        <w:rPr>
          <w:rFonts w:cs="Calibri" w:hint="cs"/>
          <w:rtl/>
        </w:rPr>
        <w:t xml:space="preserve">כמערכת מבוקרת, הסכמה תהיה כפופה לבקרה של </w:t>
      </w:r>
      <w:r w:rsidR="00A47AB3">
        <w:rPr>
          <w:rFonts w:cs="Calibri" w:hint="cs"/>
          <w:rtl/>
        </w:rPr>
        <w:t xml:space="preserve"> </w:t>
      </w:r>
      <w:r w:rsidR="00FF0326" w:rsidRPr="00CD50E9">
        <w:rPr>
          <w:rFonts w:cs="Calibri" w:hint="cs"/>
          <w:rtl/>
        </w:rPr>
        <w:t>בנק ישראל</w:t>
      </w:r>
      <w:r w:rsidR="002264AC">
        <w:rPr>
          <w:rFonts w:cs="Calibri" w:hint="cs"/>
          <w:rtl/>
        </w:rPr>
        <w:t>, שבין השאר,</w:t>
      </w:r>
      <w:r w:rsidRPr="00CD50E9">
        <w:rPr>
          <w:rFonts w:cs="Calibri" w:hint="cs"/>
          <w:rtl/>
        </w:rPr>
        <w:t xml:space="preserve"> </w:t>
      </w:r>
      <w:r w:rsidR="00E47240" w:rsidRPr="00CD50E9">
        <w:rPr>
          <w:rFonts w:cs="Calibri" w:hint="cs"/>
          <w:rtl/>
        </w:rPr>
        <w:t xml:space="preserve">יוודא </w:t>
      </w:r>
      <w:r w:rsidR="00FF0326" w:rsidRPr="00CD50E9">
        <w:rPr>
          <w:rFonts w:cs="Calibri" w:hint="cs"/>
          <w:rtl/>
        </w:rPr>
        <w:t>ש</w:t>
      </w:r>
      <w:r w:rsidR="002A19EE">
        <w:rPr>
          <w:rFonts w:cs="Calibri" w:hint="cs"/>
          <w:rtl/>
        </w:rPr>
        <w:t>כללי הסכמה</w:t>
      </w:r>
      <w:r w:rsidR="00C34B64" w:rsidRPr="00CD50E9">
        <w:rPr>
          <w:rFonts w:cs="Calibri" w:hint="cs"/>
          <w:rtl/>
        </w:rPr>
        <w:t xml:space="preserve"> </w:t>
      </w:r>
      <w:r w:rsidR="00FF0326" w:rsidRPr="00CD50E9">
        <w:rPr>
          <w:rFonts w:cs="Calibri" w:hint="cs"/>
          <w:rtl/>
        </w:rPr>
        <w:t xml:space="preserve">מתאימים </w:t>
      </w:r>
      <w:r w:rsidR="00C34B64" w:rsidRPr="00CD50E9">
        <w:rPr>
          <w:rFonts w:cs="Calibri" w:hint="cs"/>
          <w:rtl/>
        </w:rPr>
        <w:t>לשינויים שהתרחשו ב</w:t>
      </w:r>
      <w:r w:rsidR="00F20AD5">
        <w:rPr>
          <w:rFonts w:cs="Calibri" w:hint="cs"/>
          <w:rtl/>
        </w:rPr>
        <w:t xml:space="preserve">שנים האחרונות </w:t>
      </w:r>
      <w:r>
        <w:rPr>
          <w:rFonts w:cs="Calibri" w:hint="cs"/>
          <w:rtl/>
        </w:rPr>
        <w:t>ואשר צ</w:t>
      </w:r>
      <w:r w:rsidR="002E1000">
        <w:rPr>
          <w:rFonts w:cs="Calibri" w:hint="cs"/>
          <w:rtl/>
        </w:rPr>
        <w:t>פ</w:t>
      </w:r>
      <w:r>
        <w:rPr>
          <w:rFonts w:cs="Calibri" w:hint="cs"/>
          <w:rtl/>
        </w:rPr>
        <w:t xml:space="preserve">ויים בשנים הקרובות, </w:t>
      </w:r>
      <w:r w:rsidR="002A19EE">
        <w:rPr>
          <w:rFonts w:cs="Calibri" w:hint="cs"/>
          <w:rtl/>
        </w:rPr>
        <w:t>ויתנו מענה לצרכי המשתתפים</w:t>
      </w:r>
      <w:r w:rsidR="00C60ABC">
        <w:rPr>
          <w:rFonts w:cs="Calibri" w:hint="cs"/>
          <w:rtl/>
        </w:rPr>
        <w:t xml:space="preserve">. </w:t>
      </w:r>
      <w:r w:rsidR="002A19EE">
        <w:rPr>
          <w:rFonts w:cs="Calibri" w:hint="cs"/>
          <w:rtl/>
        </w:rPr>
        <w:t xml:space="preserve">ההכרזה מהווה צעד נוסף שיעודד כניסת שחקנים חדשים לפעילות </w:t>
      </w:r>
      <w:r w:rsidR="002264AC">
        <w:rPr>
          <w:rFonts w:cs="Calibri" w:hint="cs"/>
          <w:rtl/>
        </w:rPr>
        <w:t>ולשימושים של תשתיות השוק הפיננסי</w:t>
      </w:r>
      <w:r w:rsidR="002A19EE">
        <w:rPr>
          <w:rFonts w:cs="Calibri" w:hint="cs"/>
          <w:rtl/>
        </w:rPr>
        <w:t xml:space="preserve"> בישראל</w:t>
      </w:r>
      <w:r w:rsidR="002A19EE" w:rsidRPr="00CD50E9">
        <w:rPr>
          <w:rFonts w:cs="Calibri" w:hint="cs"/>
          <w:rtl/>
        </w:rPr>
        <w:t>.</w:t>
      </w:r>
      <w:r w:rsidRPr="00CD50E9">
        <w:rPr>
          <w:rFonts w:cs="Calibri" w:hint="cs"/>
          <w:rtl/>
        </w:rPr>
        <w:t>"</w:t>
      </w:r>
    </w:p>
    <w:sectPr w:rsidR="00D74AC5" w:rsidRPr="00CD50E9" w:rsidSect="00826356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635D" w14:textId="77777777" w:rsidR="00833BE4" w:rsidRDefault="00833BE4">
      <w:pPr>
        <w:spacing w:after="0" w:line="240" w:lineRule="auto"/>
      </w:pPr>
      <w:r>
        <w:separator/>
      </w:r>
    </w:p>
  </w:endnote>
  <w:endnote w:type="continuationSeparator" w:id="0">
    <w:p w14:paraId="3EB14978" w14:textId="77777777" w:rsidR="00833BE4" w:rsidRDefault="0083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98F3B" w14:textId="77777777" w:rsidR="00833BE4" w:rsidRDefault="00833BE4">
      <w:pPr>
        <w:spacing w:after="0" w:line="240" w:lineRule="auto"/>
      </w:pPr>
      <w:r>
        <w:separator/>
      </w:r>
    </w:p>
  </w:footnote>
  <w:footnote w:type="continuationSeparator" w:id="0">
    <w:p w14:paraId="375F35FC" w14:textId="77777777" w:rsidR="00833BE4" w:rsidRDefault="0083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A261" w14:textId="49EAD873" w:rsidR="006C3A1C" w:rsidRDefault="006C3A1C" w:rsidP="006C3A1C">
    <w:pPr>
      <w:pStyle w:val="a3"/>
      <w:ind w:hanging="1475"/>
      <w:jc w:val="center"/>
      <w:rPr>
        <w:rtl/>
      </w:rPr>
    </w:pPr>
  </w:p>
  <w:p w14:paraId="42A015F7" w14:textId="77777777" w:rsidR="006C3A1C" w:rsidRDefault="006C3A1C" w:rsidP="006C3A1C">
    <w:pPr>
      <w:pStyle w:val="a3"/>
      <w:ind w:hanging="1475"/>
      <w:jc w:val="center"/>
      <w:rPr>
        <w:rtl/>
      </w:rPr>
    </w:pPr>
  </w:p>
  <w:p w14:paraId="12777D73" w14:textId="77777777" w:rsidR="006C3A1C" w:rsidRDefault="006C3A1C" w:rsidP="006C3A1C">
    <w:pPr>
      <w:pStyle w:val="a3"/>
      <w:ind w:hanging="1475"/>
      <w:jc w:val="center"/>
      <w:rPr>
        <w:rtl/>
      </w:rPr>
    </w:pPr>
  </w:p>
  <w:p w14:paraId="0D145AA7" w14:textId="77777777" w:rsidR="006C3A1C" w:rsidRDefault="006C3A1C" w:rsidP="006C3A1C">
    <w:pPr>
      <w:pStyle w:val="a3"/>
      <w:ind w:hanging="147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296"/>
    <w:multiLevelType w:val="hybridMultilevel"/>
    <w:tmpl w:val="CED0AAF2"/>
    <w:lvl w:ilvl="0" w:tplc="23FA9B5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76AE8ACA" w:tentative="1">
      <w:start w:val="1"/>
      <w:numFmt w:val="lowerLetter"/>
      <w:lvlText w:val="%2."/>
      <w:lvlJc w:val="left"/>
      <w:pPr>
        <w:ind w:left="1230" w:hanging="360"/>
      </w:pPr>
    </w:lvl>
    <w:lvl w:ilvl="2" w:tplc="CE2044AE" w:tentative="1">
      <w:start w:val="1"/>
      <w:numFmt w:val="lowerRoman"/>
      <w:lvlText w:val="%3."/>
      <w:lvlJc w:val="right"/>
      <w:pPr>
        <w:ind w:left="1950" w:hanging="180"/>
      </w:pPr>
    </w:lvl>
    <w:lvl w:ilvl="3" w:tplc="36163B54" w:tentative="1">
      <w:start w:val="1"/>
      <w:numFmt w:val="decimal"/>
      <w:lvlText w:val="%4."/>
      <w:lvlJc w:val="left"/>
      <w:pPr>
        <w:ind w:left="2670" w:hanging="360"/>
      </w:pPr>
    </w:lvl>
    <w:lvl w:ilvl="4" w:tplc="6720D18E" w:tentative="1">
      <w:start w:val="1"/>
      <w:numFmt w:val="lowerLetter"/>
      <w:lvlText w:val="%5."/>
      <w:lvlJc w:val="left"/>
      <w:pPr>
        <w:ind w:left="3390" w:hanging="360"/>
      </w:pPr>
    </w:lvl>
    <w:lvl w:ilvl="5" w:tplc="D63691DA" w:tentative="1">
      <w:start w:val="1"/>
      <w:numFmt w:val="lowerRoman"/>
      <w:lvlText w:val="%6."/>
      <w:lvlJc w:val="right"/>
      <w:pPr>
        <w:ind w:left="4110" w:hanging="180"/>
      </w:pPr>
    </w:lvl>
    <w:lvl w:ilvl="6" w:tplc="BC161878" w:tentative="1">
      <w:start w:val="1"/>
      <w:numFmt w:val="decimal"/>
      <w:lvlText w:val="%7."/>
      <w:lvlJc w:val="left"/>
      <w:pPr>
        <w:ind w:left="4830" w:hanging="360"/>
      </w:pPr>
    </w:lvl>
    <w:lvl w:ilvl="7" w:tplc="06F089AA" w:tentative="1">
      <w:start w:val="1"/>
      <w:numFmt w:val="lowerLetter"/>
      <w:lvlText w:val="%8."/>
      <w:lvlJc w:val="left"/>
      <w:pPr>
        <w:ind w:left="5550" w:hanging="360"/>
      </w:pPr>
    </w:lvl>
    <w:lvl w:ilvl="8" w:tplc="E1B8FB5E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1C"/>
    <w:rsid w:val="0000309E"/>
    <w:rsid w:val="0000654B"/>
    <w:rsid w:val="00051CE8"/>
    <w:rsid w:val="000A5591"/>
    <w:rsid w:val="000B2161"/>
    <w:rsid w:val="00127F92"/>
    <w:rsid w:val="00157478"/>
    <w:rsid w:val="00176169"/>
    <w:rsid w:val="00190348"/>
    <w:rsid w:val="001E4A14"/>
    <w:rsid w:val="001F1655"/>
    <w:rsid w:val="001F2249"/>
    <w:rsid w:val="001F77DD"/>
    <w:rsid w:val="00201CCF"/>
    <w:rsid w:val="00225F35"/>
    <w:rsid w:val="002264AC"/>
    <w:rsid w:val="00232D3D"/>
    <w:rsid w:val="002333C9"/>
    <w:rsid w:val="00245D75"/>
    <w:rsid w:val="00247FDA"/>
    <w:rsid w:val="002821A2"/>
    <w:rsid w:val="00290A17"/>
    <w:rsid w:val="002A19EE"/>
    <w:rsid w:val="002B0801"/>
    <w:rsid w:val="002B2CA4"/>
    <w:rsid w:val="002B77FA"/>
    <w:rsid w:val="002D37B9"/>
    <w:rsid w:val="002E1000"/>
    <w:rsid w:val="002F4058"/>
    <w:rsid w:val="00323729"/>
    <w:rsid w:val="00324974"/>
    <w:rsid w:val="00353576"/>
    <w:rsid w:val="00353ED8"/>
    <w:rsid w:val="00361C5C"/>
    <w:rsid w:val="00365CF6"/>
    <w:rsid w:val="00386341"/>
    <w:rsid w:val="00394508"/>
    <w:rsid w:val="003A46AD"/>
    <w:rsid w:val="003C2748"/>
    <w:rsid w:val="003C7463"/>
    <w:rsid w:val="00423C4E"/>
    <w:rsid w:val="004373D7"/>
    <w:rsid w:val="004502BF"/>
    <w:rsid w:val="0048632E"/>
    <w:rsid w:val="00493E37"/>
    <w:rsid w:val="00495B8E"/>
    <w:rsid w:val="004A2003"/>
    <w:rsid w:val="004A3013"/>
    <w:rsid w:val="004A63D5"/>
    <w:rsid w:val="004C0976"/>
    <w:rsid w:val="004C51B4"/>
    <w:rsid w:val="004E37F6"/>
    <w:rsid w:val="004F1F94"/>
    <w:rsid w:val="005010F7"/>
    <w:rsid w:val="00512428"/>
    <w:rsid w:val="005147BB"/>
    <w:rsid w:val="00515F4A"/>
    <w:rsid w:val="005207C9"/>
    <w:rsid w:val="00575FFF"/>
    <w:rsid w:val="00584853"/>
    <w:rsid w:val="00585413"/>
    <w:rsid w:val="005C243C"/>
    <w:rsid w:val="005C6D44"/>
    <w:rsid w:val="005D1106"/>
    <w:rsid w:val="005D540A"/>
    <w:rsid w:val="005F0E2A"/>
    <w:rsid w:val="00615E31"/>
    <w:rsid w:val="006814C8"/>
    <w:rsid w:val="006C3A1C"/>
    <w:rsid w:val="006D76C6"/>
    <w:rsid w:val="006F1EF3"/>
    <w:rsid w:val="0070211E"/>
    <w:rsid w:val="007050C6"/>
    <w:rsid w:val="00707552"/>
    <w:rsid w:val="00712AA8"/>
    <w:rsid w:val="00722687"/>
    <w:rsid w:val="00740841"/>
    <w:rsid w:val="00740B74"/>
    <w:rsid w:val="00741967"/>
    <w:rsid w:val="007B0CDC"/>
    <w:rsid w:val="007E410E"/>
    <w:rsid w:val="007E4205"/>
    <w:rsid w:val="007F4980"/>
    <w:rsid w:val="007F50B2"/>
    <w:rsid w:val="007F70E2"/>
    <w:rsid w:val="007F747D"/>
    <w:rsid w:val="00805CAB"/>
    <w:rsid w:val="00812046"/>
    <w:rsid w:val="008165BF"/>
    <w:rsid w:val="008235AE"/>
    <w:rsid w:val="00826356"/>
    <w:rsid w:val="00833BE4"/>
    <w:rsid w:val="008412E1"/>
    <w:rsid w:val="00853CCF"/>
    <w:rsid w:val="00856039"/>
    <w:rsid w:val="008639B1"/>
    <w:rsid w:val="008705B0"/>
    <w:rsid w:val="00872071"/>
    <w:rsid w:val="008B7C99"/>
    <w:rsid w:val="008F6452"/>
    <w:rsid w:val="00907497"/>
    <w:rsid w:val="009220FA"/>
    <w:rsid w:val="0092360C"/>
    <w:rsid w:val="00944CD5"/>
    <w:rsid w:val="00945620"/>
    <w:rsid w:val="00946CA6"/>
    <w:rsid w:val="0097733B"/>
    <w:rsid w:val="00984702"/>
    <w:rsid w:val="009A03D4"/>
    <w:rsid w:val="009F08CC"/>
    <w:rsid w:val="00A47AB3"/>
    <w:rsid w:val="00A74B17"/>
    <w:rsid w:val="00AD2BAA"/>
    <w:rsid w:val="00AE4C38"/>
    <w:rsid w:val="00AF19B5"/>
    <w:rsid w:val="00AF5C03"/>
    <w:rsid w:val="00B2765C"/>
    <w:rsid w:val="00B539E3"/>
    <w:rsid w:val="00B6367A"/>
    <w:rsid w:val="00BA6CA6"/>
    <w:rsid w:val="00BC3C01"/>
    <w:rsid w:val="00BC484F"/>
    <w:rsid w:val="00BC6938"/>
    <w:rsid w:val="00BC7B6C"/>
    <w:rsid w:val="00C26983"/>
    <w:rsid w:val="00C34B64"/>
    <w:rsid w:val="00C56B7D"/>
    <w:rsid w:val="00C60ABC"/>
    <w:rsid w:val="00C75B03"/>
    <w:rsid w:val="00C76698"/>
    <w:rsid w:val="00C80055"/>
    <w:rsid w:val="00C82A88"/>
    <w:rsid w:val="00CD50E9"/>
    <w:rsid w:val="00CE6671"/>
    <w:rsid w:val="00CF611B"/>
    <w:rsid w:val="00D32866"/>
    <w:rsid w:val="00D42CE1"/>
    <w:rsid w:val="00D56EB3"/>
    <w:rsid w:val="00D6321F"/>
    <w:rsid w:val="00D74AC5"/>
    <w:rsid w:val="00D917E6"/>
    <w:rsid w:val="00DB3E8D"/>
    <w:rsid w:val="00DF13EB"/>
    <w:rsid w:val="00E113A7"/>
    <w:rsid w:val="00E47240"/>
    <w:rsid w:val="00E47E18"/>
    <w:rsid w:val="00E70881"/>
    <w:rsid w:val="00E91BE1"/>
    <w:rsid w:val="00EA5B2F"/>
    <w:rsid w:val="00EB366B"/>
    <w:rsid w:val="00EC1D19"/>
    <w:rsid w:val="00EC2826"/>
    <w:rsid w:val="00ED73E9"/>
    <w:rsid w:val="00ED7CF6"/>
    <w:rsid w:val="00EE6981"/>
    <w:rsid w:val="00EF2402"/>
    <w:rsid w:val="00F20AD5"/>
    <w:rsid w:val="00F56706"/>
    <w:rsid w:val="00F779E2"/>
    <w:rsid w:val="00F81AD1"/>
    <w:rsid w:val="00FA3363"/>
    <w:rsid w:val="00FB3B5A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E17B8A"/>
  <w15:docId w15:val="{292CC27B-FF2B-45D4-BAEF-B934C9A0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1C"/>
    <w:pPr>
      <w:bidi/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C3A1C"/>
  </w:style>
  <w:style w:type="paragraph" w:styleId="a5">
    <w:name w:val="footer"/>
    <w:basedOn w:val="a"/>
    <w:link w:val="a6"/>
    <w:uiPriority w:val="99"/>
    <w:unhideWhenUsed/>
    <w:rsid w:val="006C3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C3A1C"/>
  </w:style>
  <w:style w:type="paragraph" w:styleId="a7">
    <w:name w:val="List Paragraph"/>
    <w:basedOn w:val="a"/>
    <w:uiPriority w:val="34"/>
    <w:qFormat/>
    <w:rsid w:val="00575FF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86341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15E31"/>
    <w:rPr>
      <w:color w:val="954F72"/>
      <w:u w:val="single"/>
    </w:rPr>
  </w:style>
  <w:style w:type="character" w:styleId="a8">
    <w:name w:val="annotation reference"/>
    <w:basedOn w:val="a0"/>
    <w:uiPriority w:val="99"/>
    <w:semiHidden/>
    <w:unhideWhenUsed/>
    <w:rsid w:val="003249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24974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32497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4974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32497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497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324974"/>
    <w:rPr>
      <w:rFonts w:ascii="Tahoma" w:hAnsi="Tahoma" w:cs="Tahoma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4A63D5"/>
    <w:pPr>
      <w:spacing w:after="0" w:line="240" w:lineRule="auto"/>
    </w:pPr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4A63D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A63D5"/>
    <w:rPr>
      <w:vertAlign w:val="superscript"/>
    </w:rPr>
  </w:style>
  <w:style w:type="paragraph" w:customStyle="1" w:styleId="p00">
    <w:name w:val="p00"/>
    <w:basedOn w:val="a"/>
    <w:rsid w:val="00D42C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a0"/>
    <w:rsid w:val="00D42CE1"/>
  </w:style>
  <w:style w:type="paragraph" w:styleId="NormalWeb">
    <w:name w:val="Normal (Web)"/>
    <w:basedOn w:val="a"/>
    <w:uiPriority w:val="99"/>
    <w:semiHidden/>
    <w:unhideWhenUsed/>
    <w:rsid w:val="00F779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CA64-E6F0-4CDE-9151-40DC6786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1080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ליאת מאיר</dc:creator>
  <cp:lastModifiedBy>לירון דהן</cp:lastModifiedBy>
  <cp:revision>2</cp:revision>
  <dcterms:created xsi:type="dcterms:W3CDTF">2024-07-31T11:00:00Z</dcterms:created>
  <dcterms:modified xsi:type="dcterms:W3CDTF">2024-07-31T11:00:00Z</dcterms:modified>
</cp:coreProperties>
</file>