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32" w:rsidRDefault="00033A32" w:rsidP="00033A32">
      <w:pPr>
        <w:bidi/>
        <w:spacing w:line="360" w:lineRule="auto"/>
        <w:ind w:right="-101"/>
        <w:rPr>
          <w:rFonts w:ascii="David" w:hAnsi="David" w:cs="David"/>
          <w:sz w:val="24"/>
          <w:szCs w:val="24"/>
          <w:rtl/>
        </w:rPr>
      </w:pPr>
    </w:p>
    <w:tbl>
      <w:tblPr>
        <w:tblpPr w:leftFromText="180" w:rightFromText="180" w:vertAnchor="page" w:horzAnchor="margin" w:tblpXSpec="center" w:tblpY="991"/>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033A32" w:rsidRPr="00033A32" w:rsidTr="00BE17D4">
        <w:tc>
          <w:tcPr>
            <w:tcW w:w="3343" w:type="dxa"/>
            <w:tcBorders>
              <w:top w:val="nil"/>
              <w:left w:val="nil"/>
              <w:bottom w:val="nil"/>
              <w:right w:val="nil"/>
            </w:tcBorders>
            <w:vAlign w:val="center"/>
          </w:tcPr>
          <w:p w:rsidR="00033A32" w:rsidRPr="00033A32" w:rsidRDefault="00033A32" w:rsidP="00033A32">
            <w:pPr>
              <w:bidi/>
              <w:spacing w:after="200" w:line="480" w:lineRule="auto"/>
              <w:ind w:left="97"/>
              <w:jc w:val="center"/>
              <w:rPr>
                <w:rFonts w:asciiTheme="minorHAnsi" w:eastAsiaTheme="minorHAnsi" w:hAnsiTheme="minorHAnsi" w:cs="David"/>
                <w:b/>
                <w:bCs/>
                <w:sz w:val="24"/>
                <w:szCs w:val="24"/>
                <w:lang w:eastAsia="en-US"/>
              </w:rPr>
            </w:pPr>
            <w:r w:rsidRPr="00033A32">
              <w:rPr>
                <w:rFonts w:asciiTheme="minorHAnsi" w:eastAsiaTheme="minorHAnsi" w:hAnsiTheme="minorHAnsi" w:cs="David"/>
                <w:b/>
                <w:bCs/>
                <w:sz w:val="24"/>
                <w:szCs w:val="24"/>
                <w:rtl/>
                <w:lang w:eastAsia="en-US"/>
              </w:rPr>
              <w:t>בנ</w:t>
            </w:r>
            <w:r w:rsidRPr="00033A32">
              <w:rPr>
                <w:rFonts w:asciiTheme="minorHAnsi" w:eastAsiaTheme="minorHAnsi" w:hAnsiTheme="minorHAnsi" w:cs="David" w:hint="cs"/>
                <w:b/>
                <w:bCs/>
                <w:sz w:val="24"/>
                <w:szCs w:val="24"/>
                <w:rtl/>
                <w:lang w:eastAsia="en-US"/>
              </w:rPr>
              <w:t xml:space="preserve">ק </w:t>
            </w:r>
            <w:r w:rsidRPr="00033A32">
              <w:rPr>
                <w:rFonts w:asciiTheme="minorHAnsi" w:eastAsiaTheme="minorHAnsi" w:hAnsiTheme="minorHAnsi" w:cs="David"/>
                <w:b/>
                <w:bCs/>
                <w:sz w:val="24"/>
                <w:szCs w:val="24"/>
                <w:rtl/>
                <w:lang w:eastAsia="en-US"/>
              </w:rPr>
              <w:t>יש</w:t>
            </w:r>
            <w:r w:rsidRPr="00033A32">
              <w:rPr>
                <w:rFonts w:asciiTheme="minorHAnsi" w:eastAsiaTheme="minorHAnsi" w:hAnsiTheme="minorHAnsi" w:cs="David" w:hint="cs"/>
                <w:b/>
                <w:bCs/>
                <w:sz w:val="24"/>
                <w:szCs w:val="24"/>
                <w:rtl/>
                <w:lang w:eastAsia="en-US"/>
              </w:rPr>
              <w:t>ראל</w:t>
            </w:r>
          </w:p>
          <w:p w:rsidR="00033A32" w:rsidRPr="00033A32" w:rsidRDefault="00033A32" w:rsidP="00033A32">
            <w:pPr>
              <w:bidi/>
              <w:spacing w:after="200" w:line="480" w:lineRule="auto"/>
              <w:ind w:left="97" w:right="-101"/>
              <w:jc w:val="center"/>
              <w:rPr>
                <w:rFonts w:asciiTheme="minorHAnsi" w:eastAsiaTheme="minorHAnsi" w:hAnsiTheme="minorHAnsi" w:cstheme="minorBidi"/>
                <w:sz w:val="24"/>
                <w:szCs w:val="24"/>
                <w:lang w:eastAsia="en-US"/>
              </w:rPr>
            </w:pPr>
            <w:r w:rsidRPr="00033A32">
              <w:rPr>
                <w:rFonts w:asciiTheme="minorHAnsi" w:eastAsiaTheme="minorHAnsi" w:hAnsiTheme="minorHAnsi" w:cs="David"/>
                <w:sz w:val="24"/>
                <w:szCs w:val="24"/>
                <w:rtl/>
                <w:lang w:eastAsia="en-US"/>
              </w:rPr>
              <w:t>דו</w:t>
            </w:r>
            <w:r w:rsidRPr="00033A32">
              <w:rPr>
                <w:rFonts w:asciiTheme="minorHAnsi" w:eastAsiaTheme="minorHAnsi" w:hAnsiTheme="minorHAnsi" w:cs="David" w:hint="cs"/>
                <w:sz w:val="24"/>
                <w:szCs w:val="24"/>
                <w:rtl/>
                <w:lang w:eastAsia="en-US"/>
              </w:rPr>
              <w:t>בר</w:t>
            </w:r>
            <w:r w:rsidRPr="00033A32">
              <w:rPr>
                <w:rFonts w:asciiTheme="minorHAnsi" w:eastAsiaTheme="minorHAnsi" w:hAnsiTheme="minorHAnsi" w:cs="David"/>
                <w:sz w:val="24"/>
                <w:szCs w:val="24"/>
                <w:rtl/>
                <w:lang w:eastAsia="en-US"/>
              </w:rPr>
              <w:t>ות</w:t>
            </w:r>
            <w:r w:rsidRPr="00033A32">
              <w:rPr>
                <w:rFonts w:asciiTheme="minorHAnsi" w:eastAsiaTheme="minorHAnsi" w:hAnsiTheme="minorHAnsi" w:cs="David" w:hint="cs"/>
                <w:sz w:val="24"/>
                <w:szCs w:val="24"/>
                <w:rtl/>
                <w:lang w:eastAsia="en-US"/>
              </w:rPr>
              <w:t xml:space="preserve"> והסברה כלכלית</w:t>
            </w:r>
          </w:p>
        </w:tc>
        <w:tc>
          <w:tcPr>
            <w:tcW w:w="2596" w:type="dxa"/>
            <w:tcBorders>
              <w:top w:val="nil"/>
              <w:left w:val="nil"/>
              <w:bottom w:val="nil"/>
              <w:right w:val="nil"/>
            </w:tcBorders>
            <w:shd w:val="clear" w:color="auto" w:fill="FFFFFF" w:themeFill="background1"/>
          </w:tcPr>
          <w:p w:rsidR="00033A32" w:rsidRPr="00033A32" w:rsidRDefault="00033A32" w:rsidP="00033A32">
            <w:pPr>
              <w:bidi/>
              <w:spacing w:after="200" w:line="276" w:lineRule="auto"/>
              <w:jc w:val="center"/>
              <w:rPr>
                <w:rFonts w:asciiTheme="minorHAnsi" w:eastAsiaTheme="minorHAnsi" w:hAnsiTheme="minorHAnsi" w:cstheme="minorBidi"/>
                <w:sz w:val="24"/>
                <w:szCs w:val="24"/>
                <w:lang w:eastAsia="en-US"/>
              </w:rPr>
            </w:pPr>
            <w:r w:rsidRPr="00033A32">
              <w:rPr>
                <w:rFonts w:asciiTheme="minorHAnsi" w:eastAsiaTheme="minorHAnsi" w:hAnsiTheme="minorHAnsi" w:cstheme="minorBidi"/>
                <w:noProof/>
                <w:sz w:val="24"/>
                <w:szCs w:val="24"/>
                <w:lang w:eastAsia="en-US"/>
              </w:rPr>
              <w:drawing>
                <wp:inline distT="0" distB="0" distL="0" distR="0" wp14:anchorId="605459B5" wp14:editId="1F0268F8">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033A32" w:rsidRPr="00033A32" w:rsidRDefault="00033A32" w:rsidP="00033A32">
            <w:pPr>
              <w:bidi/>
              <w:spacing w:after="200" w:line="480" w:lineRule="auto"/>
              <w:jc w:val="right"/>
              <w:rPr>
                <w:rFonts w:asciiTheme="minorHAnsi" w:eastAsiaTheme="minorHAnsi" w:hAnsiTheme="minorHAnsi" w:cs="David"/>
                <w:sz w:val="24"/>
                <w:szCs w:val="24"/>
                <w:lang w:eastAsia="en-US"/>
              </w:rPr>
            </w:pPr>
            <w:r w:rsidRPr="00033A32">
              <w:rPr>
                <w:rFonts w:asciiTheme="minorHAnsi" w:eastAsiaTheme="minorHAnsi" w:hAnsiTheme="minorHAnsi" w:cs="David" w:hint="eastAsia"/>
                <w:sz w:val="24"/>
                <w:szCs w:val="24"/>
                <w:rtl/>
                <w:lang w:eastAsia="en-US"/>
              </w:rPr>
              <w:t>‏</w:t>
            </w:r>
            <w:r w:rsidRPr="00033A32">
              <w:rPr>
                <w:rFonts w:asciiTheme="minorHAnsi" w:eastAsiaTheme="minorHAnsi" w:hAnsiTheme="minorHAnsi" w:cs="David" w:hint="cs"/>
                <w:sz w:val="24"/>
                <w:szCs w:val="24"/>
                <w:rtl/>
                <w:lang w:eastAsia="en-US"/>
              </w:rPr>
              <w:t xml:space="preserve">ירושלים, </w:t>
            </w:r>
            <w:r>
              <w:rPr>
                <w:rFonts w:asciiTheme="minorHAnsi" w:eastAsiaTheme="minorHAnsi" w:hAnsiTheme="minorHAnsi" w:cs="David" w:hint="cs"/>
                <w:sz w:val="24"/>
                <w:szCs w:val="24"/>
                <w:rtl/>
                <w:lang w:eastAsia="en-US"/>
              </w:rPr>
              <w:t>כ"ד</w:t>
            </w:r>
            <w:r w:rsidRPr="00033A32">
              <w:rPr>
                <w:rFonts w:asciiTheme="minorHAnsi" w:eastAsiaTheme="minorHAnsi" w:hAnsiTheme="minorHAnsi" w:cs="David" w:hint="cs"/>
                <w:sz w:val="24"/>
                <w:szCs w:val="24"/>
                <w:rtl/>
                <w:lang w:eastAsia="en-US"/>
              </w:rPr>
              <w:t xml:space="preserve"> בכסלו</w:t>
            </w:r>
            <w:r w:rsidRPr="00033A32">
              <w:rPr>
                <w:rFonts w:asciiTheme="minorHAnsi" w:eastAsiaTheme="minorHAnsi" w:hAnsiTheme="minorHAnsi" w:cs="David"/>
                <w:sz w:val="24"/>
                <w:szCs w:val="24"/>
                <w:rtl/>
                <w:lang w:eastAsia="en-US"/>
              </w:rPr>
              <w:t>, תש</w:t>
            </w:r>
            <w:r w:rsidRPr="00033A32">
              <w:rPr>
                <w:rFonts w:asciiTheme="minorHAnsi" w:eastAsiaTheme="minorHAnsi" w:hAnsiTheme="minorHAnsi" w:cs="David" w:hint="cs"/>
                <w:sz w:val="24"/>
                <w:szCs w:val="24"/>
                <w:rtl/>
                <w:lang w:eastAsia="en-US"/>
              </w:rPr>
              <w:t>"ף</w:t>
            </w:r>
          </w:p>
          <w:p w:rsidR="00033A32" w:rsidRPr="00033A32" w:rsidRDefault="00033A32" w:rsidP="00033A32">
            <w:pPr>
              <w:bidi/>
              <w:spacing w:after="200" w:line="480" w:lineRule="auto"/>
              <w:jc w:val="right"/>
              <w:rPr>
                <w:rFonts w:asciiTheme="minorHAnsi" w:eastAsiaTheme="minorHAnsi" w:hAnsiTheme="minorHAnsi" w:cs="David"/>
                <w:sz w:val="24"/>
                <w:szCs w:val="24"/>
                <w:lang w:eastAsia="en-US"/>
              </w:rPr>
            </w:pPr>
            <w:r>
              <w:rPr>
                <w:rFonts w:asciiTheme="minorHAnsi" w:eastAsiaTheme="minorHAnsi" w:hAnsiTheme="minorHAnsi" w:cs="David" w:hint="cs"/>
                <w:sz w:val="24"/>
                <w:szCs w:val="24"/>
                <w:rtl/>
                <w:lang w:eastAsia="en-US"/>
              </w:rPr>
              <w:t>22</w:t>
            </w:r>
            <w:r w:rsidRPr="00033A32">
              <w:rPr>
                <w:rFonts w:asciiTheme="minorHAnsi" w:eastAsiaTheme="minorHAnsi" w:hAnsiTheme="minorHAnsi" w:cs="David" w:hint="cs"/>
                <w:sz w:val="24"/>
                <w:szCs w:val="24"/>
                <w:rtl/>
                <w:lang w:eastAsia="en-US"/>
              </w:rPr>
              <w:t xml:space="preserve"> בדצמבר 2019</w:t>
            </w:r>
          </w:p>
        </w:tc>
      </w:tr>
    </w:tbl>
    <w:p w:rsidR="00C9322A" w:rsidRPr="00033A32" w:rsidRDefault="00C9322A" w:rsidP="00033A32">
      <w:pPr>
        <w:bidi/>
        <w:spacing w:line="360" w:lineRule="auto"/>
        <w:ind w:right="-101"/>
        <w:rPr>
          <w:rFonts w:ascii="David" w:hAnsi="David" w:cs="David"/>
          <w:sz w:val="24"/>
          <w:szCs w:val="24"/>
          <w:rtl/>
        </w:rPr>
      </w:pPr>
      <w:r w:rsidRPr="00033A32">
        <w:rPr>
          <w:rFonts w:ascii="David" w:hAnsi="David" w:cs="David"/>
          <w:sz w:val="24"/>
          <w:szCs w:val="24"/>
          <w:rtl/>
        </w:rPr>
        <w:t>הודעה לעיתונות:</w:t>
      </w:r>
    </w:p>
    <w:p w:rsidR="00033A32" w:rsidRPr="00033A32" w:rsidRDefault="00033A32" w:rsidP="00033A32">
      <w:pPr>
        <w:bidi/>
        <w:spacing w:line="360" w:lineRule="auto"/>
        <w:ind w:right="-101"/>
        <w:rPr>
          <w:rFonts w:ascii="David" w:hAnsi="David" w:cs="David"/>
          <w:sz w:val="24"/>
          <w:szCs w:val="24"/>
          <w:rtl/>
        </w:rPr>
      </w:pPr>
    </w:p>
    <w:p w:rsidR="00C9322A" w:rsidRPr="00033A32" w:rsidRDefault="00C9322A" w:rsidP="00D80AE9">
      <w:pPr>
        <w:pStyle w:val="af4"/>
        <w:rPr>
          <w:rFonts w:ascii="David" w:hAnsi="David" w:cs="David"/>
          <w:rtl/>
        </w:rPr>
      </w:pPr>
      <w:bookmarkStart w:id="0" w:name="_GoBack"/>
      <w:r w:rsidRPr="00033A32">
        <w:rPr>
          <w:rFonts w:ascii="David" w:hAnsi="David" w:cs="David"/>
          <w:rtl/>
        </w:rPr>
        <w:t xml:space="preserve">התפתחות החוב </w:t>
      </w:r>
      <w:r w:rsidR="00802DF3" w:rsidRPr="00033A32">
        <w:rPr>
          <w:rFonts w:ascii="David" w:hAnsi="David" w:cs="David"/>
          <w:rtl/>
        </w:rPr>
        <w:t xml:space="preserve">של המגזר הפרטי </w:t>
      </w:r>
      <w:r w:rsidR="0077544B" w:rsidRPr="00033A32">
        <w:rPr>
          <w:rFonts w:ascii="David" w:hAnsi="David" w:cs="David"/>
          <w:rtl/>
        </w:rPr>
        <w:t>הלא</w:t>
      </w:r>
      <w:r w:rsidR="00E44E3D" w:rsidRPr="00033A32">
        <w:rPr>
          <w:rFonts w:ascii="David" w:hAnsi="David" w:cs="David"/>
          <w:rtl/>
        </w:rPr>
        <w:t>-</w:t>
      </w:r>
      <w:r w:rsidR="0077544B" w:rsidRPr="00033A32">
        <w:rPr>
          <w:rFonts w:ascii="David" w:hAnsi="David" w:cs="David"/>
          <w:rtl/>
        </w:rPr>
        <w:t xml:space="preserve">פיננסי </w:t>
      </w:r>
      <w:r w:rsidR="00FC2095" w:rsidRPr="00033A32">
        <w:rPr>
          <w:rFonts w:ascii="David" w:hAnsi="David" w:cs="David"/>
          <w:rtl/>
        </w:rPr>
        <w:t xml:space="preserve">ברביע </w:t>
      </w:r>
      <w:r w:rsidR="00E44E3D" w:rsidRPr="00033A32">
        <w:rPr>
          <w:rFonts w:ascii="David" w:hAnsi="David" w:cs="David"/>
          <w:rtl/>
        </w:rPr>
        <w:t>ה</w:t>
      </w:r>
      <w:r w:rsidR="00D80AE9" w:rsidRPr="00033A32">
        <w:rPr>
          <w:rFonts w:ascii="David" w:hAnsi="David" w:cs="David"/>
          <w:rtl/>
        </w:rPr>
        <w:t>שלישי</w:t>
      </w:r>
      <w:r w:rsidR="00802DF3" w:rsidRPr="00033A32">
        <w:rPr>
          <w:rFonts w:ascii="David" w:hAnsi="David" w:cs="David"/>
          <w:rtl/>
        </w:rPr>
        <w:t xml:space="preserve"> של</w:t>
      </w:r>
      <w:r w:rsidRPr="00033A32">
        <w:rPr>
          <w:rFonts w:ascii="David" w:hAnsi="David" w:cs="David"/>
          <w:rtl/>
        </w:rPr>
        <w:t xml:space="preserve"> </w:t>
      </w:r>
      <w:r w:rsidR="00A06D00" w:rsidRPr="00033A32">
        <w:rPr>
          <w:rFonts w:ascii="David" w:hAnsi="David" w:cs="David"/>
          <w:rtl/>
        </w:rPr>
        <w:t>201</w:t>
      </w:r>
      <w:r w:rsidR="00F902C8" w:rsidRPr="00033A32">
        <w:rPr>
          <w:rFonts w:ascii="David" w:hAnsi="David" w:cs="David"/>
          <w:rtl/>
        </w:rPr>
        <w:t>9</w:t>
      </w:r>
    </w:p>
    <w:bookmarkEnd w:id="0"/>
    <w:p w:rsidR="00260F11" w:rsidRPr="00033A32" w:rsidRDefault="00260F11" w:rsidP="00260F11">
      <w:pPr>
        <w:bidi/>
        <w:spacing w:line="360" w:lineRule="auto"/>
        <w:ind w:right="-101"/>
        <w:jc w:val="both"/>
        <w:rPr>
          <w:rFonts w:ascii="David" w:hAnsi="David" w:cs="David"/>
          <w:i/>
          <w:iCs/>
          <w:sz w:val="24"/>
          <w:szCs w:val="24"/>
          <w:rtl/>
        </w:rPr>
      </w:pPr>
    </w:p>
    <w:p w:rsidR="003030A9" w:rsidRPr="00033A32" w:rsidRDefault="003030A9" w:rsidP="006677B2">
      <w:pPr>
        <w:bidi/>
        <w:spacing w:line="360" w:lineRule="auto"/>
        <w:rPr>
          <w:rFonts w:ascii="David" w:hAnsi="David" w:cs="David"/>
          <w:sz w:val="24"/>
          <w:szCs w:val="24"/>
          <w:rtl/>
        </w:rPr>
      </w:pPr>
      <w:r w:rsidRPr="00033A32">
        <w:rPr>
          <w:rFonts w:ascii="David" w:hAnsi="David" w:cs="David"/>
          <w:sz w:val="24"/>
          <w:szCs w:val="24"/>
          <w:rtl/>
        </w:rPr>
        <w:t xml:space="preserve">יתרת החוב של </w:t>
      </w:r>
      <w:r w:rsidRPr="00033A32">
        <w:rPr>
          <w:rFonts w:ascii="David" w:hAnsi="David" w:cs="David"/>
          <w:b/>
          <w:bCs/>
          <w:sz w:val="24"/>
          <w:szCs w:val="24"/>
          <w:rtl/>
        </w:rPr>
        <w:t>המגזר הפרטי הלא-פיננסי</w:t>
      </w:r>
      <w:r w:rsidRPr="00033A32">
        <w:rPr>
          <w:rFonts w:ascii="David" w:hAnsi="David" w:cs="David"/>
          <w:sz w:val="24"/>
          <w:szCs w:val="24"/>
          <w:rtl/>
        </w:rPr>
        <w:t xml:space="preserve"> </w:t>
      </w:r>
      <w:r w:rsidR="00643343" w:rsidRPr="00033A32">
        <w:rPr>
          <w:rFonts w:ascii="David" w:hAnsi="David" w:cs="David"/>
          <w:sz w:val="24"/>
          <w:szCs w:val="24"/>
          <w:rtl/>
        </w:rPr>
        <w:t>גדלה ברביע ה</w:t>
      </w:r>
      <w:r w:rsidR="00AB316B" w:rsidRPr="00033A32">
        <w:rPr>
          <w:rFonts w:ascii="David" w:hAnsi="David" w:cs="David"/>
          <w:sz w:val="24"/>
          <w:szCs w:val="24"/>
          <w:rtl/>
        </w:rPr>
        <w:t>ש</w:t>
      </w:r>
      <w:r w:rsidR="006677B2" w:rsidRPr="00033A32">
        <w:rPr>
          <w:rFonts w:ascii="David" w:hAnsi="David" w:cs="David"/>
          <w:sz w:val="24"/>
          <w:szCs w:val="24"/>
          <w:rtl/>
        </w:rPr>
        <w:t xml:space="preserve">לישי </w:t>
      </w:r>
      <w:r w:rsidR="00643343" w:rsidRPr="00033A32">
        <w:rPr>
          <w:rFonts w:ascii="David" w:hAnsi="David" w:cs="David"/>
          <w:sz w:val="24"/>
          <w:szCs w:val="24"/>
          <w:rtl/>
        </w:rPr>
        <w:t xml:space="preserve">של שנת 2019 </w:t>
      </w:r>
      <w:r w:rsidRPr="00033A32">
        <w:rPr>
          <w:rFonts w:ascii="David" w:hAnsi="David" w:cs="David"/>
          <w:sz w:val="24"/>
          <w:szCs w:val="24"/>
          <w:rtl/>
        </w:rPr>
        <w:t>בכ-</w:t>
      </w:r>
      <w:r w:rsidR="006677B2" w:rsidRPr="00033A32">
        <w:rPr>
          <w:rFonts w:ascii="David" w:hAnsi="David" w:cs="David"/>
          <w:sz w:val="24"/>
          <w:szCs w:val="24"/>
          <w:rtl/>
        </w:rPr>
        <w:t>4.4</w:t>
      </w:r>
      <w:r w:rsidR="008E50B1" w:rsidRPr="00033A32">
        <w:rPr>
          <w:rFonts w:ascii="David" w:hAnsi="David" w:cs="David"/>
          <w:sz w:val="24"/>
          <w:szCs w:val="24"/>
          <w:rtl/>
        </w:rPr>
        <w:t xml:space="preserve"> </w:t>
      </w:r>
      <w:r w:rsidRPr="00033A32">
        <w:rPr>
          <w:rFonts w:ascii="David" w:hAnsi="David" w:cs="David"/>
          <w:sz w:val="24"/>
          <w:szCs w:val="24"/>
          <w:rtl/>
        </w:rPr>
        <w:t>מיליארדי ש"ח (</w:t>
      </w:r>
      <w:r w:rsidR="006677B2" w:rsidRPr="00033A32">
        <w:rPr>
          <w:rFonts w:ascii="David" w:hAnsi="David" w:cs="David"/>
          <w:sz w:val="24"/>
          <w:szCs w:val="24"/>
          <w:rtl/>
        </w:rPr>
        <w:t>0.3</w:t>
      </w:r>
      <w:r w:rsidRPr="00033A32">
        <w:rPr>
          <w:rFonts w:ascii="David" w:hAnsi="David" w:cs="David"/>
          <w:sz w:val="24"/>
          <w:szCs w:val="24"/>
          <w:rtl/>
        </w:rPr>
        <w:t>%) לרמה של כ-1.5 טריליוני ש"ח</w:t>
      </w:r>
      <w:r w:rsidR="006677B2" w:rsidRPr="00033A32">
        <w:rPr>
          <w:rFonts w:ascii="David" w:hAnsi="David" w:cs="David"/>
          <w:sz w:val="24"/>
          <w:szCs w:val="24"/>
          <w:rtl/>
        </w:rPr>
        <w:t xml:space="preserve">. </w:t>
      </w:r>
      <w:r w:rsidR="000E3B3B" w:rsidRPr="00033A32">
        <w:rPr>
          <w:rFonts w:ascii="David" w:hAnsi="David" w:cs="David"/>
          <w:sz w:val="24"/>
          <w:szCs w:val="24"/>
          <w:rtl/>
        </w:rPr>
        <w:t>העלייה ביתרה זו מקורה בגידול ב</w:t>
      </w:r>
      <w:r w:rsidR="006B2887" w:rsidRPr="00033A32">
        <w:rPr>
          <w:rFonts w:ascii="David" w:hAnsi="David" w:cs="David"/>
          <w:sz w:val="24"/>
          <w:szCs w:val="24"/>
          <w:rtl/>
        </w:rPr>
        <w:t xml:space="preserve">יתרת החוב של </w:t>
      </w:r>
      <w:r w:rsidR="006B2887" w:rsidRPr="00033A32">
        <w:rPr>
          <w:rFonts w:ascii="David" w:hAnsi="David" w:cs="David"/>
          <w:b/>
          <w:bCs/>
          <w:sz w:val="24"/>
          <w:szCs w:val="24"/>
          <w:rtl/>
        </w:rPr>
        <w:t>משקי הבית</w:t>
      </w:r>
      <w:r w:rsidR="006B2887" w:rsidRPr="00033A32">
        <w:rPr>
          <w:rFonts w:ascii="David" w:hAnsi="David" w:cs="David"/>
          <w:sz w:val="24"/>
          <w:szCs w:val="24"/>
          <w:rtl/>
        </w:rPr>
        <w:t xml:space="preserve"> </w:t>
      </w:r>
      <w:r w:rsidR="000E3B3B" w:rsidRPr="00033A32">
        <w:rPr>
          <w:rFonts w:ascii="David" w:hAnsi="David" w:cs="David"/>
          <w:sz w:val="24"/>
          <w:szCs w:val="24"/>
          <w:rtl/>
        </w:rPr>
        <w:t>(כ-</w:t>
      </w:r>
      <w:r w:rsidR="006677B2" w:rsidRPr="00033A32">
        <w:rPr>
          <w:rFonts w:ascii="David" w:hAnsi="David" w:cs="David"/>
          <w:sz w:val="24"/>
          <w:szCs w:val="24"/>
          <w:rtl/>
        </w:rPr>
        <w:t>9.4</w:t>
      </w:r>
      <w:r w:rsidR="006B2887" w:rsidRPr="00033A32">
        <w:rPr>
          <w:rFonts w:ascii="David" w:hAnsi="David" w:cs="David"/>
          <w:sz w:val="24"/>
          <w:szCs w:val="24"/>
          <w:rtl/>
        </w:rPr>
        <w:t xml:space="preserve"> מיליארדים</w:t>
      </w:r>
      <w:r w:rsidR="000E3B3B" w:rsidRPr="00033A32">
        <w:rPr>
          <w:rFonts w:ascii="David" w:hAnsi="David" w:cs="David"/>
          <w:sz w:val="24"/>
          <w:szCs w:val="24"/>
          <w:rtl/>
        </w:rPr>
        <w:t xml:space="preserve">, </w:t>
      </w:r>
      <w:r w:rsidR="006B2887" w:rsidRPr="00033A32">
        <w:rPr>
          <w:rFonts w:ascii="David" w:hAnsi="David" w:cs="David"/>
          <w:sz w:val="24"/>
          <w:szCs w:val="24"/>
          <w:rtl/>
        </w:rPr>
        <w:t>1.</w:t>
      </w:r>
      <w:r w:rsidR="006677B2" w:rsidRPr="00033A32">
        <w:rPr>
          <w:rFonts w:ascii="David" w:hAnsi="David" w:cs="David"/>
          <w:sz w:val="24"/>
          <w:szCs w:val="24"/>
          <w:rtl/>
        </w:rPr>
        <w:t>6</w:t>
      </w:r>
      <w:r w:rsidR="006B2887" w:rsidRPr="00033A32">
        <w:rPr>
          <w:rFonts w:ascii="David" w:hAnsi="David" w:cs="David"/>
          <w:sz w:val="24"/>
          <w:szCs w:val="24"/>
          <w:rtl/>
        </w:rPr>
        <w:t>%)</w:t>
      </w:r>
      <w:r w:rsidR="006677B2" w:rsidRPr="00033A32">
        <w:rPr>
          <w:rFonts w:ascii="David" w:hAnsi="David" w:cs="David"/>
          <w:sz w:val="24"/>
          <w:szCs w:val="24"/>
          <w:rtl/>
        </w:rPr>
        <w:t xml:space="preserve">, בעיקר בחוב לדיור, שקוזזה ברובה כתוצאה מירידה ביתרת החוב של </w:t>
      </w:r>
      <w:r w:rsidR="006677B2" w:rsidRPr="00033A32">
        <w:rPr>
          <w:rFonts w:ascii="David" w:hAnsi="David" w:cs="David"/>
          <w:b/>
          <w:bCs/>
          <w:sz w:val="24"/>
          <w:szCs w:val="24"/>
          <w:rtl/>
        </w:rPr>
        <w:t>המגזר העסקי</w:t>
      </w:r>
      <w:r w:rsidR="006677B2" w:rsidRPr="00033A32">
        <w:rPr>
          <w:rFonts w:ascii="David" w:hAnsi="David" w:cs="David"/>
          <w:sz w:val="24"/>
          <w:szCs w:val="24"/>
          <w:rtl/>
        </w:rPr>
        <w:t xml:space="preserve"> (כ-5 מיליארדים, 0.5%-). </w:t>
      </w:r>
      <w:r w:rsidR="006B2887" w:rsidRPr="00033A32">
        <w:rPr>
          <w:rFonts w:ascii="David" w:hAnsi="David" w:cs="David"/>
          <w:sz w:val="24"/>
          <w:szCs w:val="24"/>
          <w:rtl/>
        </w:rPr>
        <w:t xml:space="preserve"> </w:t>
      </w:r>
    </w:p>
    <w:p w:rsidR="00643343" w:rsidRPr="00033A32" w:rsidRDefault="00643343" w:rsidP="00643343">
      <w:pPr>
        <w:bidi/>
        <w:spacing w:line="360" w:lineRule="auto"/>
        <w:rPr>
          <w:rFonts w:ascii="David" w:hAnsi="David" w:cs="David"/>
          <w:color w:val="FF0000"/>
          <w:sz w:val="24"/>
          <w:szCs w:val="24"/>
          <w:rtl/>
        </w:rPr>
      </w:pPr>
    </w:p>
    <w:p w:rsidR="009F574F" w:rsidRPr="00033A32" w:rsidRDefault="009F574F" w:rsidP="007A3CCD">
      <w:pPr>
        <w:pStyle w:val="a9"/>
        <w:numPr>
          <w:ilvl w:val="0"/>
          <w:numId w:val="18"/>
        </w:numPr>
        <w:bidi/>
        <w:spacing w:line="360" w:lineRule="auto"/>
        <w:jc w:val="both"/>
        <w:rPr>
          <w:rFonts w:ascii="David" w:hAnsi="David" w:cs="David"/>
          <w:b/>
          <w:bCs/>
          <w:sz w:val="24"/>
          <w:szCs w:val="24"/>
        </w:rPr>
      </w:pPr>
      <w:r w:rsidRPr="00033A32">
        <w:rPr>
          <w:rStyle w:val="10"/>
          <w:rFonts w:ascii="David" w:hAnsi="David" w:cs="David"/>
          <w:rtl/>
        </w:rPr>
        <w:t>החוב של המגזר העסקי</w:t>
      </w:r>
      <w:r w:rsidR="001E78A9" w:rsidRPr="00033A32">
        <w:rPr>
          <w:rStyle w:val="10"/>
          <w:rFonts w:ascii="David" w:hAnsi="David" w:cs="David"/>
          <w:rtl/>
        </w:rPr>
        <w:t xml:space="preserve"> הלא-פיננסי</w:t>
      </w:r>
      <w:r w:rsidR="00474B96" w:rsidRPr="00033A32">
        <w:rPr>
          <w:rStyle w:val="af1"/>
          <w:rFonts w:ascii="David" w:hAnsi="David" w:cs="David"/>
          <w:b/>
          <w:bCs/>
          <w:sz w:val="24"/>
          <w:szCs w:val="24"/>
          <w:rtl/>
        </w:rPr>
        <w:footnoteReference w:id="1"/>
      </w:r>
      <w:r w:rsidR="0028327B" w:rsidRPr="00033A32">
        <w:rPr>
          <w:rFonts w:ascii="David" w:hAnsi="David" w:cs="David"/>
          <w:b/>
          <w:bCs/>
          <w:sz w:val="24"/>
          <w:szCs w:val="24"/>
          <w:rtl/>
        </w:rPr>
        <w:t xml:space="preserve"> </w:t>
      </w:r>
    </w:p>
    <w:p w:rsidR="00340B38" w:rsidRPr="00033A32" w:rsidRDefault="0089040A" w:rsidP="003A5BCB">
      <w:pPr>
        <w:pStyle w:val="a9"/>
        <w:numPr>
          <w:ilvl w:val="0"/>
          <w:numId w:val="8"/>
        </w:numPr>
        <w:bidi/>
        <w:spacing w:before="120" w:after="120" w:line="360" w:lineRule="auto"/>
        <w:rPr>
          <w:rFonts w:ascii="David" w:hAnsi="David" w:cs="David"/>
          <w:sz w:val="24"/>
          <w:szCs w:val="24"/>
          <w:rtl/>
        </w:rPr>
      </w:pPr>
      <w:r w:rsidRPr="00033A32">
        <w:rPr>
          <w:rFonts w:ascii="David" w:hAnsi="David" w:cs="David"/>
          <w:sz w:val="24"/>
          <w:szCs w:val="24"/>
          <w:rtl/>
        </w:rPr>
        <w:t>מהחטיבה למידע ו</w:t>
      </w:r>
      <w:r w:rsidR="00882FBA" w:rsidRPr="00033A32">
        <w:rPr>
          <w:rFonts w:ascii="David" w:hAnsi="David" w:cs="David"/>
          <w:sz w:val="24"/>
          <w:szCs w:val="24"/>
          <w:rtl/>
        </w:rPr>
        <w:t>ל</w:t>
      </w:r>
      <w:r w:rsidRPr="00033A32">
        <w:rPr>
          <w:rFonts w:ascii="David" w:hAnsi="David" w:cs="David"/>
          <w:sz w:val="24"/>
          <w:szCs w:val="24"/>
          <w:rtl/>
        </w:rPr>
        <w:t xml:space="preserve">סטטיסטיקה נמסר, כי </w:t>
      </w:r>
      <w:r w:rsidR="00406F28" w:rsidRPr="00033A32">
        <w:rPr>
          <w:rFonts w:ascii="David" w:hAnsi="David" w:cs="David"/>
          <w:sz w:val="24"/>
          <w:szCs w:val="24"/>
          <w:rtl/>
        </w:rPr>
        <w:t xml:space="preserve">ברביע </w:t>
      </w:r>
      <w:r w:rsidR="00242FFE" w:rsidRPr="00033A32">
        <w:rPr>
          <w:rFonts w:ascii="David" w:hAnsi="David" w:cs="David"/>
          <w:sz w:val="24"/>
          <w:szCs w:val="24"/>
          <w:rtl/>
        </w:rPr>
        <w:t>ה</w:t>
      </w:r>
      <w:r w:rsidR="00E81FF6" w:rsidRPr="00033A32">
        <w:rPr>
          <w:rFonts w:ascii="David" w:hAnsi="David" w:cs="David"/>
          <w:sz w:val="24"/>
          <w:szCs w:val="24"/>
          <w:rtl/>
        </w:rPr>
        <w:t>שלישי</w:t>
      </w:r>
      <w:r w:rsidR="00635BDC" w:rsidRPr="00033A32">
        <w:rPr>
          <w:rFonts w:ascii="David" w:hAnsi="David" w:cs="David"/>
          <w:sz w:val="24"/>
          <w:szCs w:val="24"/>
          <w:rtl/>
        </w:rPr>
        <w:t xml:space="preserve"> </w:t>
      </w:r>
      <w:r w:rsidR="00510ABA" w:rsidRPr="00033A32">
        <w:rPr>
          <w:rFonts w:ascii="David" w:hAnsi="David" w:cs="David"/>
          <w:sz w:val="24"/>
          <w:szCs w:val="24"/>
          <w:rtl/>
        </w:rPr>
        <w:t xml:space="preserve">של </w:t>
      </w:r>
      <w:r w:rsidR="00635BDC" w:rsidRPr="00033A32">
        <w:rPr>
          <w:rFonts w:ascii="David" w:hAnsi="David" w:cs="David"/>
          <w:sz w:val="24"/>
          <w:szCs w:val="24"/>
          <w:rtl/>
        </w:rPr>
        <w:t>שנת 2019</w:t>
      </w:r>
      <w:r w:rsidR="000F7E97" w:rsidRPr="00033A32">
        <w:rPr>
          <w:rFonts w:ascii="David" w:hAnsi="David" w:cs="David"/>
          <w:sz w:val="24"/>
          <w:szCs w:val="24"/>
          <w:rtl/>
        </w:rPr>
        <w:t xml:space="preserve"> </w:t>
      </w:r>
      <w:r w:rsidR="00E81FF6" w:rsidRPr="00033A32">
        <w:rPr>
          <w:rFonts w:ascii="David" w:hAnsi="David" w:cs="David"/>
          <w:sz w:val="24"/>
          <w:szCs w:val="24"/>
          <w:rtl/>
        </w:rPr>
        <w:t>קטנה</w:t>
      </w:r>
      <w:r w:rsidR="00807054" w:rsidRPr="00033A32">
        <w:rPr>
          <w:rFonts w:ascii="David" w:hAnsi="David" w:cs="David"/>
          <w:sz w:val="24"/>
          <w:szCs w:val="24"/>
          <w:rtl/>
        </w:rPr>
        <w:t xml:space="preserve"> יתרת ה</w:t>
      </w:r>
      <w:r w:rsidR="00340B38" w:rsidRPr="00033A32">
        <w:rPr>
          <w:rFonts w:ascii="David" w:hAnsi="David" w:cs="David"/>
          <w:sz w:val="24"/>
          <w:szCs w:val="24"/>
          <w:rtl/>
        </w:rPr>
        <w:t>חוב של המגזר העסקי</w:t>
      </w:r>
      <w:r w:rsidR="003E05CD" w:rsidRPr="00033A32">
        <w:rPr>
          <w:rFonts w:ascii="David" w:hAnsi="David" w:cs="David"/>
          <w:sz w:val="24"/>
          <w:szCs w:val="24"/>
          <w:rtl/>
        </w:rPr>
        <w:t xml:space="preserve"> לראשונה מ</w:t>
      </w:r>
      <w:r w:rsidR="003054F9" w:rsidRPr="00033A32">
        <w:rPr>
          <w:rFonts w:ascii="David" w:hAnsi="David" w:cs="David"/>
          <w:sz w:val="24"/>
          <w:szCs w:val="24"/>
          <w:rtl/>
        </w:rPr>
        <w:t>זה שנתיים</w:t>
      </w:r>
      <w:r w:rsidR="003E05CD" w:rsidRPr="00033A32">
        <w:rPr>
          <w:rFonts w:ascii="David" w:hAnsi="David" w:cs="David"/>
          <w:sz w:val="24"/>
          <w:szCs w:val="24"/>
          <w:rtl/>
        </w:rPr>
        <w:t xml:space="preserve">, </w:t>
      </w:r>
      <w:r w:rsidR="00807054" w:rsidRPr="00033A32">
        <w:rPr>
          <w:rFonts w:ascii="David" w:hAnsi="David" w:cs="David"/>
          <w:sz w:val="24"/>
          <w:szCs w:val="24"/>
          <w:rtl/>
        </w:rPr>
        <w:t>בכ-</w:t>
      </w:r>
      <w:r w:rsidR="00AB316B" w:rsidRPr="00033A32">
        <w:rPr>
          <w:rFonts w:ascii="David" w:hAnsi="David" w:cs="David"/>
          <w:sz w:val="24"/>
          <w:szCs w:val="24"/>
          <w:rtl/>
        </w:rPr>
        <w:t>5</w:t>
      </w:r>
      <w:r w:rsidR="00807054" w:rsidRPr="00033A32">
        <w:rPr>
          <w:rFonts w:ascii="David" w:hAnsi="David" w:cs="David"/>
          <w:sz w:val="24"/>
          <w:szCs w:val="24"/>
          <w:rtl/>
        </w:rPr>
        <w:t xml:space="preserve"> מיליארדי ש"ח (</w:t>
      </w:r>
      <w:r w:rsidR="006677B2" w:rsidRPr="00033A32">
        <w:rPr>
          <w:rFonts w:ascii="David" w:hAnsi="David" w:cs="David"/>
          <w:sz w:val="24"/>
          <w:szCs w:val="24"/>
          <w:rtl/>
        </w:rPr>
        <w:t>0.5%-)</w:t>
      </w:r>
      <w:r w:rsidR="00132A42" w:rsidRPr="00033A32">
        <w:rPr>
          <w:rFonts w:ascii="David" w:hAnsi="David" w:cs="David"/>
          <w:sz w:val="24"/>
          <w:szCs w:val="24"/>
          <w:rtl/>
        </w:rPr>
        <w:t xml:space="preserve"> </w:t>
      </w:r>
      <w:r w:rsidR="00807054" w:rsidRPr="00033A32">
        <w:rPr>
          <w:rFonts w:ascii="David" w:hAnsi="David" w:cs="David"/>
          <w:sz w:val="24"/>
          <w:szCs w:val="24"/>
          <w:rtl/>
        </w:rPr>
        <w:t>לרמה של כ-</w:t>
      </w:r>
      <w:r w:rsidR="00E81FF6" w:rsidRPr="00033A32">
        <w:rPr>
          <w:rFonts w:ascii="David" w:hAnsi="David" w:cs="David"/>
          <w:sz w:val="24"/>
          <w:szCs w:val="24"/>
          <w:rtl/>
        </w:rPr>
        <w:t>945</w:t>
      </w:r>
      <w:r w:rsidR="00132A42" w:rsidRPr="00033A32">
        <w:rPr>
          <w:rFonts w:ascii="David" w:hAnsi="David" w:cs="David"/>
          <w:sz w:val="24"/>
          <w:szCs w:val="24"/>
          <w:rtl/>
        </w:rPr>
        <w:t xml:space="preserve"> מיליארדים</w:t>
      </w:r>
      <w:r w:rsidR="00AB316B" w:rsidRPr="00033A32">
        <w:rPr>
          <w:rFonts w:ascii="David" w:hAnsi="David" w:cs="David"/>
          <w:sz w:val="24"/>
          <w:szCs w:val="24"/>
          <w:rtl/>
        </w:rPr>
        <w:t xml:space="preserve">. </w:t>
      </w:r>
      <w:r w:rsidR="00E81FF6" w:rsidRPr="00033A32">
        <w:rPr>
          <w:rFonts w:ascii="David" w:hAnsi="David" w:cs="David"/>
          <w:sz w:val="24"/>
          <w:szCs w:val="24"/>
          <w:rtl/>
        </w:rPr>
        <w:t xml:space="preserve">הירידה ביתרת החוב </w:t>
      </w:r>
      <w:r w:rsidR="003054F9" w:rsidRPr="00033A32">
        <w:rPr>
          <w:rFonts w:ascii="David" w:hAnsi="David" w:cs="David"/>
          <w:sz w:val="24"/>
          <w:szCs w:val="24"/>
          <w:rtl/>
        </w:rPr>
        <w:t xml:space="preserve">נבעה מהקטנה כמותית בהלוואות מתושבי חוץ וכן כתוצאה מייסוף של כ-2.4% בשער החליפין של השקל מול הדולר שהקטין את השווי של החוב הנקוב במט"ח והצמוד לו. למרות זאת, גידול כמותי </w:t>
      </w:r>
      <w:r w:rsidR="00E81FF6" w:rsidRPr="00033A32">
        <w:rPr>
          <w:rFonts w:ascii="David" w:hAnsi="David" w:cs="David"/>
          <w:sz w:val="24"/>
          <w:szCs w:val="24"/>
          <w:rtl/>
        </w:rPr>
        <w:t>נרשם בהלוואות בנקאיות, אג"ח סחיר</w:t>
      </w:r>
      <w:r w:rsidR="003054F9" w:rsidRPr="00033A32">
        <w:rPr>
          <w:rFonts w:ascii="David" w:hAnsi="David" w:cs="David"/>
          <w:sz w:val="24"/>
          <w:szCs w:val="24"/>
          <w:rtl/>
        </w:rPr>
        <w:t xml:space="preserve">ות בישראל והלוואות חוץ-בנקאיות. </w:t>
      </w:r>
      <w:r w:rsidR="00864546" w:rsidRPr="00033A32">
        <w:rPr>
          <w:rFonts w:ascii="David" w:hAnsi="David" w:cs="David"/>
          <w:sz w:val="24"/>
          <w:szCs w:val="24"/>
          <w:rtl/>
        </w:rPr>
        <w:t>(איור 1)</w:t>
      </w:r>
      <w:r w:rsidR="003054F9" w:rsidRPr="00033A32">
        <w:rPr>
          <w:rFonts w:ascii="David" w:hAnsi="David" w:cs="David"/>
          <w:sz w:val="24"/>
          <w:szCs w:val="24"/>
          <w:rtl/>
        </w:rPr>
        <w:t xml:space="preserve">. </w:t>
      </w:r>
    </w:p>
    <w:p w:rsidR="002A51F1" w:rsidRPr="00033A32" w:rsidRDefault="004C43DC" w:rsidP="00A2499F">
      <w:pPr>
        <w:pStyle w:val="a9"/>
        <w:numPr>
          <w:ilvl w:val="0"/>
          <w:numId w:val="8"/>
        </w:numPr>
        <w:bidi/>
        <w:spacing w:line="360" w:lineRule="auto"/>
        <w:rPr>
          <w:rFonts w:ascii="David" w:hAnsi="David" w:cs="David"/>
          <w:sz w:val="24"/>
          <w:szCs w:val="24"/>
        </w:rPr>
      </w:pPr>
      <w:r w:rsidRPr="00033A32">
        <w:rPr>
          <w:rFonts w:ascii="David" w:hAnsi="David" w:cs="David"/>
          <w:sz w:val="24"/>
          <w:szCs w:val="24"/>
          <w:rtl/>
        </w:rPr>
        <w:t xml:space="preserve">ברביע </w:t>
      </w:r>
      <w:r w:rsidR="00670D97" w:rsidRPr="00033A32">
        <w:rPr>
          <w:rFonts w:ascii="David" w:hAnsi="David" w:cs="David"/>
          <w:sz w:val="24"/>
          <w:szCs w:val="24"/>
          <w:rtl/>
        </w:rPr>
        <w:t>ה</w:t>
      </w:r>
      <w:r w:rsidR="00E81FF6" w:rsidRPr="00033A32">
        <w:rPr>
          <w:rFonts w:ascii="David" w:hAnsi="David" w:cs="David"/>
          <w:sz w:val="24"/>
          <w:szCs w:val="24"/>
          <w:rtl/>
        </w:rPr>
        <w:t>שלישי</w:t>
      </w:r>
      <w:r w:rsidR="00474B96" w:rsidRPr="00033A32">
        <w:rPr>
          <w:rFonts w:ascii="David" w:hAnsi="David" w:cs="David"/>
          <w:sz w:val="24"/>
          <w:szCs w:val="24"/>
          <w:rtl/>
        </w:rPr>
        <w:t xml:space="preserve"> </w:t>
      </w:r>
      <w:r w:rsidR="00E335BB" w:rsidRPr="00033A32">
        <w:rPr>
          <w:rFonts w:ascii="David" w:hAnsi="David" w:cs="David"/>
          <w:sz w:val="24"/>
          <w:szCs w:val="24"/>
          <w:rtl/>
        </w:rPr>
        <w:t xml:space="preserve">של השנה </w:t>
      </w:r>
      <w:r w:rsidRPr="00033A32">
        <w:rPr>
          <w:rFonts w:ascii="David" w:hAnsi="David" w:cs="David"/>
          <w:b/>
          <w:bCs/>
          <w:sz w:val="24"/>
          <w:szCs w:val="24"/>
          <w:rtl/>
        </w:rPr>
        <w:t>הנפיק המגזר העסקי</w:t>
      </w:r>
      <w:r w:rsidRPr="00033A32">
        <w:rPr>
          <w:rFonts w:ascii="David" w:hAnsi="David" w:cs="David"/>
          <w:sz w:val="24"/>
          <w:szCs w:val="24"/>
          <w:rtl/>
        </w:rPr>
        <w:t xml:space="preserve"> אג"ח בשווי של כ-</w:t>
      </w:r>
      <w:r w:rsidR="00A2499F" w:rsidRPr="00033A32">
        <w:rPr>
          <w:rFonts w:ascii="David" w:hAnsi="David" w:cs="David"/>
          <w:sz w:val="24"/>
          <w:szCs w:val="24"/>
          <w:rtl/>
        </w:rPr>
        <w:t>8</w:t>
      </w:r>
      <w:r w:rsidR="00804AEF" w:rsidRPr="00033A32">
        <w:rPr>
          <w:rFonts w:ascii="David" w:hAnsi="David" w:cs="David"/>
          <w:sz w:val="24"/>
          <w:szCs w:val="24"/>
          <w:rtl/>
        </w:rPr>
        <w:t xml:space="preserve"> </w:t>
      </w:r>
      <w:r w:rsidR="002A51F1" w:rsidRPr="00033A32">
        <w:rPr>
          <w:rFonts w:ascii="David" w:hAnsi="David" w:cs="David"/>
          <w:sz w:val="24"/>
          <w:szCs w:val="24"/>
          <w:rtl/>
        </w:rPr>
        <w:t>מיליארדי ש"ח</w:t>
      </w:r>
      <w:r w:rsidR="00670D97" w:rsidRPr="00033A32">
        <w:rPr>
          <w:rFonts w:ascii="David" w:hAnsi="David" w:cs="David"/>
          <w:sz w:val="24"/>
          <w:szCs w:val="24"/>
          <w:rtl/>
        </w:rPr>
        <w:t>,</w:t>
      </w:r>
      <w:r w:rsidR="00804AEF" w:rsidRPr="00033A32">
        <w:rPr>
          <w:rFonts w:ascii="David" w:hAnsi="David" w:cs="David"/>
          <w:sz w:val="24"/>
          <w:szCs w:val="24"/>
          <w:rtl/>
        </w:rPr>
        <w:t xml:space="preserve"> </w:t>
      </w:r>
      <w:r w:rsidR="00A2499F" w:rsidRPr="00033A32">
        <w:rPr>
          <w:rFonts w:ascii="David" w:hAnsi="David" w:cs="David"/>
          <w:sz w:val="24"/>
          <w:szCs w:val="24"/>
          <w:rtl/>
        </w:rPr>
        <w:t>דומה ל</w:t>
      </w:r>
      <w:r w:rsidR="00474B96" w:rsidRPr="00033A32">
        <w:rPr>
          <w:rFonts w:ascii="David" w:hAnsi="David" w:cs="David"/>
          <w:sz w:val="24"/>
          <w:szCs w:val="24"/>
          <w:rtl/>
        </w:rPr>
        <w:t>מ</w:t>
      </w:r>
      <w:r w:rsidR="00804AEF" w:rsidRPr="00033A32">
        <w:rPr>
          <w:rFonts w:ascii="David" w:hAnsi="David" w:cs="David"/>
          <w:sz w:val="24"/>
          <w:szCs w:val="24"/>
          <w:rtl/>
        </w:rPr>
        <w:t xml:space="preserve">מוצע הגיוסים </w:t>
      </w:r>
      <w:r w:rsidR="00DA5162" w:rsidRPr="00033A32">
        <w:rPr>
          <w:rFonts w:ascii="David" w:hAnsi="David" w:cs="David"/>
          <w:sz w:val="24"/>
          <w:szCs w:val="24"/>
          <w:rtl/>
        </w:rPr>
        <w:t>הרבעוני של ארבעת הרביעים האחרונים</w:t>
      </w:r>
      <w:r w:rsidR="00A2499F" w:rsidRPr="00033A32">
        <w:rPr>
          <w:rFonts w:ascii="David" w:hAnsi="David" w:cs="David"/>
          <w:sz w:val="24"/>
          <w:szCs w:val="24"/>
          <w:rtl/>
        </w:rPr>
        <w:t xml:space="preserve">. </w:t>
      </w:r>
      <w:r w:rsidR="00DA5162" w:rsidRPr="00033A32">
        <w:rPr>
          <w:rFonts w:ascii="David" w:hAnsi="David" w:cs="David"/>
          <w:sz w:val="24"/>
          <w:szCs w:val="24"/>
          <w:rtl/>
        </w:rPr>
        <w:t>כמחצית מההנפקות ברביע זה היו של חברות מ</w:t>
      </w:r>
      <w:r w:rsidR="000F7E97" w:rsidRPr="00033A32">
        <w:rPr>
          <w:rFonts w:ascii="David" w:hAnsi="David" w:cs="David"/>
          <w:sz w:val="24"/>
          <w:szCs w:val="24"/>
          <w:rtl/>
        </w:rPr>
        <w:t xml:space="preserve">ענף </w:t>
      </w:r>
      <w:r w:rsidR="00804AEF" w:rsidRPr="00033A32">
        <w:rPr>
          <w:rFonts w:ascii="David" w:hAnsi="David" w:cs="David"/>
          <w:sz w:val="24"/>
          <w:szCs w:val="24"/>
          <w:rtl/>
        </w:rPr>
        <w:t>הנדל"ן והבינוי</w:t>
      </w:r>
      <w:r w:rsidR="00DA5162" w:rsidRPr="00033A32">
        <w:rPr>
          <w:rFonts w:ascii="David" w:hAnsi="David" w:cs="David"/>
          <w:sz w:val="24"/>
          <w:szCs w:val="24"/>
          <w:rtl/>
        </w:rPr>
        <w:t xml:space="preserve">. </w:t>
      </w:r>
      <w:r w:rsidR="00695929" w:rsidRPr="00033A32">
        <w:rPr>
          <w:rFonts w:ascii="David" w:hAnsi="David" w:cs="David"/>
          <w:sz w:val="24"/>
          <w:szCs w:val="24"/>
          <w:rtl/>
        </w:rPr>
        <w:t>ב</w:t>
      </w:r>
      <w:r w:rsidR="00A2499F" w:rsidRPr="00033A32">
        <w:rPr>
          <w:rFonts w:ascii="David" w:hAnsi="David" w:cs="David"/>
          <w:sz w:val="24"/>
          <w:szCs w:val="24"/>
          <w:rtl/>
        </w:rPr>
        <w:t>אוקטובר</w:t>
      </w:r>
      <w:r w:rsidR="00DA5162" w:rsidRPr="00033A32">
        <w:rPr>
          <w:rFonts w:ascii="David" w:hAnsi="David" w:cs="David"/>
          <w:sz w:val="24"/>
          <w:szCs w:val="24"/>
          <w:rtl/>
        </w:rPr>
        <w:t xml:space="preserve"> </w:t>
      </w:r>
      <w:r w:rsidR="00695929" w:rsidRPr="00033A32">
        <w:rPr>
          <w:rFonts w:ascii="David" w:hAnsi="David" w:cs="David"/>
          <w:sz w:val="24"/>
          <w:szCs w:val="24"/>
          <w:rtl/>
        </w:rPr>
        <w:t>201</w:t>
      </w:r>
      <w:r w:rsidR="00416818" w:rsidRPr="00033A32">
        <w:rPr>
          <w:rFonts w:ascii="David" w:hAnsi="David" w:cs="David"/>
          <w:sz w:val="24"/>
          <w:szCs w:val="24"/>
          <w:rtl/>
        </w:rPr>
        <w:t>9</w:t>
      </w:r>
      <w:r w:rsidR="00695929" w:rsidRPr="00033A32">
        <w:rPr>
          <w:rFonts w:ascii="David" w:hAnsi="David" w:cs="David"/>
          <w:sz w:val="24"/>
          <w:szCs w:val="24"/>
          <w:rtl/>
        </w:rPr>
        <w:t xml:space="preserve"> </w:t>
      </w:r>
      <w:r w:rsidR="002A51F1" w:rsidRPr="00033A32">
        <w:rPr>
          <w:rFonts w:ascii="David" w:hAnsi="David" w:cs="David"/>
          <w:sz w:val="24"/>
          <w:szCs w:val="24"/>
          <w:rtl/>
        </w:rPr>
        <w:t>הנפיק המגזר העסקי אג"ח בשווי של כ-</w:t>
      </w:r>
      <w:r w:rsidR="00A2499F" w:rsidRPr="00033A32">
        <w:rPr>
          <w:rFonts w:ascii="David" w:hAnsi="David" w:cs="David"/>
          <w:sz w:val="24"/>
          <w:szCs w:val="24"/>
          <w:rtl/>
        </w:rPr>
        <w:t>2.7</w:t>
      </w:r>
      <w:r w:rsidR="002A51F1" w:rsidRPr="00033A32">
        <w:rPr>
          <w:rFonts w:ascii="David" w:hAnsi="David" w:cs="David"/>
          <w:sz w:val="24"/>
          <w:szCs w:val="24"/>
          <w:rtl/>
        </w:rPr>
        <w:t xml:space="preserve"> מיליארדי ש"ח, רובן באג"ח סחירות</w:t>
      </w:r>
      <w:r w:rsidR="00DE3E4A" w:rsidRPr="00033A32">
        <w:rPr>
          <w:rFonts w:ascii="David" w:hAnsi="David" w:cs="David"/>
          <w:sz w:val="24"/>
          <w:szCs w:val="24"/>
          <w:rtl/>
        </w:rPr>
        <w:t xml:space="preserve">. </w:t>
      </w:r>
      <w:r w:rsidR="00070391" w:rsidRPr="00033A32">
        <w:rPr>
          <w:rFonts w:ascii="David" w:hAnsi="David" w:cs="David"/>
          <w:sz w:val="24"/>
          <w:szCs w:val="24"/>
          <w:rtl/>
        </w:rPr>
        <w:t>(איור 3)</w:t>
      </w:r>
    </w:p>
    <w:p w:rsidR="00E44E3D" w:rsidRPr="00033A32" w:rsidRDefault="00B17282" w:rsidP="003E05CD">
      <w:pPr>
        <w:pStyle w:val="a9"/>
        <w:numPr>
          <w:ilvl w:val="0"/>
          <w:numId w:val="8"/>
        </w:numPr>
        <w:bidi/>
        <w:spacing w:before="240" w:after="120" w:line="360" w:lineRule="auto"/>
        <w:rPr>
          <w:rFonts w:ascii="David" w:hAnsi="David" w:cs="David"/>
          <w:sz w:val="24"/>
          <w:szCs w:val="24"/>
        </w:rPr>
      </w:pPr>
      <w:r w:rsidRPr="00033A32">
        <w:rPr>
          <w:rFonts w:ascii="David" w:hAnsi="David" w:cs="David"/>
          <w:sz w:val="24"/>
          <w:szCs w:val="24"/>
          <w:rtl/>
        </w:rPr>
        <w:t>ברביע ה</w:t>
      </w:r>
      <w:r w:rsidR="00A2499F" w:rsidRPr="00033A32">
        <w:rPr>
          <w:rFonts w:ascii="David" w:hAnsi="David" w:cs="David"/>
          <w:sz w:val="24"/>
          <w:szCs w:val="24"/>
          <w:rtl/>
        </w:rPr>
        <w:t>שלישי</w:t>
      </w:r>
      <w:r w:rsidRPr="00033A32">
        <w:rPr>
          <w:rFonts w:ascii="David" w:hAnsi="David" w:cs="David"/>
          <w:sz w:val="24"/>
          <w:szCs w:val="24"/>
          <w:rtl/>
        </w:rPr>
        <w:t xml:space="preserve"> של השנה </w:t>
      </w:r>
      <w:r w:rsidR="00985B74" w:rsidRPr="00033A32">
        <w:rPr>
          <w:rFonts w:ascii="David" w:hAnsi="David" w:cs="David"/>
          <w:b/>
          <w:bCs/>
          <w:sz w:val="24"/>
          <w:szCs w:val="24"/>
          <w:rtl/>
        </w:rPr>
        <w:t>ה</w:t>
      </w:r>
      <w:r w:rsidR="00416818" w:rsidRPr="00033A32">
        <w:rPr>
          <w:rFonts w:ascii="David" w:hAnsi="David" w:cs="David"/>
          <w:b/>
          <w:bCs/>
          <w:sz w:val="24"/>
          <w:szCs w:val="24"/>
          <w:rtl/>
        </w:rPr>
        <w:t xml:space="preserve">מרווח בין תשואת </w:t>
      </w:r>
      <w:r w:rsidR="00BD4578" w:rsidRPr="00033A32">
        <w:rPr>
          <w:rFonts w:ascii="David" w:hAnsi="David" w:cs="David"/>
          <w:b/>
          <w:bCs/>
          <w:sz w:val="24"/>
          <w:szCs w:val="24"/>
          <w:rtl/>
        </w:rPr>
        <w:t>האג"ח הקונצרניות הכלולות במדד</w:t>
      </w:r>
      <w:r w:rsidR="00985B74" w:rsidRPr="00033A32">
        <w:rPr>
          <w:rFonts w:ascii="David" w:hAnsi="David" w:cs="David"/>
          <w:b/>
          <w:bCs/>
          <w:sz w:val="24"/>
          <w:szCs w:val="24"/>
          <w:rtl/>
        </w:rPr>
        <w:t xml:space="preserve"> תל בונד 60, לבין תשואת האג"ח הממשלתיות </w:t>
      </w:r>
      <w:r w:rsidR="00DA4279" w:rsidRPr="00033A32">
        <w:rPr>
          <w:rFonts w:ascii="David" w:hAnsi="David" w:cs="David"/>
          <w:b/>
          <w:bCs/>
          <w:sz w:val="24"/>
          <w:szCs w:val="24"/>
          <w:rtl/>
        </w:rPr>
        <w:t>הצמודות</w:t>
      </w:r>
      <w:r w:rsidR="00DA4279" w:rsidRPr="00033A32">
        <w:rPr>
          <w:rFonts w:ascii="David" w:hAnsi="David" w:cs="David"/>
          <w:sz w:val="24"/>
          <w:szCs w:val="24"/>
          <w:rtl/>
        </w:rPr>
        <w:t xml:space="preserve"> </w:t>
      </w:r>
      <w:r w:rsidR="00166C6B" w:rsidRPr="00033A32">
        <w:rPr>
          <w:rFonts w:ascii="David" w:hAnsi="David" w:cs="David"/>
          <w:sz w:val="24"/>
          <w:szCs w:val="24"/>
          <w:rtl/>
        </w:rPr>
        <w:t>ה</w:t>
      </w:r>
      <w:r w:rsidR="00284B68" w:rsidRPr="00033A32">
        <w:rPr>
          <w:rFonts w:ascii="David" w:hAnsi="David" w:cs="David"/>
          <w:sz w:val="24"/>
          <w:szCs w:val="24"/>
          <w:rtl/>
        </w:rPr>
        <w:t>צטמצם</w:t>
      </w:r>
      <w:r w:rsidR="009B7097" w:rsidRPr="00033A32">
        <w:rPr>
          <w:rFonts w:ascii="David" w:hAnsi="David" w:cs="David"/>
          <w:sz w:val="24"/>
          <w:szCs w:val="24"/>
          <w:rtl/>
        </w:rPr>
        <w:t xml:space="preserve"> בכ-</w:t>
      </w:r>
      <w:r w:rsidR="005B77A0" w:rsidRPr="00033A32">
        <w:rPr>
          <w:rFonts w:ascii="David" w:hAnsi="David" w:cs="David"/>
          <w:sz w:val="24"/>
          <w:szCs w:val="24"/>
          <w:rtl/>
        </w:rPr>
        <w:t xml:space="preserve">0.1 </w:t>
      </w:r>
      <w:r w:rsidR="009B7097" w:rsidRPr="00033A32">
        <w:rPr>
          <w:rFonts w:ascii="David" w:hAnsi="David" w:cs="David"/>
          <w:sz w:val="24"/>
          <w:szCs w:val="24"/>
          <w:rtl/>
        </w:rPr>
        <w:t>נק' האחוז</w:t>
      </w:r>
      <w:r w:rsidR="00DA4279" w:rsidRPr="00033A32">
        <w:rPr>
          <w:rFonts w:ascii="David" w:hAnsi="David" w:cs="David"/>
          <w:sz w:val="24"/>
          <w:szCs w:val="24"/>
          <w:rtl/>
        </w:rPr>
        <w:t xml:space="preserve"> </w:t>
      </w:r>
      <w:r w:rsidR="00416818" w:rsidRPr="00033A32">
        <w:rPr>
          <w:rFonts w:ascii="David" w:hAnsi="David" w:cs="David"/>
          <w:sz w:val="24"/>
          <w:szCs w:val="24"/>
          <w:rtl/>
        </w:rPr>
        <w:t>ל</w:t>
      </w:r>
      <w:r w:rsidR="002C2286" w:rsidRPr="00033A32">
        <w:rPr>
          <w:rFonts w:ascii="David" w:hAnsi="David" w:cs="David"/>
          <w:sz w:val="24"/>
          <w:szCs w:val="24"/>
          <w:rtl/>
        </w:rPr>
        <w:t>כ-</w:t>
      </w:r>
      <w:r w:rsidR="00A2499F" w:rsidRPr="00033A32">
        <w:rPr>
          <w:rFonts w:ascii="David" w:hAnsi="David" w:cs="David"/>
          <w:sz w:val="24"/>
          <w:szCs w:val="24"/>
          <w:rtl/>
        </w:rPr>
        <w:t>1.</w:t>
      </w:r>
      <w:r w:rsidR="003E05CD" w:rsidRPr="00033A32">
        <w:rPr>
          <w:rFonts w:ascii="David" w:hAnsi="David" w:cs="David"/>
          <w:sz w:val="24"/>
          <w:szCs w:val="24"/>
          <w:rtl/>
        </w:rPr>
        <w:t>1</w:t>
      </w:r>
      <w:r w:rsidRPr="00033A32">
        <w:rPr>
          <w:rFonts w:ascii="David" w:hAnsi="David" w:cs="David"/>
          <w:sz w:val="24"/>
          <w:szCs w:val="24"/>
          <w:rtl/>
        </w:rPr>
        <w:t xml:space="preserve"> נק' האחוז</w:t>
      </w:r>
      <w:r w:rsidR="002C2286" w:rsidRPr="00033A32">
        <w:rPr>
          <w:rFonts w:ascii="David" w:hAnsi="David" w:cs="David"/>
          <w:sz w:val="24"/>
          <w:szCs w:val="24"/>
          <w:rtl/>
        </w:rPr>
        <w:t xml:space="preserve">, </w:t>
      </w:r>
      <w:r w:rsidR="00E108C6" w:rsidRPr="00033A32">
        <w:rPr>
          <w:rFonts w:ascii="David" w:hAnsi="David" w:cs="David"/>
          <w:sz w:val="24"/>
          <w:szCs w:val="24"/>
          <w:rtl/>
        </w:rPr>
        <w:t xml:space="preserve">זאת </w:t>
      </w:r>
      <w:r w:rsidR="005B77A0" w:rsidRPr="00033A32">
        <w:rPr>
          <w:rFonts w:ascii="David" w:hAnsi="David" w:cs="David"/>
          <w:sz w:val="24"/>
          <w:szCs w:val="24"/>
          <w:rtl/>
        </w:rPr>
        <w:t>בהמשך להצטמצמות שנרשמה ב</w:t>
      </w:r>
      <w:r w:rsidR="00A2499F" w:rsidRPr="00033A32">
        <w:rPr>
          <w:rFonts w:ascii="David" w:hAnsi="David" w:cs="David"/>
          <w:sz w:val="24"/>
          <w:szCs w:val="24"/>
          <w:rtl/>
        </w:rPr>
        <w:t>שני הרבעים הקודמים</w:t>
      </w:r>
      <w:r w:rsidR="004169F7" w:rsidRPr="00033A32">
        <w:rPr>
          <w:rFonts w:ascii="David" w:hAnsi="David" w:cs="David"/>
          <w:sz w:val="24"/>
          <w:szCs w:val="24"/>
          <w:rtl/>
        </w:rPr>
        <w:t xml:space="preserve">. </w:t>
      </w:r>
      <w:r w:rsidR="008E7A02" w:rsidRPr="00033A32">
        <w:rPr>
          <w:rFonts w:ascii="David" w:hAnsi="David" w:cs="David"/>
          <w:sz w:val="24"/>
          <w:szCs w:val="24"/>
          <w:rtl/>
        </w:rPr>
        <w:t>ב</w:t>
      </w:r>
      <w:r w:rsidR="00A2499F" w:rsidRPr="00033A32">
        <w:rPr>
          <w:rFonts w:ascii="David" w:hAnsi="David" w:cs="David"/>
          <w:sz w:val="24"/>
          <w:szCs w:val="24"/>
          <w:rtl/>
        </w:rPr>
        <w:t>אוקטובר</w:t>
      </w:r>
      <w:r w:rsidRPr="00033A32">
        <w:rPr>
          <w:rFonts w:ascii="David" w:hAnsi="David" w:cs="David"/>
          <w:sz w:val="24"/>
          <w:szCs w:val="24"/>
          <w:rtl/>
        </w:rPr>
        <w:t xml:space="preserve"> </w:t>
      </w:r>
      <w:r w:rsidR="008E7A02" w:rsidRPr="00033A32">
        <w:rPr>
          <w:rFonts w:ascii="David" w:hAnsi="David" w:cs="David"/>
          <w:sz w:val="24"/>
          <w:szCs w:val="24"/>
          <w:rtl/>
        </w:rPr>
        <w:t>201</w:t>
      </w:r>
      <w:r w:rsidR="00561E57" w:rsidRPr="00033A32">
        <w:rPr>
          <w:rFonts w:ascii="David" w:hAnsi="David" w:cs="David"/>
          <w:sz w:val="24"/>
          <w:szCs w:val="24"/>
          <w:rtl/>
        </w:rPr>
        <w:t>9</w:t>
      </w:r>
      <w:r w:rsidR="008E7A02" w:rsidRPr="00033A32">
        <w:rPr>
          <w:rFonts w:ascii="David" w:hAnsi="David" w:cs="David"/>
          <w:sz w:val="24"/>
          <w:szCs w:val="24"/>
          <w:rtl/>
        </w:rPr>
        <w:t xml:space="preserve"> </w:t>
      </w:r>
      <w:r w:rsidR="003E05CD" w:rsidRPr="00033A32">
        <w:rPr>
          <w:rFonts w:ascii="David" w:hAnsi="David" w:cs="David"/>
          <w:sz w:val="24"/>
          <w:szCs w:val="24"/>
          <w:rtl/>
        </w:rPr>
        <w:t xml:space="preserve">מרווח זה המשיך להצטמצם </w:t>
      </w:r>
      <w:r w:rsidR="00416818" w:rsidRPr="00033A32">
        <w:rPr>
          <w:rFonts w:ascii="David" w:hAnsi="David" w:cs="David"/>
          <w:sz w:val="24"/>
          <w:szCs w:val="24"/>
          <w:rtl/>
        </w:rPr>
        <w:t>עד ל</w:t>
      </w:r>
      <w:r w:rsidR="00284B68" w:rsidRPr="00033A32">
        <w:rPr>
          <w:rFonts w:ascii="David" w:hAnsi="David" w:cs="David"/>
          <w:sz w:val="24"/>
          <w:szCs w:val="24"/>
          <w:rtl/>
        </w:rPr>
        <w:t xml:space="preserve">רמה של </w:t>
      </w:r>
      <w:r w:rsidR="002C2286" w:rsidRPr="00033A32">
        <w:rPr>
          <w:rFonts w:ascii="David" w:hAnsi="David" w:cs="David"/>
          <w:sz w:val="24"/>
          <w:szCs w:val="24"/>
          <w:rtl/>
        </w:rPr>
        <w:t>כ-</w:t>
      </w:r>
      <w:r w:rsidR="003E05CD" w:rsidRPr="00033A32">
        <w:rPr>
          <w:rFonts w:ascii="David" w:hAnsi="David" w:cs="David"/>
          <w:sz w:val="24"/>
          <w:szCs w:val="24"/>
          <w:rtl/>
        </w:rPr>
        <w:t>1.09</w:t>
      </w:r>
      <w:r w:rsidR="002C2286" w:rsidRPr="00033A32">
        <w:rPr>
          <w:rFonts w:ascii="David" w:hAnsi="David" w:cs="David"/>
          <w:sz w:val="24"/>
          <w:szCs w:val="24"/>
          <w:rtl/>
        </w:rPr>
        <w:t xml:space="preserve"> נק' האחוז</w:t>
      </w:r>
      <w:r w:rsidR="008E7A02" w:rsidRPr="00033A32">
        <w:rPr>
          <w:rFonts w:ascii="David" w:hAnsi="David" w:cs="David"/>
          <w:sz w:val="24"/>
          <w:szCs w:val="24"/>
          <w:rtl/>
        </w:rPr>
        <w:t>.</w:t>
      </w:r>
      <w:r w:rsidR="00070391" w:rsidRPr="00033A32">
        <w:rPr>
          <w:rFonts w:ascii="David" w:hAnsi="David" w:cs="David"/>
          <w:sz w:val="24"/>
          <w:szCs w:val="24"/>
          <w:rtl/>
        </w:rPr>
        <w:t xml:space="preserve"> (איור 4)</w:t>
      </w:r>
    </w:p>
    <w:p w:rsidR="00C22C1E" w:rsidRPr="00033A32" w:rsidRDefault="00C22C1E" w:rsidP="00C22C1E">
      <w:pPr>
        <w:pStyle w:val="a9"/>
        <w:bidi/>
        <w:spacing w:before="240" w:after="120" w:line="360" w:lineRule="auto"/>
        <w:rPr>
          <w:rFonts w:ascii="David" w:hAnsi="David" w:cs="David"/>
          <w:sz w:val="24"/>
          <w:szCs w:val="24"/>
          <w:rtl/>
        </w:rPr>
      </w:pPr>
    </w:p>
    <w:p w:rsidR="001E78A9" w:rsidRPr="00033A32" w:rsidRDefault="001E78A9">
      <w:pPr>
        <w:spacing w:after="200" w:line="276" w:lineRule="auto"/>
        <w:rPr>
          <w:rFonts w:ascii="David" w:hAnsi="David" w:cs="David"/>
          <w:b/>
          <w:bCs/>
          <w:sz w:val="24"/>
          <w:szCs w:val="24"/>
          <w:rtl/>
          <w:lang w:eastAsia="en-US"/>
        </w:rPr>
      </w:pPr>
      <w:r w:rsidRPr="00033A32">
        <w:rPr>
          <w:rFonts w:ascii="David" w:hAnsi="David" w:cs="David"/>
          <w:b/>
          <w:bCs/>
          <w:rtl/>
        </w:rPr>
        <w:br w:type="page"/>
      </w:r>
    </w:p>
    <w:p w:rsidR="00AC3E61" w:rsidRPr="00033A32" w:rsidRDefault="00AC3E61" w:rsidP="001E78A9">
      <w:pPr>
        <w:pStyle w:val="NormalWeb"/>
        <w:bidi/>
        <w:spacing w:before="0" w:beforeAutospacing="0" w:after="0" w:afterAutospacing="0" w:line="360" w:lineRule="auto"/>
        <w:ind w:left="720"/>
        <w:jc w:val="center"/>
        <w:rPr>
          <w:rFonts w:ascii="David" w:hAnsi="David" w:cs="David"/>
          <w:rtl/>
        </w:rPr>
      </w:pPr>
      <w:r w:rsidRPr="00033A32">
        <w:rPr>
          <w:rFonts w:ascii="David" w:hAnsi="David" w:cs="David"/>
          <w:b/>
          <w:bCs/>
          <w:rtl/>
        </w:rPr>
        <w:t>לוח 1: התפלגות החוב של המגזר העסקי</w:t>
      </w:r>
      <w:r w:rsidR="001E78A9" w:rsidRPr="00033A32">
        <w:rPr>
          <w:rFonts w:ascii="David" w:hAnsi="David" w:cs="David"/>
          <w:b/>
          <w:bCs/>
          <w:rtl/>
        </w:rPr>
        <w:t xml:space="preserve"> הלא-פיננסי</w:t>
      </w:r>
      <w:r w:rsidR="0012175B" w:rsidRPr="00033A32">
        <w:rPr>
          <w:rFonts w:ascii="David" w:hAnsi="David" w:cs="David"/>
          <w:sz w:val="22"/>
          <w:szCs w:val="22"/>
          <w:vertAlign w:val="superscript"/>
          <w:rtl/>
        </w:rPr>
        <w:t>1</w:t>
      </w:r>
      <w:r w:rsidR="00303DA6" w:rsidRPr="00033A32">
        <w:rPr>
          <w:rFonts w:ascii="David" w:hAnsi="David" w:cs="David"/>
          <w:sz w:val="22"/>
          <w:szCs w:val="22"/>
          <w:vertAlign w:val="superscript"/>
          <w:rtl/>
        </w:rPr>
        <w:t xml:space="preserve"> </w:t>
      </w:r>
    </w:p>
    <w:p w:rsidR="002A60C4" w:rsidRPr="00033A32" w:rsidRDefault="00A315D7" w:rsidP="0004490E">
      <w:pPr>
        <w:pStyle w:val="NormalWeb"/>
        <w:bidi/>
        <w:spacing w:before="0" w:beforeAutospacing="0" w:after="0" w:afterAutospacing="0" w:line="360" w:lineRule="auto"/>
        <w:jc w:val="center"/>
        <w:rPr>
          <w:rFonts w:ascii="David" w:hAnsi="David" w:cs="David"/>
          <w:b/>
          <w:bCs/>
          <w:rtl/>
        </w:rPr>
      </w:pPr>
      <w:r w:rsidRPr="00033A32">
        <w:rPr>
          <w:rFonts w:ascii="David" w:hAnsi="David" w:cs="David"/>
          <w:noProof/>
          <w:rtl/>
        </w:rPr>
        <w:drawing>
          <wp:inline distT="0" distB="0" distL="0" distR="0">
            <wp:extent cx="5278120" cy="2410341"/>
            <wp:effectExtent l="0" t="0" r="0" b="9525"/>
            <wp:docPr id="12" name="תמונה 12" descr="לוח 1: התפלגות החוב של המגזר העסקי הלא-פיננסי" title="לוח 1: התפלגות החוב של המגזר העסקי הלא-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2410341"/>
                    </a:xfrm>
                    <a:prstGeom prst="rect">
                      <a:avLst/>
                    </a:prstGeom>
                    <a:noFill/>
                    <a:ln>
                      <a:noFill/>
                    </a:ln>
                  </pic:spPr>
                </pic:pic>
              </a:graphicData>
            </a:graphic>
          </wp:inline>
        </w:drawing>
      </w:r>
    </w:p>
    <w:p w:rsidR="003F454D" w:rsidRPr="00033A32" w:rsidRDefault="003F454D" w:rsidP="00CC6D6D">
      <w:pPr>
        <w:pStyle w:val="NormalWeb"/>
        <w:bidi/>
        <w:spacing w:before="0" w:beforeAutospacing="0" w:after="0" w:afterAutospacing="0" w:line="360" w:lineRule="auto"/>
        <w:jc w:val="center"/>
        <w:rPr>
          <w:rFonts w:ascii="David" w:hAnsi="David" w:cs="David"/>
          <w:b/>
          <w:bCs/>
          <w:rtl/>
        </w:rPr>
      </w:pPr>
    </w:p>
    <w:p w:rsidR="00AC3E61" w:rsidRPr="00033A32" w:rsidRDefault="00AC3E61" w:rsidP="00AD3F98">
      <w:pPr>
        <w:pStyle w:val="NormalWeb"/>
        <w:bidi/>
        <w:spacing w:before="0" w:beforeAutospacing="0" w:after="0" w:afterAutospacing="0" w:line="360" w:lineRule="auto"/>
        <w:jc w:val="center"/>
        <w:rPr>
          <w:rFonts w:ascii="David" w:hAnsi="David" w:cs="David"/>
        </w:rPr>
      </w:pPr>
      <w:r w:rsidRPr="00033A32">
        <w:rPr>
          <w:rFonts w:ascii="David" w:hAnsi="David" w:cs="David"/>
          <w:b/>
          <w:bCs/>
          <w:rtl/>
        </w:rPr>
        <w:t xml:space="preserve">איור 1: </w:t>
      </w:r>
      <w:r w:rsidR="00AD3F98" w:rsidRPr="00033A32">
        <w:rPr>
          <w:rFonts w:ascii="David" w:hAnsi="David" w:cs="David"/>
          <w:b/>
          <w:bCs/>
          <w:rtl/>
        </w:rPr>
        <w:t>אומדן השינוי הכמותי הרבעוני נטו בחוב של</w:t>
      </w:r>
      <w:r w:rsidRPr="00033A32">
        <w:rPr>
          <w:rFonts w:ascii="David" w:hAnsi="David" w:cs="David"/>
          <w:b/>
          <w:bCs/>
          <w:rtl/>
        </w:rPr>
        <w:t xml:space="preserve"> </w:t>
      </w:r>
      <w:r w:rsidR="0004490E" w:rsidRPr="00033A32">
        <w:rPr>
          <w:rFonts w:ascii="David" w:hAnsi="David" w:cs="David"/>
          <w:b/>
          <w:bCs/>
          <w:rtl/>
        </w:rPr>
        <w:t>המגזר</w:t>
      </w:r>
      <w:r w:rsidR="00AD3F98" w:rsidRPr="00033A32">
        <w:rPr>
          <w:rFonts w:ascii="David" w:hAnsi="David" w:cs="David"/>
          <w:b/>
          <w:bCs/>
          <w:rtl/>
        </w:rPr>
        <w:t xml:space="preserve"> העסקי </w:t>
      </w:r>
      <w:r w:rsidR="001E78A9" w:rsidRPr="00033A32">
        <w:rPr>
          <w:rFonts w:ascii="David" w:hAnsi="David" w:cs="David"/>
          <w:b/>
          <w:bCs/>
          <w:rtl/>
        </w:rPr>
        <w:t>הלא-פיננסי</w:t>
      </w:r>
    </w:p>
    <w:p w:rsidR="002A60C4" w:rsidRPr="00033A32" w:rsidRDefault="00207836" w:rsidP="00AC3E61">
      <w:pPr>
        <w:pStyle w:val="a9"/>
        <w:spacing w:line="360" w:lineRule="auto"/>
        <w:ind w:left="0"/>
        <w:jc w:val="center"/>
        <w:rPr>
          <w:rFonts w:ascii="David" w:hAnsi="David" w:cs="David"/>
          <w:b/>
          <w:bCs/>
          <w:sz w:val="24"/>
          <w:szCs w:val="24"/>
          <w:rtl/>
        </w:rPr>
      </w:pPr>
      <w:r w:rsidRPr="00033A32">
        <w:rPr>
          <w:rFonts w:ascii="David" w:hAnsi="David" w:cs="David"/>
          <w:b/>
          <w:bCs/>
          <w:noProof/>
          <w:sz w:val="24"/>
          <w:szCs w:val="24"/>
          <w:lang w:eastAsia="en-US"/>
        </w:rPr>
        <w:drawing>
          <wp:inline distT="0" distB="0" distL="0" distR="0" wp14:anchorId="18528B75">
            <wp:extent cx="5322570" cy="2828925"/>
            <wp:effectExtent l="0" t="0" r="0" b="9525"/>
            <wp:docPr id="17" name="תמונה 17" descr="איור 1: אומדן השינוי הכמותי הרבעוני נטו בחוב של המגזר העסקי הלא-פיננסי" title="איור 1: אומדן השינוי הכמותי הרבעוני נטו בחוב של המגזר העסקי הלא-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570" cy="2828925"/>
                    </a:xfrm>
                    <a:prstGeom prst="rect">
                      <a:avLst/>
                    </a:prstGeom>
                    <a:noFill/>
                  </pic:spPr>
                </pic:pic>
              </a:graphicData>
            </a:graphic>
          </wp:inline>
        </w:drawing>
      </w:r>
    </w:p>
    <w:p w:rsidR="00D602E8" w:rsidRPr="00033A32" w:rsidRDefault="00AC3E61" w:rsidP="00AC3E61">
      <w:pPr>
        <w:pStyle w:val="a9"/>
        <w:spacing w:line="360" w:lineRule="auto"/>
        <w:ind w:left="0"/>
        <w:jc w:val="center"/>
        <w:rPr>
          <w:rFonts w:ascii="David" w:hAnsi="David" w:cs="David"/>
          <w:b/>
          <w:bCs/>
          <w:sz w:val="24"/>
          <w:szCs w:val="24"/>
          <w:rtl/>
        </w:rPr>
      </w:pPr>
      <w:r w:rsidRPr="00033A32">
        <w:rPr>
          <w:rFonts w:ascii="David" w:hAnsi="David" w:cs="David"/>
          <w:b/>
          <w:bCs/>
          <w:sz w:val="24"/>
          <w:szCs w:val="24"/>
          <w:rtl/>
        </w:rPr>
        <w:t xml:space="preserve"> </w:t>
      </w:r>
    </w:p>
    <w:p w:rsidR="00D602E8" w:rsidRPr="00033A32" w:rsidRDefault="00D602E8">
      <w:pPr>
        <w:spacing w:after="200" w:line="276" w:lineRule="auto"/>
        <w:rPr>
          <w:rFonts w:ascii="David" w:hAnsi="David" w:cs="David"/>
          <w:b/>
          <w:bCs/>
          <w:sz w:val="24"/>
          <w:szCs w:val="24"/>
        </w:rPr>
      </w:pPr>
      <w:r w:rsidRPr="00033A32">
        <w:rPr>
          <w:rFonts w:ascii="David" w:hAnsi="David" w:cs="David"/>
          <w:b/>
          <w:bCs/>
          <w:sz w:val="24"/>
          <w:szCs w:val="24"/>
          <w:rtl/>
        </w:rPr>
        <w:br w:type="page"/>
      </w:r>
    </w:p>
    <w:p w:rsidR="00675551" w:rsidRPr="00033A32" w:rsidRDefault="00675551" w:rsidP="00675551">
      <w:pPr>
        <w:bidi/>
        <w:spacing w:line="360" w:lineRule="auto"/>
        <w:jc w:val="center"/>
        <w:rPr>
          <w:rFonts w:ascii="David" w:hAnsi="David" w:cs="David"/>
          <w:b/>
          <w:bCs/>
          <w:sz w:val="24"/>
          <w:szCs w:val="24"/>
          <w:rtl/>
        </w:rPr>
      </w:pPr>
      <w:r w:rsidRPr="00033A32">
        <w:rPr>
          <w:rFonts w:ascii="David" w:hAnsi="David" w:cs="David"/>
          <w:b/>
          <w:bCs/>
          <w:sz w:val="24"/>
          <w:szCs w:val="24"/>
          <w:rtl/>
        </w:rPr>
        <w:t>איור 2: שיעורי השינוי לעומת הרביע המקביל בשנה הקודמת בחוב הבנקאי והחוץ-בנקאי של המגזר העסקי</w:t>
      </w:r>
      <w:r w:rsidR="001E78A9" w:rsidRPr="00033A32">
        <w:rPr>
          <w:rFonts w:ascii="David" w:hAnsi="David" w:cs="David"/>
          <w:b/>
          <w:bCs/>
          <w:sz w:val="24"/>
          <w:szCs w:val="24"/>
          <w:rtl/>
        </w:rPr>
        <w:t xml:space="preserve"> הלא-פיננסי</w:t>
      </w:r>
    </w:p>
    <w:p w:rsidR="00675551" w:rsidRPr="00033A32" w:rsidRDefault="00F136A6" w:rsidP="00675551">
      <w:pPr>
        <w:bidi/>
        <w:spacing w:line="360" w:lineRule="auto"/>
        <w:jc w:val="center"/>
        <w:rPr>
          <w:rFonts w:ascii="David" w:hAnsi="David" w:cs="David"/>
          <w:b/>
          <w:bCs/>
          <w:sz w:val="24"/>
          <w:szCs w:val="24"/>
          <w:rtl/>
        </w:rPr>
      </w:pPr>
      <w:r w:rsidRPr="00033A32">
        <w:rPr>
          <w:rFonts w:ascii="David" w:hAnsi="David" w:cs="David"/>
          <w:b/>
          <w:bCs/>
          <w:noProof/>
          <w:sz w:val="24"/>
          <w:szCs w:val="24"/>
          <w:lang w:eastAsia="en-US"/>
        </w:rPr>
        <w:drawing>
          <wp:inline distT="0" distB="0" distL="0" distR="0" wp14:anchorId="4B5A2F52">
            <wp:extent cx="5292090" cy="2603500"/>
            <wp:effectExtent l="0" t="0" r="3810" b="6350"/>
            <wp:docPr id="1" name="תמונה 1" descr="איור 2: שיעורי השינוי לעומת הרביע המקביל בשנה הקודמת בחוב הבנקאי והחוץ-בנקאי של המגזר העסקי הלא-פיננסי" title="איור 2: שיעורי השינוי לעומת הרביע המקביל בשנה הקודמת בחוב הבנקאי והחוץ-בנקאי של המגזר העסקי הלא-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2090" cy="2603500"/>
                    </a:xfrm>
                    <a:prstGeom prst="rect">
                      <a:avLst/>
                    </a:prstGeom>
                    <a:noFill/>
                  </pic:spPr>
                </pic:pic>
              </a:graphicData>
            </a:graphic>
          </wp:inline>
        </w:drawing>
      </w:r>
    </w:p>
    <w:p w:rsidR="00C9450A" w:rsidRPr="00033A32" w:rsidRDefault="00C9450A" w:rsidP="00675551">
      <w:pPr>
        <w:bidi/>
        <w:spacing w:line="360" w:lineRule="auto"/>
        <w:jc w:val="center"/>
        <w:rPr>
          <w:rFonts w:ascii="David" w:hAnsi="David" w:cs="David"/>
          <w:b/>
          <w:bCs/>
          <w:sz w:val="24"/>
          <w:szCs w:val="24"/>
          <w:rtl/>
        </w:rPr>
      </w:pPr>
    </w:p>
    <w:p w:rsidR="00AC3E61" w:rsidRPr="00033A32" w:rsidRDefault="00AC3E61" w:rsidP="00C9450A">
      <w:pPr>
        <w:bidi/>
        <w:spacing w:line="360" w:lineRule="auto"/>
        <w:jc w:val="center"/>
        <w:rPr>
          <w:rFonts w:ascii="David" w:hAnsi="David" w:cs="David"/>
          <w:b/>
          <w:bCs/>
          <w:sz w:val="24"/>
          <w:szCs w:val="24"/>
        </w:rPr>
      </w:pPr>
      <w:r w:rsidRPr="00033A32">
        <w:rPr>
          <w:rFonts w:ascii="David" w:hAnsi="David" w:cs="David"/>
          <w:b/>
          <w:bCs/>
          <w:sz w:val="24"/>
          <w:szCs w:val="24"/>
          <w:rtl/>
        </w:rPr>
        <w:t xml:space="preserve">איור </w:t>
      </w:r>
      <w:r w:rsidR="00070391" w:rsidRPr="00033A32">
        <w:rPr>
          <w:rFonts w:ascii="David" w:hAnsi="David" w:cs="David"/>
          <w:b/>
          <w:bCs/>
          <w:sz w:val="24"/>
          <w:szCs w:val="24"/>
        </w:rPr>
        <w:t>3</w:t>
      </w:r>
      <w:r w:rsidRPr="00033A32">
        <w:rPr>
          <w:rFonts w:ascii="David" w:hAnsi="David" w:cs="David"/>
          <w:b/>
          <w:bCs/>
          <w:sz w:val="24"/>
          <w:szCs w:val="24"/>
          <w:rtl/>
        </w:rPr>
        <w:t xml:space="preserve">: </w:t>
      </w:r>
      <w:r w:rsidR="00D602E8" w:rsidRPr="00033A32">
        <w:rPr>
          <w:rFonts w:ascii="David" w:hAnsi="David" w:cs="David"/>
          <w:b/>
          <w:bCs/>
          <w:sz w:val="24"/>
          <w:szCs w:val="24"/>
          <w:rtl/>
        </w:rPr>
        <w:t>הנפקות אג"ח של המגזר העסקי הלא-פיננסי במהלך הרביע, לפי ענפים</w:t>
      </w:r>
      <w:r w:rsidR="00416818" w:rsidRPr="00033A32">
        <w:rPr>
          <w:rFonts w:ascii="David" w:hAnsi="David" w:cs="David"/>
          <w:b/>
          <w:bCs/>
          <w:sz w:val="24"/>
          <w:szCs w:val="24"/>
          <w:rtl/>
        </w:rPr>
        <w:t xml:space="preserve"> </w:t>
      </w:r>
    </w:p>
    <w:p w:rsidR="00F83505" w:rsidRPr="00033A32" w:rsidRDefault="006D6EEC" w:rsidP="001F1E1B">
      <w:pPr>
        <w:pStyle w:val="a9"/>
        <w:spacing w:line="360" w:lineRule="auto"/>
        <w:ind w:left="0"/>
        <w:jc w:val="center"/>
        <w:rPr>
          <w:rFonts w:ascii="David" w:hAnsi="David" w:cs="David"/>
          <w:b/>
          <w:bCs/>
          <w:sz w:val="24"/>
          <w:szCs w:val="24"/>
          <w:rtl/>
        </w:rPr>
      </w:pPr>
      <w:r w:rsidRPr="00033A32">
        <w:rPr>
          <w:rFonts w:ascii="David" w:hAnsi="David" w:cs="David"/>
          <w:b/>
          <w:bCs/>
          <w:noProof/>
          <w:sz w:val="24"/>
          <w:szCs w:val="24"/>
          <w:lang w:eastAsia="en-US"/>
        </w:rPr>
        <w:drawing>
          <wp:inline distT="0" distB="0" distL="0" distR="0" wp14:anchorId="4280238A">
            <wp:extent cx="5212715" cy="2962910"/>
            <wp:effectExtent l="0" t="0" r="6985" b="8890"/>
            <wp:docPr id="14" name="תמונה 14" descr="איור 3: הנפקות אג&quot;ח של המגזר העסקי הלא-פיננסי במהלך הרביע, לפי ענפים " title="איור 3: הנפקות אג&quot;ח של המגזר העסקי הלא-פיננסי במהלך הרביע, לפי ענפ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715" cy="2962910"/>
                    </a:xfrm>
                    <a:prstGeom prst="rect">
                      <a:avLst/>
                    </a:prstGeom>
                    <a:noFill/>
                  </pic:spPr>
                </pic:pic>
              </a:graphicData>
            </a:graphic>
          </wp:inline>
        </w:drawing>
      </w:r>
    </w:p>
    <w:p w:rsidR="00402A67" w:rsidRPr="00033A32" w:rsidRDefault="00402A67">
      <w:pPr>
        <w:spacing w:after="200" w:line="276" w:lineRule="auto"/>
        <w:rPr>
          <w:rFonts w:ascii="David" w:hAnsi="David" w:cs="David"/>
          <w:b/>
          <w:bCs/>
          <w:sz w:val="24"/>
          <w:szCs w:val="24"/>
          <w:rtl/>
        </w:rPr>
      </w:pPr>
    </w:p>
    <w:p w:rsidR="00A2499F" w:rsidRPr="00033A32" w:rsidRDefault="00A2499F">
      <w:pPr>
        <w:spacing w:after="200" w:line="276" w:lineRule="auto"/>
        <w:rPr>
          <w:rFonts w:ascii="David" w:hAnsi="David" w:cs="David"/>
          <w:b/>
          <w:bCs/>
          <w:sz w:val="24"/>
          <w:szCs w:val="24"/>
          <w:rtl/>
        </w:rPr>
      </w:pPr>
    </w:p>
    <w:p w:rsidR="00A2499F" w:rsidRPr="00033A32" w:rsidRDefault="00A2499F">
      <w:pPr>
        <w:spacing w:after="200" w:line="276" w:lineRule="auto"/>
        <w:rPr>
          <w:rFonts w:ascii="David" w:hAnsi="David" w:cs="David"/>
          <w:b/>
          <w:bCs/>
          <w:sz w:val="24"/>
          <w:szCs w:val="24"/>
          <w:rtl/>
        </w:rPr>
      </w:pPr>
    </w:p>
    <w:p w:rsidR="00A2499F" w:rsidRPr="00033A32" w:rsidRDefault="00A2499F">
      <w:pPr>
        <w:spacing w:after="200" w:line="276" w:lineRule="auto"/>
        <w:rPr>
          <w:rFonts w:ascii="David" w:hAnsi="David" w:cs="David"/>
          <w:b/>
          <w:bCs/>
          <w:sz w:val="24"/>
          <w:szCs w:val="24"/>
          <w:rtl/>
        </w:rPr>
      </w:pPr>
    </w:p>
    <w:p w:rsidR="0045413E" w:rsidRPr="00033A32" w:rsidRDefault="0045413E">
      <w:pPr>
        <w:spacing w:after="200" w:line="276" w:lineRule="auto"/>
        <w:rPr>
          <w:rFonts w:ascii="David" w:hAnsi="David" w:cs="David"/>
          <w:b/>
          <w:bCs/>
          <w:sz w:val="24"/>
          <w:szCs w:val="24"/>
          <w:rtl/>
        </w:rPr>
      </w:pPr>
      <w:r w:rsidRPr="00033A32">
        <w:rPr>
          <w:rFonts w:ascii="David" w:hAnsi="David" w:cs="David"/>
          <w:b/>
          <w:bCs/>
          <w:sz w:val="24"/>
          <w:szCs w:val="24"/>
          <w:rtl/>
        </w:rPr>
        <w:br w:type="page"/>
      </w:r>
    </w:p>
    <w:p w:rsidR="00522BB0" w:rsidRPr="00033A32" w:rsidRDefault="00522BB0" w:rsidP="00070391">
      <w:pPr>
        <w:pStyle w:val="a9"/>
        <w:bidi/>
        <w:spacing w:line="360" w:lineRule="auto"/>
        <w:ind w:left="360" w:right="-101"/>
        <w:jc w:val="center"/>
        <w:rPr>
          <w:rFonts w:ascii="David" w:hAnsi="David" w:cs="David"/>
          <w:b/>
          <w:bCs/>
          <w:sz w:val="24"/>
          <w:szCs w:val="24"/>
          <w:rtl/>
        </w:rPr>
      </w:pPr>
      <w:r w:rsidRPr="00033A32">
        <w:rPr>
          <w:rFonts w:ascii="David" w:hAnsi="David" w:cs="David"/>
          <w:b/>
          <w:bCs/>
          <w:sz w:val="24"/>
          <w:szCs w:val="24"/>
          <w:rtl/>
        </w:rPr>
        <w:t xml:space="preserve">איור </w:t>
      </w:r>
      <w:r w:rsidR="00070391" w:rsidRPr="00033A32">
        <w:rPr>
          <w:rFonts w:ascii="David" w:hAnsi="David" w:cs="David"/>
          <w:b/>
          <w:bCs/>
          <w:sz w:val="24"/>
          <w:szCs w:val="24"/>
        </w:rPr>
        <w:t>4</w:t>
      </w:r>
      <w:r w:rsidRPr="00033A32">
        <w:rPr>
          <w:rFonts w:ascii="David" w:hAnsi="David" w:cs="David"/>
          <w:b/>
          <w:bCs/>
          <w:sz w:val="24"/>
          <w:szCs w:val="24"/>
          <w:rtl/>
        </w:rPr>
        <w:t>: המרווח בין אג"ח חברות צמוד</w:t>
      </w:r>
      <w:r w:rsidR="00416818" w:rsidRPr="00033A32">
        <w:rPr>
          <w:rFonts w:ascii="David" w:hAnsi="David" w:cs="David"/>
          <w:b/>
          <w:bCs/>
          <w:sz w:val="24"/>
          <w:szCs w:val="24"/>
          <w:rtl/>
        </w:rPr>
        <w:t>ות</w:t>
      </w:r>
      <w:r w:rsidRPr="00033A32">
        <w:rPr>
          <w:rFonts w:ascii="David" w:hAnsi="David" w:cs="David"/>
          <w:b/>
          <w:bCs/>
          <w:sz w:val="24"/>
          <w:szCs w:val="24"/>
          <w:rtl/>
        </w:rPr>
        <w:t xml:space="preserve"> (תל בונד 60) לאג"ח ממשלתי</w:t>
      </w:r>
      <w:r w:rsidR="00416818" w:rsidRPr="00033A32">
        <w:rPr>
          <w:rFonts w:ascii="David" w:hAnsi="David" w:cs="David"/>
          <w:b/>
          <w:bCs/>
          <w:sz w:val="24"/>
          <w:szCs w:val="24"/>
          <w:rtl/>
        </w:rPr>
        <w:t>ות</w:t>
      </w:r>
      <w:r w:rsidRPr="00033A32">
        <w:rPr>
          <w:rFonts w:ascii="David" w:hAnsi="David" w:cs="David"/>
          <w:b/>
          <w:bCs/>
          <w:sz w:val="24"/>
          <w:szCs w:val="24"/>
          <w:rtl/>
        </w:rPr>
        <w:t xml:space="preserve"> צמוד</w:t>
      </w:r>
      <w:r w:rsidR="00416818" w:rsidRPr="00033A32">
        <w:rPr>
          <w:rFonts w:ascii="David" w:hAnsi="David" w:cs="David"/>
          <w:b/>
          <w:bCs/>
          <w:sz w:val="24"/>
          <w:szCs w:val="24"/>
          <w:rtl/>
        </w:rPr>
        <w:t>ות</w:t>
      </w:r>
      <w:r w:rsidRPr="00033A32">
        <w:rPr>
          <w:rFonts w:ascii="David" w:hAnsi="David" w:cs="David"/>
          <w:b/>
          <w:bCs/>
          <w:sz w:val="24"/>
          <w:szCs w:val="24"/>
          <w:rtl/>
        </w:rPr>
        <w:t xml:space="preserve"> </w:t>
      </w:r>
      <w:r w:rsidRPr="00033A32">
        <w:rPr>
          <w:rFonts w:ascii="David" w:hAnsi="David" w:cs="David"/>
          <w:b/>
          <w:bCs/>
          <w:sz w:val="24"/>
          <w:szCs w:val="24"/>
          <w:rtl/>
        </w:rPr>
        <w:br/>
        <w:t>(ממוצע חודשי)</w:t>
      </w:r>
    </w:p>
    <w:p w:rsidR="00522BB0" w:rsidRPr="00033A32" w:rsidRDefault="00A315D7" w:rsidP="00522BB0">
      <w:pPr>
        <w:pStyle w:val="a9"/>
        <w:bidi/>
        <w:spacing w:line="360" w:lineRule="auto"/>
        <w:ind w:left="-52" w:right="-101"/>
        <w:jc w:val="center"/>
        <w:rPr>
          <w:rFonts w:ascii="David" w:hAnsi="David" w:cs="David"/>
          <w:b/>
          <w:bCs/>
          <w:sz w:val="24"/>
          <w:szCs w:val="24"/>
          <w:rtl/>
        </w:rPr>
      </w:pPr>
      <w:r w:rsidRPr="00033A32">
        <w:rPr>
          <w:rFonts w:ascii="David" w:hAnsi="David" w:cs="David"/>
          <w:b/>
          <w:bCs/>
          <w:noProof/>
          <w:sz w:val="24"/>
          <w:szCs w:val="24"/>
          <w:lang w:eastAsia="en-US"/>
        </w:rPr>
        <w:drawing>
          <wp:inline distT="0" distB="0" distL="0" distR="0" wp14:anchorId="33C3CABA">
            <wp:extent cx="5316220" cy="2743200"/>
            <wp:effectExtent l="0" t="0" r="0" b="0"/>
            <wp:docPr id="13" name="תמונה 13" descr="איור 4: המרווח בין אג&quot;ח חברות צמודות (תל בונד 60) לאג&quot;ח ממשלתיות צמודות &#10;(ממוצע חודשי)&#10;" title="איור 4: המרווח בין אג&quot;ח חברות צמודות (תל בונד 60) לאג&quot;ח ממשלתיות צמוד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6220" cy="2743200"/>
                    </a:xfrm>
                    <a:prstGeom prst="rect">
                      <a:avLst/>
                    </a:prstGeom>
                    <a:noFill/>
                  </pic:spPr>
                </pic:pic>
              </a:graphicData>
            </a:graphic>
          </wp:inline>
        </w:drawing>
      </w:r>
    </w:p>
    <w:p w:rsidR="00522BB0" w:rsidRPr="00033A32" w:rsidRDefault="00522BB0" w:rsidP="00522BB0">
      <w:pPr>
        <w:pStyle w:val="a9"/>
        <w:bidi/>
        <w:spacing w:line="360" w:lineRule="auto"/>
        <w:ind w:left="360" w:right="-101"/>
        <w:jc w:val="center"/>
        <w:rPr>
          <w:rFonts w:ascii="David" w:hAnsi="David" w:cs="David"/>
          <w:sz w:val="24"/>
          <w:szCs w:val="24"/>
          <w:u w:val="single"/>
          <w:rtl/>
        </w:rPr>
      </w:pPr>
    </w:p>
    <w:p w:rsidR="009F574F" w:rsidRPr="00033A32" w:rsidRDefault="009F574F" w:rsidP="007A3CCD">
      <w:pPr>
        <w:pStyle w:val="a9"/>
        <w:numPr>
          <w:ilvl w:val="0"/>
          <w:numId w:val="18"/>
        </w:numPr>
        <w:bidi/>
        <w:spacing w:line="360" w:lineRule="auto"/>
        <w:jc w:val="both"/>
        <w:rPr>
          <w:rStyle w:val="10"/>
          <w:rFonts w:ascii="David" w:hAnsi="David" w:cs="David"/>
        </w:rPr>
      </w:pPr>
      <w:r w:rsidRPr="00033A32">
        <w:rPr>
          <w:rStyle w:val="10"/>
          <w:rFonts w:ascii="David" w:hAnsi="David" w:cs="David"/>
          <w:rtl/>
        </w:rPr>
        <w:t>החוב של משקי הבית</w:t>
      </w:r>
    </w:p>
    <w:p w:rsidR="00D01EC4" w:rsidRPr="00033A32" w:rsidRDefault="002319C1" w:rsidP="00105B59">
      <w:pPr>
        <w:pStyle w:val="a9"/>
        <w:numPr>
          <w:ilvl w:val="0"/>
          <w:numId w:val="9"/>
        </w:numPr>
        <w:bidi/>
        <w:spacing w:before="240" w:after="120" w:line="360" w:lineRule="auto"/>
        <w:rPr>
          <w:rFonts w:ascii="David" w:hAnsi="David" w:cs="David"/>
          <w:sz w:val="24"/>
          <w:szCs w:val="24"/>
        </w:rPr>
      </w:pPr>
      <w:r w:rsidRPr="00033A32">
        <w:rPr>
          <w:rFonts w:ascii="David" w:hAnsi="David" w:cs="David"/>
          <w:b/>
          <w:bCs/>
          <w:sz w:val="24"/>
          <w:szCs w:val="24"/>
          <w:rtl/>
        </w:rPr>
        <w:t>יתרת החוב של משקי הבית</w:t>
      </w:r>
      <w:r w:rsidRPr="00033A32">
        <w:rPr>
          <w:rFonts w:ascii="David" w:hAnsi="David" w:cs="David"/>
          <w:sz w:val="24"/>
          <w:szCs w:val="24"/>
          <w:rtl/>
        </w:rPr>
        <w:t xml:space="preserve"> </w:t>
      </w:r>
      <w:r w:rsidR="007A39D0" w:rsidRPr="00033A32">
        <w:rPr>
          <w:rFonts w:ascii="David" w:hAnsi="David" w:cs="David"/>
          <w:sz w:val="24"/>
          <w:szCs w:val="24"/>
          <w:rtl/>
        </w:rPr>
        <w:t>גדלה</w:t>
      </w:r>
      <w:r w:rsidR="0004490E" w:rsidRPr="00033A32">
        <w:rPr>
          <w:rFonts w:ascii="David" w:hAnsi="David" w:cs="David"/>
          <w:sz w:val="24"/>
          <w:szCs w:val="24"/>
          <w:rtl/>
        </w:rPr>
        <w:t xml:space="preserve"> </w:t>
      </w:r>
      <w:r w:rsidR="007A39D0" w:rsidRPr="00033A32">
        <w:rPr>
          <w:rFonts w:ascii="David" w:hAnsi="David" w:cs="David"/>
          <w:sz w:val="24"/>
          <w:szCs w:val="24"/>
          <w:rtl/>
        </w:rPr>
        <w:t>ב</w:t>
      </w:r>
      <w:r w:rsidR="00DA070E" w:rsidRPr="00033A32">
        <w:rPr>
          <w:rFonts w:ascii="David" w:hAnsi="David" w:cs="David"/>
          <w:sz w:val="24"/>
          <w:szCs w:val="24"/>
          <w:rtl/>
        </w:rPr>
        <w:t xml:space="preserve">רביע </w:t>
      </w:r>
      <w:r w:rsidR="00CF24FB" w:rsidRPr="00033A32">
        <w:rPr>
          <w:rFonts w:ascii="David" w:hAnsi="David" w:cs="David"/>
          <w:sz w:val="24"/>
          <w:szCs w:val="24"/>
          <w:rtl/>
        </w:rPr>
        <w:t>ה</w:t>
      </w:r>
      <w:r w:rsidR="009048BA" w:rsidRPr="00033A32">
        <w:rPr>
          <w:rFonts w:ascii="David" w:hAnsi="David" w:cs="David"/>
          <w:sz w:val="24"/>
          <w:szCs w:val="24"/>
          <w:rtl/>
        </w:rPr>
        <w:t>שלישי</w:t>
      </w:r>
      <w:r w:rsidR="00182968" w:rsidRPr="00033A32">
        <w:rPr>
          <w:rFonts w:ascii="David" w:hAnsi="David" w:cs="David"/>
          <w:sz w:val="24"/>
          <w:szCs w:val="24"/>
          <w:rtl/>
        </w:rPr>
        <w:t xml:space="preserve"> </w:t>
      </w:r>
      <w:r w:rsidR="0004490E" w:rsidRPr="00033A32">
        <w:rPr>
          <w:rFonts w:ascii="David" w:hAnsi="David" w:cs="David"/>
          <w:sz w:val="24"/>
          <w:szCs w:val="24"/>
          <w:rtl/>
        </w:rPr>
        <w:t xml:space="preserve">של שנת </w:t>
      </w:r>
      <w:r w:rsidR="00182968" w:rsidRPr="00033A32">
        <w:rPr>
          <w:rFonts w:ascii="David" w:hAnsi="David" w:cs="David"/>
          <w:sz w:val="24"/>
          <w:szCs w:val="24"/>
          <w:rtl/>
        </w:rPr>
        <w:t>2019</w:t>
      </w:r>
      <w:r w:rsidR="0004490E" w:rsidRPr="00033A32">
        <w:rPr>
          <w:rFonts w:ascii="David" w:hAnsi="David" w:cs="David"/>
          <w:sz w:val="24"/>
          <w:szCs w:val="24"/>
          <w:rtl/>
        </w:rPr>
        <w:t xml:space="preserve"> </w:t>
      </w:r>
      <w:r w:rsidR="007A39D0" w:rsidRPr="00033A32">
        <w:rPr>
          <w:rFonts w:ascii="David" w:hAnsi="David" w:cs="David"/>
          <w:sz w:val="24"/>
          <w:szCs w:val="24"/>
          <w:rtl/>
        </w:rPr>
        <w:t>בכ-</w:t>
      </w:r>
      <w:r w:rsidR="002E2CC4" w:rsidRPr="00033A32">
        <w:rPr>
          <w:rFonts w:ascii="David" w:hAnsi="David" w:cs="David"/>
          <w:sz w:val="24"/>
          <w:szCs w:val="24"/>
          <w:rtl/>
        </w:rPr>
        <w:t>9</w:t>
      </w:r>
      <w:r w:rsidR="006819E9" w:rsidRPr="00033A32">
        <w:rPr>
          <w:rFonts w:ascii="David" w:hAnsi="David" w:cs="David"/>
          <w:sz w:val="24"/>
          <w:szCs w:val="24"/>
          <w:rtl/>
        </w:rPr>
        <w:t xml:space="preserve"> </w:t>
      </w:r>
      <w:r w:rsidR="007A39D0" w:rsidRPr="00033A32">
        <w:rPr>
          <w:rFonts w:ascii="David" w:hAnsi="David" w:cs="David"/>
          <w:sz w:val="24"/>
          <w:szCs w:val="24"/>
          <w:rtl/>
        </w:rPr>
        <w:t>מיליארדי ש"ח (</w:t>
      </w:r>
      <w:r w:rsidR="002E2CC4" w:rsidRPr="00033A32">
        <w:rPr>
          <w:rFonts w:ascii="David" w:hAnsi="David" w:cs="David"/>
          <w:sz w:val="24"/>
          <w:szCs w:val="24"/>
          <w:rtl/>
        </w:rPr>
        <w:t>1.</w:t>
      </w:r>
      <w:r w:rsidR="00D01EC4" w:rsidRPr="00033A32">
        <w:rPr>
          <w:rFonts w:ascii="David" w:hAnsi="David" w:cs="David"/>
          <w:sz w:val="24"/>
          <w:szCs w:val="24"/>
          <w:rtl/>
        </w:rPr>
        <w:t>6</w:t>
      </w:r>
      <w:r w:rsidR="007A39D0" w:rsidRPr="00033A32">
        <w:rPr>
          <w:rFonts w:ascii="David" w:hAnsi="David" w:cs="David"/>
          <w:sz w:val="24"/>
          <w:szCs w:val="24"/>
          <w:rtl/>
        </w:rPr>
        <w:t xml:space="preserve">%) </w:t>
      </w:r>
      <w:r w:rsidR="0054512E" w:rsidRPr="00033A32">
        <w:rPr>
          <w:rFonts w:ascii="David" w:hAnsi="David" w:cs="David"/>
          <w:sz w:val="24"/>
          <w:szCs w:val="24"/>
          <w:rtl/>
        </w:rPr>
        <w:t xml:space="preserve">לרמה של </w:t>
      </w:r>
      <w:r w:rsidR="0004490E" w:rsidRPr="00033A32">
        <w:rPr>
          <w:rFonts w:ascii="David" w:hAnsi="David" w:cs="David"/>
          <w:sz w:val="24"/>
          <w:szCs w:val="24"/>
          <w:rtl/>
        </w:rPr>
        <w:t>כ-</w:t>
      </w:r>
      <w:r w:rsidR="00182968" w:rsidRPr="00033A32">
        <w:rPr>
          <w:rFonts w:ascii="David" w:hAnsi="David" w:cs="David"/>
          <w:sz w:val="24"/>
          <w:szCs w:val="24"/>
          <w:rtl/>
        </w:rPr>
        <w:t>5</w:t>
      </w:r>
      <w:r w:rsidR="00D01EC4" w:rsidRPr="00033A32">
        <w:rPr>
          <w:rFonts w:ascii="David" w:hAnsi="David" w:cs="David"/>
          <w:sz w:val="24"/>
          <w:szCs w:val="24"/>
          <w:rtl/>
        </w:rPr>
        <w:t>81</w:t>
      </w:r>
      <w:r w:rsidR="0004490E" w:rsidRPr="00033A32">
        <w:rPr>
          <w:rFonts w:ascii="David" w:hAnsi="David" w:cs="David"/>
          <w:sz w:val="24"/>
          <w:szCs w:val="24"/>
          <w:rtl/>
        </w:rPr>
        <w:t xml:space="preserve"> מיליארדי</w:t>
      </w:r>
      <w:r w:rsidR="001F50C9" w:rsidRPr="00033A32">
        <w:rPr>
          <w:rFonts w:ascii="David" w:hAnsi="David" w:cs="David"/>
          <w:sz w:val="24"/>
          <w:szCs w:val="24"/>
          <w:rtl/>
        </w:rPr>
        <w:t>ם</w:t>
      </w:r>
      <w:r w:rsidR="00182968" w:rsidRPr="00033A32">
        <w:rPr>
          <w:rFonts w:ascii="David" w:hAnsi="David" w:cs="David"/>
          <w:sz w:val="24"/>
          <w:szCs w:val="24"/>
          <w:rtl/>
        </w:rPr>
        <w:t xml:space="preserve">. </w:t>
      </w:r>
      <w:r w:rsidR="00105B59" w:rsidRPr="00033A32">
        <w:rPr>
          <w:rFonts w:ascii="David" w:hAnsi="David" w:cs="David"/>
          <w:sz w:val="24"/>
          <w:szCs w:val="24"/>
          <w:rtl/>
        </w:rPr>
        <w:t xml:space="preserve">יתרת החוב לדיור עלתה ברביע זה בכ-6 מיליארדי ש"ח (1.7%) לרמה של כ-379 מיליארדים. </w:t>
      </w:r>
      <w:r w:rsidR="00D01EC4" w:rsidRPr="00033A32">
        <w:rPr>
          <w:rFonts w:ascii="David" w:hAnsi="David" w:cs="David"/>
          <w:sz w:val="24"/>
          <w:szCs w:val="24"/>
          <w:rtl/>
        </w:rPr>
        <w:t xml:space="preserve">ברביע זה חלה עלייה בקצב הגידול השנתי של יתרת החוב שלא לדיור, בשונה ממגמת הירידה של קצב זה בשנתיים האחרונות: יתרה זו גדלה ברביע השלישי של השנה בכ-3 מיליארדים ש"ח (1.6%) לרמה של כ-202 מיליארדים. (איור </w:t>
      </w:r>
      <w:r w:rsidR="00B42CE6" w:rsidRPr="00033A32">
        <w:rPr>
          <w:rFonts w:ascii="David" w:hAnsi="David" w:cs="David"/>
          <w:sz w:val="24"/>
          <w:szCs w:val="24"/>
          <w:rtl/>
        </w:rPr>
        <w:t>5</w:t>
      </w:r>
      <w:r w:rsidR="00D01EC4" w:rsidRPr="00033A32">
        <w:rPr>
          <w:rFonts w:ascii="David" w:hAnsi="David" w:cs="David"/>
          <w:sz w:val="24"/>
          <w:szCs w:val="24"/>
          <w:rtl/>
        </w:rPr>
        <w:t xml:space="preserve">). </w:t>
      </w:r>
    </w:p>
    <w:p w:rsidR="006B6CFA" w:rsidRPr="00033A32" w:rsidRDefault="002A6176" w:rsidP="00987F05">
      <w:pPr>
        <w:pStyle w:val="a9"/>
        <w:numPr>
          <w:ilvl w:val="0"/>
          <w:numId w:val="9"/>
        </w:numPr>
        <w:bidi/>
        <w:spacing w:before="240" w:after="120" w:line="360" w:lineRule="auto"/>
        <w:rPr>
          <w:rFonts w:ascii="David" w:hAnsi="David" w:cs="David"/>
          <w:sz w:val="24"/>
          <w:szCs w:val="24"/>
        </w:rPr>
      </w:pPr>
      <w:r w:rsidRPr="00033A32">
        <w:rPr>
          <w:rFonts w:ascii="David" w:hAnsi="David" w:cs="David"/>
          <w:sz w:val="24"/>
          <w:szCs w:val="24"/>
          <w:rtl/>
        </w:rPr>
        <w:t xml:space="preserve">במהלך </w:t>
      </w:r>
      <w:r w:rsidR="006B6CFA" w:rsidRPr="00033A32">
        <w:rPr>
          <w:rFonts w:ascii="David" w:hAnsi="David" w:cs="David"/>
          <w:sz w:val="24"/>
          <w:szCs w:val="24"/>
          <w:rtl/>
        </w:rPr>
        <w:t xml:space="preserve">הרביע השלישי של השנה </w:t>
      </w:r>
      <w:r w:rsidR="006B6CFA" w:rsidRPr="00033A32">
        <w:rPr>
          <w:rFonts w:ascii="David" w:hAnsi="David" w:cs="David"/>
          <w:b/>
          <w:bCs/>
          <w:sz w:val="24"/>
          <w:szCs w:val="24"/>
          <w:rtl/>
        </w:rPr>
        <w:t>יתרת העו"ש השלילית של משקי הבית</w:t>
      </w:r>
      <w:r w:rsidR="006B6CFA" w:rsidRPr="00033A32">
        <w:rPr>
          <w:rStyle w:val="af1"/>
          <w:rFonts w:ascii="David" w:hAnsi="David" w:cs="David"/>
          <w:sz w:val="24"/>
          <w:szCs w:val="24"/>
          <w:rtl/>
        </w:rPr>
        <w:footnoteReference w:id="2"/>
      </w:r>
      <w:r w:rsidR="006B6CFA" w:rsidRPr="00033A32">
        <w:rPr>
          <w:rFonts w:ascii="David" w:hAnsi="David" w:cs="David"/>
          <w:sz w:val="24"/>
          <w:szCs w:val="24"/>
          <w:rtl/>
        </w:rPr>
        <w:t xml:space="preserve"> </w:t>
      </w:r>
      <w:r w:rsidRPr="00033A32">
        <w:rPr>
          <w:rFonts w:ascii="David" w:hAnsi="David" w:cs="David"/>
          <w:sz w:val="24"/>
          <w:szCs w:val="24"/>
          <w:rtl/>
        </w:rPr>
        <w:t>ירדה בכ-0.7 מיליארדי ש"ח לרמה של כ-</w:t>
      </w:r>
      <w:r w:rsidR="006B6CFA" w:rsidRPr="00033A32">
        <w:rPr>
          <w:rFonts w:ascii="David" w:hAnsi="David" w:cs="David"/>
          <w:sz w:val="24"/>
          <w:szCs w:val="24"/>
          <w:rtl/>
        </w:rPr>
        <w:t xml:space="preserve">11 </w:t>
      </w:r>
      <w:r w:rsidRPr="00033A32">
        <w:rPr>
          <w:rFonts w:ascii="David" w:hAnsi="David" w:cs="David"/>
          <w:sz w:val="24"/>
          <w:szCs w:val="24"/>
          <w:rtl/>
        </w:rPr>
        <w:t>מיליארדים</w:t>
      </w:r>
      <w:r w:rsidR="006B6CFA" w:rsidRPr="00033A32">
        <w:rPr>
          <w:rFonts w:ascii="David" w:hAnsi="David" w:cs="David"/>
          <w:sz w:val="24"/>
          <w:szCs w:val="24"/>
          <w:rtl/>
        </w:rPr>
        <w:t xml:space="preserve"> ומשקלה בסך החוב שלא לדיור </w:t>
      </w:r>
      <w:r w:rsidRPr="00033A32">
        <w:rPr>
          <w:rFonts w:ascii="David" w:hAnsi="David" w:cs="David"/>
          <w:sz w:val="24"/>
          <w:szCs w:val="24"/>
          <w:rtl/>
        </w:rPr>
        <w:t xml:space="preserve">הצטמצם בכ-0.4 נק' האחוז לרמה של </w:t>
      </w:r>
      <w:r w:rsidR="006B6CFA" w:rsidRPr="00033A32">
        <w:rPr>
          <w:rFonts w:ascii="David" w:hAnsi="David" w:cs="David"/>
          <w:sz w:val="24"/>
          <w:szCs w:val="24"/>
          <w:rtl/>
        </w:rPr>
        <w:t>כ-5.5%,</w:t>
      </w:r>
      <w:r w:rsidRPr="00033A32">
        <w:rPr>
          <w:rFonts w:ascii="David" w:hAnsi="David" w:cs="David"/>
          <w:sz w:val="24"/>
          <w:szCs w:val="24"/>
          <w:rtl/>
        </w:rPr>
        <w:t xml:space="preserve"> זאת</w:t>
      </w:r>
      <w:r w:rsidR="006B6CFA" w:rsidRPr="00033A32">
        <w:rPr>
          <w:rFonts w:ascii="David" w:hAnsi="David" w:cs="David"/>
          <w:sz w:val="24"/>
          <w:szCs w:val="24"/>
          <w:rtl/>
        </w:rPr>
        <w:t xml:space="preserve"> בהמשך למגמת הירידה </w:t>
      </w:r>
      <w:r w:rsidRPr="00033A32">
        <w:rPr>
          <w:rFonts w:ascii="David" w:hAnsi="David" w:cs="David"/>
          <w:sz w:val="24"/>
          <w:szCs w:val="24"/>
          <w:rtl/>
        </w:rPr>
        <w:t xml:space="preserve">ביתרת העו"ש השלילית </w:t>
      </w:r>
      <w:r w:rsidR="006B6CFA" w:rsidRPr="00033A32">
        <w:rPr>
          <w:rFonts w:ascii="David" w:hAnsi="David" w:cs="David"/>
          <w:sz w:val="24"/>
          <w:szCs w:val="24"/>
          <w:rtl/>
        </w:rPr>
        <w:t>ש</w:t>
      </w:r>
      <w:r w:rsidRPr="00033A32">
        <w:rPr>
          <w:rFonts w:ascii="David" w:hAnsi="David" w:cs="David"/>
          <w:sz w:val="24"/>
          <w:szCs w:val="24"/>
          <w:rtl/>
        </w:rPr>
        <w:t xml:space="preserve">החלה </w:t>
      </w:r>
      <w:r w:rsidR="00BE0F06" w:rsidRPr="00033A32">
        <w:rPr>
          <w:rFonts w:ascii="David" w:hAnsi="David" w:cs="David"/>
          <w:sz w:val="24"/>
          <w:szCs w:val="24"/>
          <w:rtl/>
        </w:rPr>
        <w:t>ב</w:t>
      </w:r>
      <w:r w:rsidR="006B6CFA" w:rsidRPr="00033A32">
        <w:rPr>
          <w:rFonts w:ascii="David" w:hAnsi="David" w:cs="David"/>
          <w:sz w:val="24"/>
          <w:szCs w:val="24"/>
          <w:rtl/>
        </w:rPr>
        <w:t>שנת 2016. (</w:t>
      </w:r>
      <w:r w:rsidR="0029790E" w:rsidRPr="00033A32">
        <w:rPr>
          <w:rFonts w:ascii="David" w:hAnsi="David" w:cs="David"/>
          <w:sz w:val="24"/>
          <w:szCs w:val="24"/>
          <w:rtl/>
        </w:rPr>
        <w:t xml:space="preserve">איור </w:t>
      </w:r>
      <w:r w:rsidR="006B6CFA" w:rsidRPr="00033A32">
        <w:rPr>
          <w:rFonts w:ascii="David" w:hAnsi="David" w:cs="David"/>
          <w:sz w:val="24"/>
          <w:szCs w:val="24"/>
          <w:rtl/>
        </w:rPr>
        <w:t xml:space="preserve">6). קיימים מגוון גורמים העשויים להסביר התפתחות זו וביניהם: הגדלת אפשרויות האשראי למשקי הבית, כך שהיכולת של הצרכנים ללוות באופן מסודר ובריבית נמוכה מאשר הריבית על יתרות שליליות בחשבון העובר ושב (הריבית </w:t>
      </w:r>
      <w:r w:rsidR="00CD4F97" w:rsidRPr="00033A32">
        <w:rPr>
          <w:rFonts w:ascii="David" w:hAnsi="David" w:cs="David"/>
          <w:sz w:val="24"/>
          <w:szCs w:val="24"/>
          <w:rtl/>
        </w:rPr>
        <w:t>על "המינוס") השתפרה;</w:t>
      </w:r>
      <w:r w:rsidR="006B6CFA" w:rsidRPr="00033A32">
        <w:rPr>
          <w:rFonts w:ascii="David" w:hAnsi="David" w:cs="David"/>
          <w:sz w:val="24"/>
          <w:szCs w:val="24"/>
          <w:rtl/>
        </w:rPr>
        <w:t xml:space="preserve"> שיפור בהכנסות משקי הבית שבא לידי ביטוי בירידה ברמת האבטלה ובעלייה של השכר הממוצע במשק;</w:t>
      </w:r>
      <w:r w:rsidR="00E34121" w:rsidRPr="00033A32">
        <w:rPr>
          <w:rFonts w:ascii="David" w:hAnsi="David" w:cs="David"/>
          <w:sz w:val="24"/>
          <w:szCs w:val="24"/>
          <w:rtl/>
        </w:rPr>
        <w:t xml:space="preserve">; מודעות משקי הבית </w:t>
      </w:r>
      <w:r w:rsidR="006B6CFA" w:rsidRPr="00033A32">
        <w:rPr>
          <w:rFonts w:ascii="David" w:hAnsi="David" w:cs="David"/>
          <w:sz w:val="24"/>
          <w:szCs w:val="24"/>
          <w:rtl/>
        </w:rPr>
        <w:t xml:space="preserve">לאוריינות פיננסית.         </w:t>
      </w:r>
    </w:p>
    <w:p w:rsidR="006B0BAE" w:rsidRPr="00033A32" w:rsidRDefault="00AB31EF" w:rsidP="0029790E">
      <w:pPr>
        <w:pStyle w:val="a9"/>
        <w:numPr>
          <w:ilvl w:val="0"/>
          <w:numId w:val="9"/>
        </w:numPr>
        <w:bidi/>
        <w:spacing w:before="240" w:after="120" w:line="360" w:lineRule="auto"/>
        <w:rPr>
          <w:rFonts w:ascii="David" w:hAnsi="David" w:cs="David"/>
          <w:sz w:val="24"/>
          <w:szCs w:val="24"/>
          <w:rtl/>
        </w:rPr>
      </w:pPr>
      <w:r w:rsidRPr="00033A32">
        <w:rPr>
          <w:rFonts w:ascii="David" w:hAnsi="David" w:cs="David"/>
          <w:sz w:val="24"/>
          <w:szCs w:val="24"/>
          <w:rtl/>
        </w:rPr>
        <w:t xml:space="preserve">ברביע </w:t>
      </w:r>
      <w:r w:rsidR="00CF24FB" w:rsidRPr="00033A32">
        <w:rPr>
          <w:rFonts w:ascii="David" w:hAnsi="David" w:cs="David"/>
          <w:sz w:val="24"/>
          <w:szCs w:val="24"/>
          <w:rtl/>
        </w:rPr>
        <w:t>ה</w:t>
      </w:r>
      <w:r w:rsidR="00737106" w:rsidRPr="00033A32">
        <w:rPr>
          <w:rFonts w:ascii="David" w:hAnsi="David" w:cs="David"/>
          <w:sz w:val="24"/>
          <w:szCs w:val="24"/>
          <w:rtl/>
        </w:rPr>
        <w:t>שלישי</w:t>
      </w:r>
      <w:r w:rsidR="001F50C9" w:rsidRPr="00033A32">
        <w:rPr>
          <w:rFonts w:ascii="David" w:hAnsi="David" w:cs="David"/>
          <w:sz w:val="24"/>
          <w:szCs w:val="24"/>
          <w:rtl/>
        </w:rPr>
        <w:t xml:space="preserve"> </w:t>
      </w:r>
      <w:r w:rsidRPr="00033A32">
        <w:rPr>
          <w:rFonts w:ascii="David" w:hAnsi="David" w:cs="David"/>
          <w:sz w:val="24"/>
          <w:szCs w:val="24"/>
          <w:rtl/>
        </w:rPr>
        <w:t xml:space="preserve">של שנת </w:t>
      </w:r>
      <w:r w:rsidR="001F50C9" w:rsidRPr="00033A32">
        <w:rPr>
          <w:rFonts w:ascii="David" w:hAnsi="David" w:cs="David"/>
          <w:sz w:val="24"/>
          <w:szCs w:val="24"/>
          <w:rtl/>
        </w:rPr>
        <w:t>2019</w:t>
      </w:r>
      <w:r w:rsidRPr="00033A32">
        <w:rPr>
          <w:rFonts w:ascii="David" w:hAnsi="David" w:cs="David"/>
          <w:sz w:val="24"/>
          <w:szCs w:val="24"/>
          <w:rtl/>
        </w:rPr>
        <w:t xml:space="preserve"> </w:t>
      </w:r>
      <w:r w:rsidR="00045838" w:rsidRPr="00033A32">
        <w:rPr>
          <w:rFonts w:ascii="David" w:hAnsi="David" w:cs="David"/>
          <w:sz w:val="24"/>
          <w:szCs w:val="24"/>
          <w:rtl/>
        </w:rPr>
        <w:t>נטילת</w:t>
      </w:r>
      <w:r w:rsidR="003138AF" w:rsidRPr="00033A32">
        <w:rPr>
          <w:rFonts w:ascii="David" w:hAnsi="David" w:cs="David"/>
          <w:sz w:val="24"/>
          <w:szCs w:val="24"/>
          <w:rtl/>
        </w:rPr>
        <w:t xml:space="preserve"> משכנתאות</w:t>
      </w:r>
      <w:r w:rsidR="00D46A28" w:rsidRPr="00033A32">
        <w:rPr>
          <w:rFonts w:ascii="David" w:hAnsi="David" w:cs="David"/>
          <w:sz w:val="24"/>
          <w:szCs w:val="24"/>
          <w:rtl/>
        </w:rPr>
        <w:t xml:space="preserve"> חדשות</w:t>
      </w:r>
      <w:r w:rsidR="003138AF" w:rsidRPr="00033A32">
        <w:rPr>
          <w:rFonts w:ascii="David" w:hAnsi="David" w:cs="David"/>
          <w:sz w:val="24"/>
          <w:szCs w:val="24"/>
          <w:rtl/>
        </w:rPr>
        <w:t xml:space="preserve"> </w:t>
      </w:r>
      <w:r w:rsidR="00162787" w:rsidRPr="00033A32">
        <w:rPr>
          <w:rFonts w:ascii="David" w:hAnsi="David" w:cs="David"/>
          <w:sz w:val="24"/>
          <w:szCs w:val="24"/>
          <w:rtl/>
        </w:rPr>
        <w:t xml:space="preserve">הסתכמה </w:t>
      </w:r>
      <w:r w:rsidRPr="00033A32">
        <w:rPr>
          <w:rFonts w:ascii="David" w:hAnsi="David" w:cs="David"/>
          <w:sz w:val="24"/>
          <w:szCs w:val="24"/>
          <w:rtl/>
        </w:rPr>
        <w:t>בכ-</w:t>
      </w:r>
      <w:r w:rsidR="00161CB7" w:rsidRPr="00033A32">
        <w:rPr>
          <w:rFonts w:ascii="David" w:hAnsi="David" w:cs="David"/>
          <w:sz w:val="24"/>
          <w:szCs w:val="24"/>
          <w:rtl/>
        </w:rPr>
        <w:t>18.3</w:t>
      </w:r>
      <w:r w:rsidR="00045838" w:rsidRPr="00033A32">
        <w:rPr>
          <w:rFonts w:ascii="David" w:hAnsi="David" w:cs="David"/>
          <w:sz w:val="24"/>
          <w:szCs w:val="24"/>
          <w:rtl/>
        </w:rPr>
        <w:t xml:space="preserve"> מיליארדי </w:t>
      </w:r>
      <w:r w:rsidR="003A5570" w:rsidRPr="00033A32">
        <w:rPr>
          <w:rFonts w:ascii="David" w:hAnsi="David" w:cs="David"/>
          <w:sz w:val="24"/>
          <w:szCs w:val="24"/>
          <w:rtl/>
        </w:rPr>
        <w:t>ש"ח,</w:t>
      </w:r>
      <w:r w:rsidR="00045838" w:rsidRPr="00033A32">
        <w:rPr>
          <w:rFonts w:ascii="David" w:hAnsi="David" w:cs="David"/>
          <w:sz w:val="24"/>
          <w:szCs w:val="24"/>
          <w:rtl/>
        </w:rPr>
        <w:t xml:space="preserve"> גבוה</w:t>
      </w:r>
      <w:r w:rsidRPr="00033A32">
        <w:rPr>
          <w:rFonts w:ascii="David" w:hAnsi="David" w:cs="David"/>
          <w:sz w:val="24"/>
          <w:szCs w:val="24"/>
          <w:rtl/>
        </w:rPr>
        <w:t xml:space="preserve"> </w:t>
      </w:r>
      <w:r w:rsidR="00CF24FB" w:rsidRPr="00033A32">
        <w:rPr>
          <w:rFonts w:ascii="David" w:hAnsi="David" w:cs="David"/>
          <w:sz w:val="24"/>
          <w:szCs w:val="24"/>
          <w:rtl/>
        </w:rPr>
        <w:t>מה</w:t>
      </w:r>
      <w:r w:rsidRPr="00033A32">
        <w:rPr>
          <w:rFonts w:ascii="David" w:hAnsi="David" w:cs="David"/>
          <w:sz w:val="24"/>
          <w:szCs w:val="24"/>
          <w:rtl/>
        </w:rPr>
        <w:t>תקופה המקבילה אשתקד</w:t>
      </w:r>
      <w:r w:rsidR="00CF24FB" w:rsidRPr="00033A32">
        <w:rPr>
          <w:rFonts w:ascii="David" w:hAnsi="David" w:cs="David"/>
          <w:sz w:val="24"/>
          <w:szCs w:val="24"/>
          <w:rtl/>
        </w:rPr>
        <w:t xml:space="preserve"> (</w:t>
      </w:r>
      <w:r w:rsidR="00CC2676" w:rsidRPr="00033A32">
        <w:rPr>
          <w:rFonts w:ascii="David" w:hAnsi="David" w:cs="David"/>
          <w:sz w:val="24"/>
          <w:szCs w:val="24"/>
          <w:rtl/>
        </w:rPr>
        <w:t>כ-</w:t>
      </w:r>
      <w:r w:rsidR="001F50C9" w:rsidRPr="00033A32">
        <w:rPr>
          <w:rFonts w:ascii="David" w:hAnsi="David" w:cs="David"/>
          <w:sz w:val="24"/>
          <w:szCs w:val="24"/>
          <w:rtl/>
        </w:rPr>
        <w:t>14.</w:t>
      </w:r>
      <w:r w:rsidR="002E2CC4" w:rsidRPr="00033A32">
        <w:rPr>
          <w:rFonts w:ascii="David" w:hAnsi="David" w:cs="David"/>
          <w:sz w:val="24"/>
          <w:szCs w:val="24"/>
          <w:rtl/>
        </w:rPr>
        <w:t>8</w:t>
      </w:r>
      <w:r w:rsidR="00221420" w:rsidRPr="00033A32">
        <w:rPr>
          <w:rFonts w:ascii="David" w:hAnsi="David" w:cs="David"/>
          <w:sz w:val="24"/>
          <w:szCs w:val="24"/>
          <w:rtl/>
        </w:rPr>
        <w:t xml:space="preserve"> </w:t>
      </w:r>
      <w:r w:rsidR="00CF24FB" w:rsidRPr="00033A32">
        <w:rPr>
          <w:rFonts w:ascii="David" w:hAnsi="David" w:cs="David"/>
          <w:sz w:val="24"/>
          <w:szCs w:val="24"/>
          <w:rtl/>
        </w:rPr>
        <w:t>מיליארדים)</w:t>
      </w:r>
      <w:r w:rsidR="000E45F2" w:rsidRPr="00033A32">
        <w:rPr>
          <w:rFonts w:ascii="David" w:hAnsi="David" w:cs="David"/>
          <w:sz w:val="24"/>
          <w:szCs w:val="24"/>
          <w:rtl/>
        </w:rPr>
        <w:t xml:space="preserve">. </w:t>
      </w:r>
      <w:r w:rsidR="00161CB7" w:rsidRPr="00033A32">
        <w:rPr>
          <w:rFonts w:ascii="David" w:hAnsi="David" w:cs="David"/>
          <w:sz w:val="24"/>
          <w:szCs w:val="24"/>
          <w:rtl/>
        </w:rPr>
        <w:t xml:space="preserve">עם זאת, </w:t>
      </w:r>
      <w:r w:rsidR="00045838" w:rsidRPr="00033A32">
        <w:rPr>
          <w:rFonts w:ascii="David" w:hAnsi="David" w:cs="David"/>
          <w:sz w:val="24"/>
          <w:szCs w:val="24"/>
          <w:rtl/>
        </w:rPr>
        <w:t>ב</w:t>
      </w:r>
      <w:r w:rsidR="00161CB7" w:rsidRPr="00033A32">
        <w:rPr>
          <w:rFonts w:ascii="David" w:hAnsi="David" w:cs="David"/>
          <w:sz w:val="24"/>
          <w:szCs w:val="24"/>
          <w:rtl/>
        </w:rPr>
        <w:t xml:space="preserve">אוקטובר </w:t>
      </w:r>
      <w:r w:rsidR="00045838" w:rsidRPr="00033A32">
        <w:rPr>
          <w:rFonts w:ascii="David" w:hAnsi="David" w:cs="David"/>
          <w:sz w:val="24"/>
          <w:szCs w:val="24"/>
          <w:rtl/>
        </w:rPr>
        <w:t>201</w:t>
      </w:r>
      <w:r w:rsidR="00CB07FA" w:rsidRPr="00033A32">
        <w:rPr>
          <w:rFonts w:ascii="David" w:hAnsi="David" w:cs="David"/>
          <w:sz w:val="24"/>
          <w:szCs w:val="24"/>
          <w:rtl/>
        </w:rPr>
        <w:t>9</w:t>
      </w:r>
      <w:r w:rsidR="00045838" w:rsidRPr="00033A32">
        <w:rPr>
          <w:rFonts w:ascii="David" w:hAnsi="David" w:cs="David"/>
          <w:sz w:val="24"/>
          <w:szCs w:val="24"/>
          <w:rtl/>
        </w:rPr>
        <w:t xml:space="preserve"> </w:t>
      </w:r>
      <w:r w:rsidR="002E2CC4" w:rsidRPr="00033A32">
        <w:rPr>
          <w:rFonts w:ascii="David" w:hAnsi="David" w:cs="David"/>
          <w:sz w:val="24"/>
          <w:szCs w:val="24"/>
          <w:rtl/>
        </w:rPr>
        <w:t xml:space="preserve">נרשמה </w:t>
      </w:r>
      <w:r w:rsidR="00161CB7" w:rsidRPr="00033A32">
        <w:rPr>
          <w:rFonts w:ascii="David" w:hAnsi="David" w:cs="David"/>
          <w:sz w:val="24"/>
          <w:szCs w:val="24"/>
          <w:rtl/>
        </w:rPr>
        <w:t>ירידה</w:t>
      </w:r>
      <w:r w:rsidR="003700E8" w:rsidRPr="00033A32">
        <w:rPr>
          <w:rFonts w:ascii="David" w:hAnsi="David" w:cs="David"/>
          <w:sz w:val="24"/>
          <w:szCs w:val="24"/>
          <w:rtl/>
        </w:rPr>
        <w:t>,</w:t>
      </w:r>
      <w:r w:rsidR="004D79EB" w:rsidRPr="00033A32">
        <w:rPr>
          <w:rFonts w:ascii="David" w:hAnsi="David" w:cs="David"/>
          <w:sz w:val="24"/>
          <w:szCs w:val="24"/>
          <w:rtl/>
        </w:rPr>
        <w:t xml:space="preserve"> הנובעת מ</w:t>
      </w:r>
      <w:r w:rsidR="002E2CC4" w:rsidRPr="00033A32">
        <w:rPr>
          <w:rFonts w:ascii="David" w:hAnsi="David" w:cs="David"/>
          <w:sz w:val="24"/>
          <w:szCs w:val="24"/>
          <w:rtl/>
        </w:rPr>
        <w:t>עונתי</w:t>
      </w:r>
      <w:r w:rsidR="004D79EB" w:rsidRPr="00033A32">
        <w:rPr>
          <w:rFonts w:ascii="David" w:hAnsi="David" w:cs="David"/>
          <w:sz w:val="24"/>
          <w:szCs w:val="24"/>
          <w:rtl/>
        </w:rPr>
        <w:t>ו</w:t>
      </w:r>
      <w:r w:rsidR="002E2CC4" w:rsidRPr="00033A32">
        <w:rPr>
          <w:rFonts w:ascii="David" w:hAnsi="David" w:cs="David"/>
          <w:sz w:val="24"/>
          <w:szCs w:val="24"/>
          <w:rtl/>
        </w:rPr>
        <w:t>ת</w:t>
      </w:r>
      <w:r w:rsidR="003700E8" w:rsidRPr="00033A32">
        <w:rPr>
          <w:rFonts w:ascii="David" w:hAnsi="David" w:cs="David"/>
          <w:sz w:val="24"/>
          <w:szCs w:val="24"/>
          <w:rtl/>
        </w:rPr>
        <w:t>,</w:t>
      </w:r>
      <w:r w:rsidR="004D79EB" w:rsidRPr="00033A32">
        <w:rPr>
          <w:rFonts w:ascii="David" w:hAnsi="David" w:cs="David"/>
          <w:sz w:val="24"/>
          <w:szCs w:val="24"/>
          <w:rtl/>
        </w:rPr>
        <w:t xml:space="preserve"> </w:t>
      </w:r>
      <w:r w:rsidR="002E2CC4" w:rsidRPr="00033A32">
        <w:rPr>
          <w:rFonts w:ascii="David" w:hAnsi="David" w:cs="David"/>
          <w:sz w:val="24"/>
          <w:szCs w:val="24"/>
          <w:rtl/>
        </w:rPr>
        <w:t>ב</w:t>
      </w:r>
      <w:r w:rsidR="00CB07FA" w:rsidRPr="00033A32">
        <w:rPr>
          <w:rFonts w:ascii="David" w:hAnsi="David" w:cs="David"/>
          <w:sz w:val="24"/>
          <w:szCs w:val="24"/>
          <w:rtl/>
        </w:rPr>
        <w:t xml:space="preserve">נטילת משכנתאות חדשות </w:t>
      </w:r>
      <w:r w:rsidR="002E2CC4" w:rsidRPr="00033A32">
        <w:rPr>
          <w:rFonts w:ascii="David" w:hAnsi="David" w:cs="David"/>
          <w:sz w:val="24"/>
          <w:szCs w:val="24"/>
          <w:rtl/>
        </w:rPr>
        <w:t xml:space="preserve">והן הסתכמו </w:t>
      </w:r>
      <w:r w:rsidR="00CB07FA" w:rsidRPr="00033A32">
        <w:rPr>
          <w:rFonts w:ascii="David" w:hAnsi="David" w:cs="David"/>
          <w:sz w:val="24"/>
          <w:szCs w:val="24"/>
          <w:rtl/>
        </w:rPr>
        <w:t>בכ-</w:t>
      </w:r>
      <w:r w:rsidR="00161CB7" w:rsidRPr="00033A32">
        <w:rPr>
          <w:rFonts w:ascii="David" w:hAnsi="David" w:cs="David"/>
          <w:sz w:val="24"/>
          <w:szCs w:val="24"/>
          <w:rtl/>
        </w:rPr>
        <w:t>4.4</w:t>
      </w:r>
      <w:r w:rsidR="00CB07FA" w:rsidRPr="00033A32">
        <w:rPr>
          <w:rFonts w:ascii="David" w:hAnsi="David" w:cs="David"/>
          <w:sz w:val="24"/>
          <w:szCs w:val="24"/>
          <w:rtl/>
        </w:rPr>
        <w:t xml:space="preserve"> מיליארדי ש"ח</w:t>
      </w:r>
      <w:r w:rsidR="002E2CC4" w:rsidRPr="00033A32">
        <w:rPr>
          <w:rFonts w:ascii="David" w:hAnsi="David" w:cs="David"/>
          <w:sz w:val="24"/>
          <w:szCs w:val="24"/>
          <w:rtl/>
        </w:rPr>
        <w:t>.</w:t>
      </w:r>
      <w:r w:rsidR="00041E30" w:rsidRPr="00033A32">
        <w:rPr>
          <w:rFonts w:ascii="David" w:hAnsi="David" w:cs="David"/>
          <w:sz w:val="24"/>
          <w:szCs w:val="24"/>
          <w:rtl/>
        </w:rPr>
        <w:t xml:space="preserve"> </w:t>
      </w:r>
      <w:r w:rsidR="00161CB7" w:rsidRPr="00033A32">
        <w:rPr>
          <w:rFonts w:ascii="David" w:hAnsi="David" w:cs="David"/>
          <w:sz w:val="24"/>
          <w:szCs w:val="24"/>
          <w:rtl/>
        </w:rPr>
        <w:t xml:space="preserve">בניכוי השפעות עונתיות, נטילת משכנתאות חדשות בחודש אוקטובר עמדה על כ-6 מיליארדי ש"ח. </w:t>
      </w:r>
      <w:r w:rsidR="00664600" w:rsidRPr="00033A32">
        <w:rPr>
          <w:rFonts w:ascii="David" w:hAnsi="David" w:cs="David"/>
          <w:sz w:val="24"/>
          <w:szCs w:val="24"/>
          <w:rtl/>
        </w:rPr>
        <w:t xml:space="preserve">(איור </w:t>
      </w:r>
      <w:r w:rsidR="0029790E" w:rsidRPr="00033A32">
        <w:rPr>
          <w:rFonts w:ascii="David" w:hAnsi="David" w:cs="David"/>
          <w:sz w:val="24"/>
          <w:szCs w:val="24"/>
          <w:rtl/>
        </w:rPr>
        <w:t>7</w:t>
      </w:r>
      <w:r w:rsidR="00060D8E" w:rsidRPr="00033A32">
        <w:rPr>
          <w:rFonts w:ascii="David" w:hAnsi="David" w:cs="David"/>
          <w:sz w:val="24"/>
          <w:szCs w:val="24"/>
          <w:rtl/>
        </w:rPr>
        <w:t>)</w:t>
      </w:r>
      <w:r w:rsidR="00161CB7" w:rsidRPr="00033A32">
        <w:rPr>
          <w:rFonts w:ascii="David" w:hAnsi="David" w:cs="David"/>
          <w:sz w:val="24"/>
          <w:szCs w:val="24"/>
          <w:rtl/>
        </w:rPr>
        <w:t>.</w:t>
      </w:r>
    </w:p>
    <w:p w:rsidR="006B6CFA" w:rsidRPr="00033A32" w:rsidRDefault="006B6CFA" w:rsidP="006D3752">
      <w:pPr>
        <w:bidi/>
        <w:spacing w:line="360" w:lineRule="auto"/>
        <w:jc w:val="center"/>
        <w:rPr>
          <w:rFonts w:ascii="David" w:hAnsi="David" w:cs="David"/>
          <w:b/>
          <w:bCs/>
          <w:sz w:val="24"/>
          <w:szCs w:val="24"/>
          <w:rtl/>
        </w:rPr>
      </w:pPr>
    </w:p>
    <w:p w:rsidR="00E149DD" w:rsidRPr="00033A32" w:rsidRDefault="00AC3E61" w:rsidP="006B6CFA">
      <w:pPr>
        <w:bidi/>
        <w:spacing w:line="360" w:lineRule="auto"/>
        <w:jc w:val="center"/>
        <w:rPr>
          <w:rFonts w:ascii="David" w:hAnsi="David" w:cs="David"/>
          <w:sz w:val="24"/>
          <w:szCs w:val="24"/>
          <w:rtl/>
        </w:rPr>
      </w:pPr>
      <w:r w:rsidRPr="00033A32">
        <w:rPr>
          <w:rFonts w:ascii="David" w:hAnsi="David" w:cs="David"/>
          <w:b/>
          <w:bCs/>
          <w:sz w:val="24"/>
          <w:szCs w:val="24"/>
          <w:rtl/>
        </w:rPr>
        <w:t xml:space="preserve">לוח </w:t>
      </w:r>
      <w:r w:rsidR="00416818" w:rsidRPr="00033A32">
        <w:rPr>
          <w:rFonts w:ascii="David" w:hAnsi="David" w:cs="David"/>
          <w:b/>
          <w:bCs/>
          <w:sz w:val="24"/>
          <w:szCs w:val="24"/>
        </w:rPr>
        <w:t>2</w:t>
      </w:r>
      <w:r w:rsidRPr="00033A32">
        <w:rPr>
          <w:rFonts w:ascii="David" w:hAnsi="David" w:cs="David"/>
          <w:b/>
          <w:bCs/>
          <w:sz w:val="24"/>
          <w:szCs w:val="24"/>
          <w:rtl/>
        </w:rPr>
        <w:t>: יתרות החוב של משקי הבית</w:t>
      </w:r>
      <w:r w:rsidRPr="00033A32">
        <w:rPr>
          <w:rFonts w:ascii="David" w:hAnsi="David" w:cs="David"/>
          <w:b/>
          <w:bCs/>
          <w:sz w:val="24"/>
          <w:szCs w:val="24"/>
          <w:vertAlign w:val="superscript"/>
          <w:rtl/>
        </w:rPr>
        <w:t>1</w:t>
      </w:r>
      <w:r w:rsidR="009653F5" w:rsidRPr="00033A32">
        <w:rPr>
          <w:rFonts w:ascii="David" w:hAnsi="David" w:cs="David"/>
          <w:sz w:val="24"/>
          <w:szCs w:val="24"/>
        </w:rPr>
        <w:t xml:space="preserve"> </w:t>
      </w:r>
    </w:p>
    <w:p w:rsidR="006D3752" w:rsidRPr="00033A32" w:rsidRDefault="000D2923" w:rsidP="00E149DD">
      <w:pPr>
        <w:bidi/>
        <w:spacing w:line="360" w:lineRule="auto"/>
        <w:jc w:val="center"/>
        <w:rPr>
          <w:rFonts w:ascii="David" w:hAnsi="David" w:cs="David"/>
          <w:b/>
          <w:bCs/>
          <w:sz w:val="24"/>
          <w:szCs w:val="24"/>
          <w:rtl/>
        </w:rPr>
      </w:pPr>
      <w:r w:rsidRPr="00033A32">
        <w:rPr>
          <w:rFonts w:ascii="David" w:hAnsi="David" w:cs="David"/>
          <w:noProof/>
          <w:rtl/>
          <w:lang w:eastAsia="en-US"/>
        </w:rPr>
        <w:drawing>
          <wp:inline distT="0" distB="0" distL="0" distR="0">
            <wp:extent cx="5278120" cy="5011736"/>
            <wp:effectExtent l="0" t="0" r="0" b="0"/>
            <wp:docPr id="8" name="תמונה 8" descr="לוח 2: יתרות החוב של משקי הבית" title="לוח 2: יתרות החוב של משקי ה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5011736"/>
                    </a:xfrm>
                    <a:prstGeom prst="rect">
                      <a:avLst/>
                    </a:prstGeom>
                    <a:noFill/>
                    <a:ln>
                      <a:noFill/>
                    </a:ln>
                  </pic:spPr>
                </pic:pic>
              </a:graphicData>
            </a:graphic>
          </wp:inline>
        </w:drawing>
      </w:r>
    </w:p>
    <w:p w:rsidR="00D46A28" w:rsidRPr="00033A32" w:rsidRDefault="00D46A28" w:rsidP="00DC51E3">
      <w:pPr>
        <w:bidi/>
        <w:jc w:val="center"/>
        <w:rPr>
          <w:rFonts w:ascii="David" w:hAnsi="David" w:cs="David"/>
          <w:b/>
          <w:bCs/>
          <w:sz w:val="24"/>
          <w:szCs w:val="24"/>
          <w:rtl/>
        </w:rPr>
      </w:pPr>
    </w:p>
    <w:p w:rsidR="00D46A28" w:rsidRPr="00033A32" w:rsidRDefault="00D46A28" w:rsidP="00D46A28">
      <w:pPr>
        <w:bidi/>
        <w:jc w:val="center"/>
        <w:rPr>
          <w:rFonts w:ascii="David" w:hAnsi="David" w:cs="David"/>
          <w:b/>
          <w:bCs/>
          <w:sz w:val="24"/>
          <w:szCs w:val="24"/>
          <w:rtl/>
        </w:rPr>
      </w:pPr>
    </w:p>
    <w:p w:rsidR="00941A49" w:rsidRPr="00033A32" w:rsidRDefault="00941A49" w:rsidP="00D46A28">
      <w:pPr>
        <w:bidi/>
        <w:jc w:val="center"/>
        <w:rPr>
          <w:rFonts w:ascii="David" w:hAnsi="David" w:cs="David"/>
          <w:b/>
          <w:bCs/>
          <w:sz w:val="24"/>
          <w:szCs w:val="24"/>
          <w:rtl/>
        </w:rPr>
      </w:pPr>
    </w:p>
    <w:p w:rsidR="00941A49" w:rsidRPr="00033A32" w:rsidRDefault="00941A49" w:rsidP="00941A49">
      <w:pPr>
        <w:bidi/>
        <w:jc w:val="center"/>
        <w:rPr>
          <w:rFonts w:ascii="David" w:hAnsi="David" w:cs="David"/>
          <w:b/>
          <w:bCs/>
          <w:sz w:val="24"/>
          <w:szCs w:val="24"/>
          <w:rtl/>
        </w:rPr>
      </w:pPr>
    </w:p>
    <w:p w:rsidR="00941A49" w:rsidRPr="00033A32" w:rsidRDefault="00D251F2" w:rsidP="00E149DD">
      <w:pPr>
        <w:spacing w:after="200" w:line="276" w:lineRule="auto"/>
        <w:rPr>
          <w:rFonts w:ascii="David" w:hAnsi="David" w:cs="David"/>
          <w:b/>
          <w:bCs/>
          <w:sz w:val="24"/>
          <w:szCs w:val="24"/>
          <w:rtl/>
        </w:rPr>
      </w:pPr>
      <w:r w:rsidRPr="00033A32">
        <w:rPr>
          <w:rFonts w:ascii="David" w:hAnsi="David" w:cs="David"/>
          <w:b/>
          <w:bCs/>
          <w:sz w:val="24"/>
          <w:szCs w:val="24"/>
          <w:rtl/>
        </w:rPr>
        <w:br w:type="page"/>
      </w:r>
    </w:p>
    <w:p w:rsidR="00D47FBF" w:rsidRPr="00033A32" w:rsidRDefault="00D47FBF" w:rsidP="00070391">
      <w:pPr>
        <w:bidi/>
        <w:jc w:val="center"/>
        <w:rPr>
          <w:rFonts w:ascii="David" w:hAnsi="David" w:cs="David"/>
          <w:b/>
          <w:bCs/>
          <w:sz w:val="24"/>
          <w:szCs w:val="24"/>
        </w:rPr>
      </w:pPr>
      <w:r w:rsidRPr="00033A32">
        <w:rPr>
          <w:rFonts w:ascii="David" w:hAnsi="David" w:cs="David"/>
          <w:b/>
          <w:bCs/>
          <w:sz w:val="24"/>
          <w:szCs w:val="24"/>
          <w:rtl/>
        </w:rPr>
        <w:t xml:space="preserve">איור </w:t>
      </w:r>
      <w:r w:rsidR="00070391" w:rsidRPr="00033A32">
        <w:rPr>
          <w:rFonts w:ascii="David" w:hAnsi="David" w:cs="David"/>
          <w:b/>
          <w:bCs/>
          <w:sz w:val="24"/>
          <w:szCs w:val="24"/>
        </w:rPr>
        <w:t>5</w:t>
      </w:r>
      <w:r w:rsidR="00DC51E3" w:rsidRPr="00033A32">
        <w:rPr>
          <w:rFonts w:ascii="David" w:hAnsi="David" w:cs="David"/>
          <w:b/>
          <w:bCs/>
          <w:sz w:val="24"/>
          <w:szCs w:val="24"/>
          <w:rtl/>
        </w:rPr>
        <w:t>:</w:t>
      </w:r>
      <w:r w:rsidRPr="00033A32">
        <w:rPr>
          <w:rFonts w:ascii="David" w:hAnsi="David" w:cs="David"/>
          <w:b/>
          <w:bCs/>
          <w:sz w:val="24"/>
          <w:szCs w:val="24"/>
          <w:rtl/>
        </w:rPr>
        <w:t xml:space="preserve"> שיעורי השינוי לעומת הרביע המקביל בשנה הקודמת בחוב של משקי הבית לדיור ושלא לדיור</w:t>
      </w:r>
    </w:p>
    <w:p w:rsidR="006D3752" w:rsidRPr="00033A32" w:rsidRDefault="006D3752" w:rsidP="006D3752">
      <w:pPr>
        <w:bidi/>
        <w:spacing w:line="360" w:lineRule="auto"/>
        <w:jc w:val="center"/>
        <w:rPr>
          <w:rFonts w:ascii="David" w:hAnsi="David" w:cs="David"/>
          <w:b/>
          <w:bCs/>
          <w:sz w:val="24"/>
          <w:szCs w:val="24"/>
          <w:rtl/>
        </w:rPr>
      </w:pPr>
    </w:p>
    <w:p w:rsidR="00C10811" w:rsidRPr="00033A32" w:rsidRDefault="00CA0895" w:rsidP="00B33FA0">
      <w:pPr>
        <w:bidi/>
        <w:jc w:val="center"/>
        <w:rPr>
          <w:rFonts w:ascii="David" w:hAnsi="David" w:cs="David"/>
          <w:b/>
          <w:bCs/>
          <w:sz w:val="24"/>
          <w:szCs w:val="24"/>
          <w:rtl/>
        </w:rPr>
      </w:pPr>
      <w:r w:rsidRPr="00033A32">
        <w:rPr>
          <w:rFonts w:ascii="David" w:hAnsi="David" w:cs="David"/>
          <w:b/>
          <w:bCs/>
          <w:noProof/>
          <w:sz w:val="24"/>
          <w:szCs w:val="24"/>
          <w:lang w:eastAsia="en-US"/>
        </w:rPr>
        <w:drawing>
          <wp:inline distT="0" distB="0" distL="0" distR="0" wp14:anchorId="5E946C0F">
            <wp:extent cx="5322570" cy="2834640"/>
            <wp:effectExtent l="0" t="0" r="0" b="3810"/>
            <wp:docPr id="15" name="תמונה 15" descr="איור 5: שיעורי השינוי לעומת הרביע המקביל בשנה הקודמת בחוב של משקי הבית לדיור ושלא לדיור" title="איור 5: שיעורי השינוי לעומת הרביע המקביל בשנה הקודמת בחוב של משקי הבית לדיור ושלא לד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2570" cy="2834640"/>
                    </a:xfrm>
                    <a:prstGeom prst="rect">
                      <a:avLst/>
                    </a:prstGeom>
                    <a:noFill/>
                  </pic:spPr>
                </pic:pic>
              </a:graphicData>
            </a:graphic>
          </wp:inline>
        </w:drawing>
      </w:r>
    </w:p>
    <w:p w:rsidR="00C10811" w:rsidRPr="00033A32" w:rsidRDefault="00C10811" w:rsidP="00C10811">
      <w:pPr>
        <w:bidi/>
        <w:jc w:val="center"/>
        <w:rPr>
          <w:rFonts w:ascii="David" w:hAnsi="David" w:cs="David"/>
          <w:b/>
          <w:bCs/>
          <w:sz w:val="24"/>
          <w:szCs w:val="24"/>
          <w:rtl/>
        </w:rPr>
      </w:pPr>
    </w:p>
    <w:p w:rsidR="006B6CFA" w:rsidRPr="00033A32" w:rsidRDefault="006B6CFA" w:rsidP="00916B4B">
      <w:pPr>
        <w:bidi/>
        <w:jc w:val="center"/>
        <w:rPr>
          <w:rFonts w:ascii="David" w:hAnsi="David" w:cs="David"/>
          <w:b/>
          <w:bCs/>
          <w:sz w:val="24"/>
          <w:szCs w:val="24"/>
          <w:rtl/>
        </w:rPr>
      </w:pPr>
      <w:r w:rsidRPr="00033A32">
        <w:rPr>
          <w:rFonts w:ascii="David" w:hAnsi="David" w:cs="David"/>
          <w:b/>
          <w:bCs/>
          <w:sz w:val="24"/>
          <w:szCs w:val="24"/>
          <w:rtl/>
        </w:rPr>
        <w:t xml:space="preserve">איור 6: </w:t>
      </w:r>
      <w:r w:rsidR="00916B4B" w:rsidRPr="00033A32">
        <w:rPr>
          <w:rFonts w:ascii="David" w:hAnsi="David" w:cs="David"/>
          <w:b/>
          <w:bCs/>
          <w:sz w:val="24"/>
          <w:szCs w:val="24"/>
          <w:rtl/>
        </w:rPr>
        <w:t>יתרת העו"ש השלילית של משקי הבית ומשקלה בסך החוב של משקי הבית שלא לדיור</w:t>
      </w:r>
    </w:p>
    <w:p w:rsidR="00826337" w:rsidRPr="00033A32" w:rsidRDefault="00826337" w:rsidP="00826337">
      <w:pPr>
        <w:bidi/>
        <w:jc w:val="center"/>
        <w:rPr>
          <w:rFonts w:ascii="David" w:hAnsi="David" w:cs="David"/>
          <w:b/>
          <w:bCs/>
          <w:sz w:val="24"/>
          <w:szCs w:val="24"/>
          <w:rtl/>
        </w:rPr>
      </w:pPr>
    </w:p>
    <w:p w:rsidR="006B6CFA" w:rsidRPr="00033A32" w:rsidRDefault="00826337" w:rsidP="006B6CFA">
      <w:pPr>
        <w:bidi/>
        <w:jc w:val="center"/>
        <w:rPr>
          <w:rFonts w:ascii="David" w:hAnsi="David" w:cs="David"/>
          <w:b/>
          <w:bCs/>
          <w:sz w:val="24"/>
          <w:szCs w:val="24"/>
          <w:rtl/>
        </w:rPr>
      </w:pPr>
      <w:r w:rsidRPr="00033A32">
        <w:rPr>
          <w:rFonts w:ascii="David" w:hAnsi="David" w:cs="David"/>
          <w:b/>
          <w:bCs/>
          <w:noProof/>
          <w:sz w:val="24"/>
          <w:szCs w:val="24"/>
          <w:lang w:eastAsia="en-US"/>
        </w:rPr>
        <w:drawing>
          <wp:inline distT="0" distB="0" distL="0" distR="0" wp14:anchorId="7FF13C90">
            <wp:extent cx="5346700" cy="3590925"/>
            <wp:effectExtent l="0" t="0" r="6350" b="9525"/>
            <wp:docPr id="6" name="תמונה 6" descr="איור 6: יתרת העו&quot;ש השלילית של משקי הבית ומשקלה בסך החוב של משקי הבית שלא לדיור" title="איור 6: יתרת העו&quot;ש השלילית של משקי הבית ומשקלה בסך החוב של משקי הבית שלא לד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6700" cy="3590925"/>
                    </a:xfrm>
                    <a:prstGeom prst="rect">
                      <a:avLst/>
                    </a:prstGeom>
                    <a:noFill/>
                  </pic:spPr>
                </pic:pic>
              </a:graphicData>
            </a:graphic>
          </wp:inline>
        </w:drawing>
      </w:r>
    </w:p>
    <w:p w:rsidR="00916B4B" w:rsidRPr="00033A32" w:rsidRDefault="00916B4B" w:rsidP="0029790E">
      <w:pPr>
        <w:bidi/>
        <w:jc w:val="center"/>
        <w:rPr>
          <w:rFonts w:ascii="David" w:hAnsi="David" w:cs="David"/>
          <w:b/>
          <w:bCs/>
          <w:sz w:val="24"/>
          <w:szCs w:val="24"/>
          <w:rtl/>
        </w:rPr>
      </w:pPr>
    </w:p>
    <w:p w:rsidR="00916B4B" w:rsidRPr="00033A32" w:rsidRDefault="00916B4B" w:rsidP="00916B4B">
      <w:pPr>
        <w:bidi/>
        <w:jc w:val="center"/>
        <w:rPr>
          <w:rFonts w:ascii="David" w:hAnsi="David" w:cs="David"/>
          <w:b/>
          <w:bCs/>
          <w:sz w:val="24"/>
          <w:szCs w:val="24"/>
          <w:rtl/>
        </w:rPr>
      </w:pPr>
      <w:r w:rsidRPr="00033A32">
        <w:rPr>
          <w:rFonts w:ascii="David" w:hAnsi="David" w:cs="David"/>
          <w:b/>
          <w:bCs/>
          <w:sz w:val="24"/>
          <w:szCs w:val="24"/>
          <w:rtl/>
        </w:rPr>
        <w:br/>
      </w:r>
    </w:p>
    <w:p w:rsidR="00916B4B" w:rsidRPr="00033A32" w:rsidRDefault="00916B4B">
      <w:pPr>
        <w:spacing w:after="200" w:line="276" w:lineRule="auto"/>
        <w:rPr>
          <w:rFonts w:ascii="David" w:hAnsi="David" w:cs="David"/>
          <w:b/>
          <w:bCs/>
          <w:sz w:val="24"/>
          <w:szCs w:val="24"/>
          <w:rtl/>
        </w:rPr>
      </w:pPr>
      <w:r w:rsidRPr="00033A32">
        <w:rPr>
          <w:rFonts w:ascii="David" w:hAnsi="David" w:cs="David"/>
          <w:b/>
          <w:bCs/>
          <w:sz w:val="24"/>
          <w:szCs w:val="24"/>
          <w:rtl/>
        </w:rPr>
        <w:br w:type="page"/>
      </w:r>
    </w:p>
    <w:p w:rsidR="00280F81" w:rsidRPr="00033A32" w:rsidRDefault="00BF4C2E" w:rsidP="00916B4B">
      <w:pPr>
        <w:bidi/>
        <w:jc w:val="center"/>
        <w:rPr>
          <w:rFonts w:ascii="David" w:hAnsi="David" w:cs="David"/>
          <w:b/>
          <w:bCs/>
          <w:sz w:val="24"/>
          <w:szCs w:val="24"/>
          <w:rtl/>
        </w:rPr>
      </w:pPr>
      <w:r w:rsidRPr="00033A32">
        <w:rPr>
          <w:rFonts w:ascii="David" w:hAnsi="David" w:cs="David"/>
          <w:b/>
          <w:bCs/>
          <w:sz w:val="24"/>
          <w:szCs w:val="24"/>
          <w:rtl/>
        </w:rPr>
        <w:t xml:space="preserve">איור </w:t>
      </w:r>
      <w:r w:rsidR="0029790E" w:rsidRPr="00033A32">
        <w:rPr>
          <w:rFonts w:ascii="David" w:hAnsi="David" w:cs="David"/>
          <w:b/>
          <w:bCs/>
          <w:sz w:val="24"/>
          <w:szCs w:val="24"/>
          <w:rtl/>
        </w:rPr>
        <w:t>7</w:t>
      </w:r>
      <w:r w:rsidRPr="00033A32">
        <w:rPr>
          <w:rFonts w:ascii="David" w:hAnsi="David" w:cs="David"/>
          <w:b/>
          <w:bCs/>
          <w:sz w:val="24"/>
          <w:szCs w:val="24"/>
          <w:rtl/>
        </w:rPr>
        <w:t xml:space="preserve">: </w:t>
      </w:r>
      <w:r w:rsidR="00280F81" w:rsidRPr="00033A32">
        <w:rPr>
          <w:rFonts w:ascii="David" w:hAnsi="David" w:cs="David"/>
          <w:b/>
          <w:bCs/>
          <w:sz w:val="24"/>
          <w:szCs w:val="24"/>
          <w:rtl/>
        </w:rPr>
        <w:t>סכום ההלוואות החדשות לרכישת דירת מגורים שהעמידו הבנקים לציבור</w:t>
      </w:r>
      <w:r w:rsidR="00B33FA0" w:rsidRPr="00033A32">
        <w:rPr>
          <w:rFonts w:ascii="David" w:hAnsi="David" w:cs="David"/>
          <w:b/>
          <w:bCs/>
          <w:sz w:val="24"/>
          <w:szCs w:val="24"/>
          <w:rtl/>
        </w:rPr>
        <w:t xml:space="preserve"> (משכנתאות)</w:t>
      </w:r>
    </w:p>
    <w:p w:rsidR="00005C41" w:rsidRPr="00033A32" w:rsidRDefault="00005C41" w:rsidP="00005C41">
      <w:pPr>
        <w:bidi/>
        <w:jc w:val="center"/>
        <w:rPr>
          <w:rFonts w:ascii="David" w:hAnsi="David" w:cs="David"/>
          <w:b/>
          <w:bCs/>
          <w:sz w:val="24"/>
          <w:szCs w:val="24"/>
          <w:rtl/>
        </w:rPr>
      </w:pPr>
    </w:p>
    <w:p w:rsidR="00324EF2" w:rsidRPr="00033A32" w:rsidRDefault="00CA0895" w:rsidP="00280F81">
      <w:pPr>
        <w:bidi/>
        <w:spacing w:line="360" w:lineRule="auto"/>
        <w:jc w:val="center"/>
        <w:rPr>
          <w:rFonts w:ascii="David" w:hAnsi="David" w:cs="David"/>
          <w:sz w:val="24"/>
          <w:szCs w:val="24"/>
          <w:rtl/>
        </w:rPr>
      </w:pPr>
      <w:r w:rsidRPr="00033A32">
        <w:rPr>
          <w:rFonts w:ascii="David" w:hAnsi="David" w:cs="David"/>
          <w:noProof/>
          <w:sz w:val="24"/>
          <w:szCs w:val="24"/>
          <w:lang w:eastAsia="en-US"/>
        </w:rPr>
        <w:drawing>
          <wp:inline distT="0" distB="0" distL="0" distR="0" wp14:anchorId="4CD8CBE9">
            <wp:extent cx="5316220" cy="2822575"/>
            <wp:effectExtent l="0" t="0" r="0" b="0"/>
            <wp:docPr id="16" name="תמונה 16" descr="איור 6: סכום ההלוואות החדשות לרכישת דירת מגורים שהעמידו הבנקים לציבור (משכנתאות)" title="איור 6: סכום ההלוואות החדשות לרכישת דירת מגורים שהעמידו הבנקים לציבור (משכנת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6220" cy="2822575"/>
                    </a:xfrm>
                    <a:prstGeom prst="rect">
                      <a:avLst/>
                    </a:prstGeom>
                    <a:noFill/>
                  </pic:spPr>
                </pic:pic>
              </a:graphicData>
            </a:graphic>
          </wp:inline>
        </w:drawing>
      </w:r>
    </w:p>
    <w:p w:rsidR="00F97D41" w:rsidRPr="00033A32" w:rsidRDefault="006B0BAE" w:rsidP="00AD6881">
      <w:pPr>
        <w:pStyle w:val="a9"/>
        <w:bidi/>
        <w:spacing w:before="480" w:line="360" w:lineRule="auto"/>
        <w:ind w:left="0"/>
        <w:rPr>
          <w:rFonts w:ascii="David" w:hAnsi="David" w:cs="David"/>
          <w:sz w:val="24"/>
          <w:szCs w:val="24"/>
          <w:rtl/>
        </w:rPr>
      </w:pPr>
      <w:r w:rsidRPr="00033A32">
        <w:rPr>
          <w:rFonts w:ascii="David" w:hAnsi="David" w:cs="David"/>
          <w:sz w:val="24"/>
          <w:szCs w:val="24"/>
          <w:rtl/>
        </w:rPr>
        <w:t xml:space="preserve">ראה קישור למידע נוסף בנושא המופיע באתר הבנק בדף </w:t>
      </w:r>
      <w:hyperlink r:id="rId18" w:history="1">
        <w:r w:rsidRPr="00033A32">
          <w:rPr>
            <w:rStyle w:val="Hyperlink"/>
            <w:rFonts w:ascii="David" w:hAnsi="David" w:cs="David"/>
            <w:sz w:val="24"/>
            <w:szCs w:val="24"/>
            <w:rtl/>
          </w:rPr>
          <w:t>יתרות האשראי במשק</w:t>
        </w:r>
      </w:hyperlink>
      <w:r w:rsidRPr="00033A32">
        <w:rPr>
          <w:rFonts w:ascii="David" w:hAnsi="David" w:cs="David"/>
          <w:sz w:val="24"/>
          <w:szCs w:val="24"/>
          <w:rtl/>
        </w:rPr>
        <w:t xml:space="preserve">, קישור </w:t>
      </w:r>
      <w:hyperlink r:id="rId19" w:history="1">
        <w:r w:rsidRPr="00033A32">
          <w:rPr>
            <w:rStyle w:val="Hyperlink"/>
            <w:rFonts w:ascii="David" w:hAnsi="David" w:cs="David"/>
            <w:sz w:val="24"/>
            <w:szCs w:val="24"/>
            <w:rtl/>
          </w:rPr>
          <w:t>לנתוני משכנתאות</w:t>
        </w:r>
      </w:hyperlink>
      <w:r w:rsidR="00F97D41" w:rsidRPr="00033A32">
        <w:rPr>
          <w:rFonts w:ascii="David" w:hAnsi="David" w:cs="David"/>
          <w:sz w:val="24"/>
          <w:szCs w:val="24"/>
          <w:rtl/>
        </w:rPr>
        <w:t xml:space="preserve">, קישור לנתוני </w:t>
      </w:r>
      <w:hyperlink r:id="rId20" w:history="1">
        <w:r w:rsidR="00F97D41" w:rsidRPr="00033A32">
          <w:rPr>
            <w:rStyle w:val="Hyperlink"/>
            <w:rFonts w:ascii="David" w:hAnsi="David" w:cs="David"/>
            <w:sz w:val="24"/>
            <w:szCs w:val="24"/>
            <w:rtl/>
          </w:rPr>
          <w:t>מחירים בבנקים</w:t>
        </w:r>
      </w:hyperlink>
      <w:r w:rsidR="00F97D41" w:rsidRPr="00033A32">
        <w:rPr>
          <w:rFonts w:ascii="David" w:hAnsi="David" w:cs="David"/>
          <w:sz w:val="24"/>
          <w:szCs w:val="24"/>
          <w:rtl/>
        </w:rPr>
        <w:t>.</w:t>
      </w:r>
      <w:r w:rsidR="002559B7" w:rsidRPr="00033A32">
        <w:rPr>
          <w:rFonts w:ascii="David" w:hAnsi="David" w:cs="David"/>
          <w:sz w:val="24"/>
          <w:szCs w:val="24"/>
          <w:rtl/>
        </w:rPr>
        <w:t xml:space="preserve"> </w:t>
      </w:r>
    </w:p>
    <w:sectPr w:rsidR="00F97D41" w:rsidRPr="00033A32" w:rsidSect="007A3CCD">
      <w:footerReference w:type="default" r:id="rId21"/>
      <w:pgSz w:w="11906" w:h="16838"/>
      <w:pgMar w:top="1418" w:right="1797" w:bottom="907" w:left="1797" w:header="709"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73" w:rsidRDefault="00F51573" w:rsidP="00C04A6B">
      <w:r>
        <w:separator/>
      </w:r>
    </w:p>
  </w:endnote>
  <w:endnote w:type="continuationSeparator" w:id="0">
    <w:p w:rsidR="00F51573" w:rsidRDefault="00F51573"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tl/>
      </w:rPr>
      <w:id w:val="1001085329"/>
      <w:docPartObj>
        <w:docPartGallery w:val="Page Numbers (Bottom of Page)"/>
        <w:docPartUnique/>
      </w:docPartObj>
    </w:sdtPr>
    <w:sdtEndPr>
      <w:rPr>
        <w:sz w:val="24"/>
        <w:szCs w:val="24"/>
        <w:cs/>
      </w:rPr>
    </w:sdtEndPr>
    <w:sdtContent>
      <w:sdt>
        <w:sdtPr>
          <w:rPr>
            <w:rFonts w:ascii="Arial" w:hAnsi="Arial" w:cs="Arial"/>
            <w:sz w:val="24"/>
            <w:szCs w:val="24"/>
            <w:rtl/>
          </w:rPr>
          <w:id w:val="98381352"/>
          <w:docPartObj>
            <w:docPartGallery w:val="Page Numbers (Top of Page)"/>
            <w:docPartUnique/>
          </w:docPartObj>
        </w:sdtPr>
        <w:sdtEndPr/>
        <w:sdtContent>
          <w:p w:rsidR="002438E2" w:rsidRPr="007A3CCD" w:rsidRDefault="00507193" w:rsidP="00E81FF6">
            <w:pPr>
              <w:pStyle w:val="a7"/>
              <w:tabs>
                <w:tab w:val="clear" w:pos="8306"/>
                <w:tab w:val="right" w:pos="8873"/>
              </w:tabs>
              <w:bidi/>
              <w:ind w:left="-625"/>
              <w:jc w:val="right"/>
              <w:rPr>
                <w:rFonts w:ascii="Arial" w:hAnsi="Arial" w:cs="Arial"/>
                <w:sz w:val="24"/>
                <w:szCs w:val="24"/>
                <w:rtl/>
                <w:cs/>
              </w:rPr>
            </w:pPr>
            <w:r w:rsidRPr="007A3CCD">
              <w:rPr>
                <w:rFonts w:ascii="Arial" w:hAnsi="Arial" w:cs="Arial"/>
                <w:sz w:val="24"/>
                <w:szCs w:val="24"/>
                <w:rtl/>
                <w:cs/>
                <w:lang w:val="he-IL"/>
              </w:rPr>
              <w:t xml:space="preserve">התפתחות החוב </w:t>
            </w:r>
            <w:r w:rsidR="00802DF3" w:rsidRPr="007A3CCD">
              <w:rPr>
                <w:rFonts w:ascii="Arial" w:hAnsi="Arial" w:cs="Arial" w:hint="cs"/>
                <w:sz w:val="24"/>
                <w:szCs w:val="24"/>
                <w:rtl/>
                <w:cs/>
                <w:lang w:val="he-IL"/>
              </w:rPr>
              <w:t>של המגזר הפרטי</w:t>
            </w:r>
            <w:r w:rsidR="00B055B5">
              <w:rPr>
                <w:rFonts w:ascii="Arial" w:hAnsi="Arial" w:cs="Arial" w:hint="cs"/>
                <w:sz w:val="24"/>
                <w:szCs w:val="24"/>
                <w:rtl/>
                <w:cs/>
                <w:lang w:val="he-IL"/>
              </w:rPr>
              <w:t xml:space="preserve"> הלא-פיננסי</w:t>
            </w:r>
            <w:r w:rsidR="00802DF3" w:rsidRPr="007A3CCD">
              <w:rPr>
                <w:rFonts w:ascii="Arial" w:hAnsi="Arial" w:cs="Arial" w:hint="cs"/>
                <w:sz w:val="24"/>
                <w:szCs w:val="24"/>
                <w:rtl/>
                <w:cs/>
                <w:lang w:val="he-IL"/>
              </w:rPr>
              <w:t xml:space="preserve"> </w:t>
            </w:r>
            <w:r w:rsidR="00FC2095" w:rsidRPr="007A3CCD">
              <w:rPr>
                <w:rFonts w:ascii="Arial" w:hAnsi="Arial" w:cs="Arial" w:hint="cs"/>
                <w:sz w:val="24"/>
                <w:szCs w:val="24"/>
                <w:rtl/>
                <w:cs/>
                <w:lang w:val="he-IL"/>
              </w:rPr>
              <w:t xml:space="preserve">ברביע </w:t>
            </w:r>
            <w:r w:rsidR="00E81FF6">
              <w:rPr>
                <w:rFonts w:ascii="Arial" w:hAnsi="Arial" w:cs="Arial" w:hint="cs"/>
                <w:sz w:val="24"/>
                <w:szCs w:val="24"/>
                <w:rtl/>
                <w:cs/>
                <w:lang w:val="he-IL"/>
              </w:rPr>
              <w:t>השלישי</w:t>
            </w:r>
            <w:r w:rsidR="00802DF3" w:rsidRPr="007A3CCD">
              <w:rPr>
                <w:rFonts w:ascii="Arial" w:hAnsi="Arial" w:cs="Arial" w:hint="cs"/>
                <w:sz w:val="24"/>
                <w:szCs w:val="24"/>
                <w:rtl/>
                <w:cs/>
                <w:lang w:val="he-IL"/>
              </w:rPr>
              <w:t xml:space="preserve"> של שנת </w:t>
            </w:r>
            <w:r w:rsidR="00F426C3">
              <w:rPr>
                <w:rFonts w:ascii="Arial" w:hAnsi="Arial" w:cs="Arial" w:hint="cs"/>
                <w:sz w:val="24"/>
                <w:szCs w:val="24"/>
                <w:rtl/>
                <w:lang w:val="he-IL"/>
              </w:rPr>
              <w:t>201</w:t>
            </w:r>
            <w:r w:rsidR="00474B96">
              <w:rPr>
                <w:rFonts w:ascii="Arial" w:hAnsi="Arial" w:cs="Arial" w:hint="cs"/>
                <w:sz w:val="24"/>
                <w:szCs w:val="24"/>
                <w:rtl/>
                <w:lang w:val="he-IL"/>
              </w:rPr>
              <w:t>9</w:t>
            </w:r>
            <w:r w:rsidR="002438E2" w:rsidRPr="007A3CCD">
              <w:rPr>
                <w:rFonts w:ascii="Arial" w:hAnsi="Arial" w:cs="Arial"/>
                <w:sz w:val="24"/>
                <w:szCs w:val="24"/>
                <w:rtl/>
                <w:cs/>
                <w:lang w:val="he-IL"/>
              </w:rPr>
              <w:tab/>
              <w:t xml:space="preserve">עמוד </w:t>
            </w:r>
            <w:r w:rsidR="002438E2" w:rsidRPr="007A3CCD">
              <w:rPr>
                <w:rFonts w:ascii="Arial" w:hAnsi="Arial" w:cs="Arial"/>
                <w:sz w:val="24"/>
                <w:szCs w:val="24"/>
              </w:rPr>
              <w:fldChar w:fldCharType="begin"/>
            </w:r>
            <w:r w:rsidR="002438E2" w:rsidRPr="007A3CCD">
              <w:rPr>
                <w:rFonts w:ascii="Arial" w:hAnsi="Arial" w:cs="Arial"/>
                <w:sz w:val="24"/>
                <w:szCs w:val="24"/>
                <w:rtl/>
                <w:cs/>
              </w:rPr>
              <w:instrText>PAGE</w:instrText>
            </w:r>
            <w:r w:rsidR="002438E2" w:rsidRPr="007A3CCD">
              <w:rPr>
                <w:rFonts w:ascii="Arial" w:hAnsi="Arial" w:cs="Arial"/>
                <w:sz w:val="24"/>
                <w:szCs w:val="24"/>
              </w:rPr>
              <w:fldChar w:fldCharType="separate"/>
            </w:r>
            <w:r w:rsidR="00033A32">
              <w:rPr>
                <w:rFonts w:ascii="Arial" w:hAnsi="Arial" w:cs="Arial"/>
                <w:noProof/>
                <w:sz w:val="24"/>
                <w:szCs w:val="24"/>
                <w:rtl/>
              </w:rPr>
              <w:t>1</w:t>
            </w:r>
            <w:r w:rsidR="002438E2" w:rsidRPr="007A3CCD">
              <w:rPr>
                <w:rFonts w:ascii="Arial" w:hAnsi="Arial" w:cs="Arial"/>
                <w:sz w:val="24"/>
                <w:szCs w:val="24"/>
              </w:rPr>
              <w:fldChar w:fldCharType="end"/>
            </w:r>
            <w:r w:rsidR="002438E2" w:rsidRPr="007A3CCD">
              <w:rPr>
                <w:rFonts w:ascii="Arial" w:hAnsi="Arial" w:cs="Arial"/>
                <w:sz w:val="24"/>
                <w:szCs w:val="24"/>
                <w:rtl/>
                <w:cs/>
                <w:lang w:val="he-IL"/>
              </w:rPr>
              <w:t xml:space="preserve"> מתוך </w:t>
            </w:r>
            <w:r w:rsidR="002438E2" w:rsidRPr="007A3CCD">
              <w:rPr>
                <w:rFonts w:ascii="Arial" w:hAnsi="Arial" w:cs="Arial"/>
                <w:sz w:val="24"/>
                <w:szCs w:val="24"/>
              </w:rPr>
              <w:fldChar w:fldCharType="begin"/>
            </w:r>
            <w:r w:rsidR="002438E2" w:rsidRPr="007A3CCD">
              <w:rPr>
                <w:rFonts w:ascii="Arial" w:hAnsi="Arial" w:cs="Arial"/>
                <w:sz w:val="24"/>
                <w:szCs w:val="24"/>
                <w:rtl/>
                <w:cs/>
              </w:rPr>
              <w:instrText>NUMPAGES</w:instrText>
            </w:r>
            <w:r w:rsidR="002438E2" w:rsidRPr="007A3CCD">
              <w:rPr>
                <w:rFonts w:ascii="Arial" w:hAnsi="Arial" w:cs="Arial"/>
                <w:sz w:val="24"/>
                <w:szCs w:val="24"/>
              </w:rPr>
              <w:fldChar w:fldCharType="separate"/>
            </w:r>
            <w:r w:rsidR="00033A32">
              <w:rPr>
                <w:rFonts w:ascii="Arial" w:hAnsi="Arial" w:cs="Arial"/>
                <w:noProof/>
                <w:sz w:val="24"/>
                <w:szCs w:val="24"/>
                <w:rtl/>
              </w:rPr>
              <w:t>7</w:t>
            </w:r>
            <w:r w:rsidR="002438E2" w:rsidRPr="007A3CCD">
              <w:rPr>
                <w:rFonts w:ascii="Arial" w:hAnsi="Arial" w:cs="Arial"/>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73" w:rsidRDefault="00F51573" w:rsidP="00C04A6B">
      <w:r>
        <w:separator/>
      </w:r>
    </w:p>
  </w:footnote>
  <w:footnote w:type="continuationSeparator" w:id="0">
    <w:p w:rsidR="00F51573" w:rsidRDefault="00F51573" w:rsidP="00C04A6B">
      <w:r>
        <w:continuationSeparator/>
      </w:r>
    </w:p>
  </w:footnote>
  <w:footnote w:id="1">
    <w:p w:rsidR="00474B96" w:rsidRPr="00474B96" w:rsidRDefault="00474B96" w:rsidP="00474B96">
      <w:pPr>
        <w:pStyle w:val="af"/>
        <w:bidi/>
        <w:rPr>
          <w:rFonts w:asciiTheme="minorBidi" w:hAnsiTheme="minorBidi" w:cstheme="minorBidi"/>
          <w:rtl/>
        </w:rPr>
      </w:pPr>
      <w:r w:rsidRPr="00474B96">
        <w:rPr>
          <w:rStyle w:val="af1"/>
          <w:rFonts w:asciiTheme="minorBidi" w:hAnsiTheme="minorBidi" w:cstheme="minorBidi"/>
        </w:rPr>
        <w:footnoteRef/>
      </w:r>
      <w:r w:rsidRPr="00474B96">
        <w:rPr>
          <w:rFonts w:asciiTheme="minorBidi" w:hAnsiTheme="minorBidi" w:cstheme="minorBidi"/>
        </w:rPr>
        <w:t xml:space="preserve"> </w:t>
      </w:r>
      <w:r w:rsidRPr="00474B96">
        <w:rPr>
          <w:rFonts w:asciiTheme="minorBidi" w:hAnsiTheme="minorBidi" w:cstheme="minorBidi"/>
          <w:rtl/>
        </w:rPr>
        <w:t xml:space="preserve"> </w:t>
      </w:r>
      <w:r w:rsidR="00DC263E">
        <w:rPr>
          <w:rFonts w:asciiTheme="minorBidi" w:hAnsiTheme="minorBidi" w:cstheme="minorBidi" w:hint="cs"/>
          <w:rtl/>
        </w:rPr>
        <w:t xml:space="preserve">חברות עסקיות ישראליות, </w:t>
      </w:r>
      <w:r w:rsidRPr="00474B96">
        <w:rPr>
          <w:rFonts w:asciiTheme="minorBidi" w:hAnsiTheme="minorBidi" w:cstheme="minorBidi"/>
          <w:rtl/>
        </w:rPr>
        <w:t>ללא בנקים, חברות כרטיסי אשראי וחברות ביטוח</w:t>
      </w:r>
      <w:r>
        <w:rPr>
          <w:rFonts w:asciiTheme="minorBidi" w:hAnsiTheme="minorBidi" w:cstheme="minorBidi" w:hint="cs"/>
          <w:rtl/>
        </w:rPr>
        <w:t>.</w:t>
      </w:r>
    </w:p>
  </w:footnote>
  <w:footnote w:id="2">
    <w:p w:rsidR="006B6CFA" w:rsidRPr="006B6CFA" w:rsidRDefault="006B6CFA" w:rsidP="00916B4B">
      <w:pPr>
        <w:pStyle w:val="af"/>
        <w:bidi/>
        <w:rPr>
          <w:rtl/>
        </w:rPr>
      </w:pPr>
      <w:r w:rsidRPr="00BE0F06">
        <w:rPr>
          <w:rStyle w:val="af1"/>
        </w:rPr>
        <w:footnoteRef/>
      </w:r>
      <w:r w:rsidRPr="00BE0F06">
        <w:t xml:space="preserve"> </w:t>
      </w:r>
      <w:r w:rsidRPr="00BE0F06">
        <w:rPr>
          <w:rFonts w:asciiTheme="minorBidi" w:hAnsiTheme="minorBidi" w:cstheme="minorBidi"/>
          <w:rtl/>
        </w:rPr>
        <w:t>החוב של משקי הבית שלא לדיור לבנקים מורכב מהלוואות שמטרתן אינה לדיור וכן מיתרות העובר ושב השליליות. יתרת עובר ושב שלילית מוגדרת כניצול בפועל של מסגרת האשראי המועמדת בחשבונות עובר ושב של הלקוחות הפרטיים. במקרה בו אושרה חריגה מעבר למסגרת האשראי בחשבונות העובר ושב, גם חריגה זו תיכלל בסעיף יתרת העובר ושב השלילית</w:t>
      </w:r>
      <w:r w:rsidRPr="00BE0F06">
        <w:rPr>
          <w:rFonts w:asciiTheme="minorBidi" w:hAnsiTheme="minorBidi" w:cstheme="minorBidi" w:hint="cs"/>
          <w:rtl/>
        </w:rPr>
        <w:t xml:space="preserve">. ככל הנראה ניצול זה של מסגרת האשראי והחריגה </w:t>
      </w:r>
      <w:r w:rsidR="00916B4B" w:rsidRPr="00BE0F06">
        <w:rPr>
          <w:rFonts w:asciiTheme="minorBidi" w:hAnsiTheme="minorBidi" w:cstheme="minorBidi" w:hint="cs"/>
          <w:rtl/>
        </w:rPr>
        <w:t xml:space="preserve">המאושרת </w:t>
      </w:r>
      <w:r w:rsidRPr="00BE0F06">
        <w:rPr>
          <w:rFonts w:asciiTheme="minorBidi" w:hAnsiTheme="minorBidi" w:cstheme="minorBidi" w:hint="cs"/>
          <w:rtl/>
        </w:rPr>
        <w:t xml:space="preserve">גורר </w:t>
      </w:r>
      <w:r w:rsidR="00916B4B" w:rsidRPr="00BE0F06">
        <w:rPr>
          <w:rFonts w:asciiTheme="minorBidi" w:hAnsiTheme="minorBidi" w:cstheme="minorBidi" w:hint="cs"/>
          <w:rtl/>
        </w:rPr>
        <w:t xml:space="preserve">תשלום </w:t>
      </w:r>
      <w:r w:rsidRPr="00BE0F06">
        <w:rPr>
          <w:rFonts w:asciiTheme="minorBidi" w:hAnsiTheme="minorBidi" w:cstheme="minorBidi" w:hint="cs"/>
          <w:rtl/>
        </w:rPr>
        <w:t>ריבית גבוה יותר.</w:t>
      </w:r>
      <w:r w:rsidRPr="005861E2">
        <w:rPr>
          <w:rFonts w:asciiTheme="minorBidi" w:hAnsiTheme="minorBidi" w:cstheme="minorBidi"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11A"/>
    <w:multiLevelType w:val="hybridMultilevel"/>
    <w:tmpl w:val="052C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83C5C"/>
    <w:multiLevelType w:val="hybridMultilevel"/>
    <w:tmpl w:val="17CA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332EB"/>
    <w:multiLevelType w:val="hybridMultilevel"/>
    <w:tmpl w:val="646A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30283"/>
    <w:multiLevelType w:val="hybridMultilevel"/>
    <w:tmpl w:val="09067F40"/>
    <w:lvl w:ilvl="0" w:tplc="658C360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ED2C5A"/>
    <w:multiLevelType w:val="hybridMultilevel"/>
    <w:tmpl w:val="57942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AE6066"/>
    <w:multiLevelType w:val="hybridMultilevel"/>
    <w:tmpl w:val="460A4558"/>
    <w:lvl w:ilvl="0" w:tplc="B940604E">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934BD"/>
    <w:multiLevelType w:val="hybridMultilevel"/>
    <w:tmpl w:val="F672F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B70643"/>
    <w:multiLevelType w:val="hybridMultilevel"/>
    <w:tmpl w:val="6BD0A064"/>
    <w:lvl w:ilvl="0" w:tplc="F2568F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F71052"/>
    <w:multiLevelType w:val="hybridMultilevel"/>
    <w:tmpl w:val="9606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34AED"/>
    <w:multiLevelType w:val="hybridMultilevel"/>
    <w:tmpl w:val="74AE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34BC4"/>
    <w:multiLevelType w:val="hybridMultilevel"/>
    <w:tmpl w:val="ADA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9323D"/>
    <w:multiLevelType w:val="hybridMultilevel"/>
    <w:tmpl w:val="F0DA9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B5811"/>
    <w:multiLevelType w:val="hybridMultilevel"/>
    <w:tmpl w:val="AB0EC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24234C"/>
    <w:multiLevelType w:val="hybridMultilevel"/>
    <w:tmpl w:val="8506AE90"/>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7007A1"/>
    <w:multiLevelType w:val="hybridMultilevel"/>
    <w:tmpl w:val="773A65F2"/>
    <w:lvl w:ilvl="0" w:tplc="AAE6AD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36B50"/>
    <w:multiLevelType w:val="hybridMultilevel"/>
    <w:tmpl w:val="424CA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9F0BED"/>
    <w:multiLevelType w:val="hybridMultilevel"/>
    <w:tmpl w:val="76F64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6"/>
  </w:num>
  <w:num w:numId="5">
    <w:abstractNumId w:val="7"/>
  </w:num>
  <w:num w:numId="6">
    <w:abstractNumId w:val="12"/>
  </w:num>
  <w:num w:numId="7">
    <w:abstractNumId w:val="4"/>
  </w:num>
  <w:num w:numId="8">
    <w:abstractNumId w:val="9"/>
  </w:num>
  <w:num w:numId="9">
    <w:abstractNumId w:val="0"/>
  </w:num>
  <w:num w:numId="10">
    <w:abstractNumId w:val="10"/>
  </w:num>
  <w:num w:numId="11">
    <w:abstractNumId w:val="1"/>
  </w:num>
  <w:num w:numId="12">
    <w:abstractNumId w:val="8"/>
  </w:num>
  <w:num w:numId="13">
    <w:abstractNumId w:val="2"/>
  </w:num>
  <w:num w:numId="14">
    <w:abstractNumId w:val="16"/>
  </w:num>
  <w:num w:numId="15">
    <w:abstractNumId w:val="13"/>
  </w:num>
  <w:num w:numId="16">
    <w:abstractNumId w:val="9"/>
  </w:num>
  <w:num w:numId="17">
    <w:abstractNumId w:val="11"/>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682"/>
    <w:rsid w:val="00005C41"/>
    <w:rsid w:val="00011D14"/>
    <w:rsid w:val="0001318A"/>
    <w:rsid w:val="0001661B"/>
    <w:rsid w:val="00016772"/>
    <w:rsid w:val="00016D86"/>
    <w:rsid w:val="00017279"/>
    <w:rsid w:val="00020DFD"/>
    <w:rsid w:val="000265B2"/>
    <w:rsid w:val="00026A8C"/>
    <w:rsid w:val="00027743"/>
    <w:rsid w:val="00031B7D"/>
    <w:rsid w:val="000331F5"/>
    <w:rsid w:val="00033A32"/>
    <w:rsid w:val="00034E1E"/>
    <w:rsid w:val="00037E47"/>
    <w:rsid w:val="00040066"/>
    <w:rsid w:val="0004029A"/>
    <w:rsid w:val="000418F2"/>
    <w:rsid w:val="00041E30"/>
    <w:rsid w:val="0004490E"/>
    <w:rsid w:val="00045838"/>
    <w:rsid w:val="00051063"/>
    <w:rsid w:val="0005169A"/>
    <w:rsid w:val="000533F4"/>
    <w:rsid w:val="00053684"/>
    <w:rsid w:val="0005562A"/>
    <w:rsid w:val="00060D8E"/>
    <w:rsid w:val="0006247F"/>
    <w:rsid w:val="000624C1"/>
    <w:rsid w:val="000630AB"/>
    <w:rsid w:val="00063601"/>
    <w:rsid w:val="00064830"/>
    <w:rsid w:val="00065320"/>
    <w:rsid w:val="00065C62"/>
    <w:rsid w:val="00070391"/>
    <w:rsid w:val="000713E4"/>
    <w:rsid w:val="00075FC4"/>
    <w:rsid w:val="000812AB"/>
    <w:rsid w:val="00081313"/>
    <w:rsid w:val="000822C2"/>
    <w:rsid w:val="00085BE0"/>
    <w:rsid w:val="000874C1"/>
    <w:rsid w:val="000911D7"/>
    <w:rsid w:val="000915A6"/>
    <w:rsid w:val="0009315D"/>
    <w:rsid w:val="00097E8B"/>
    <w:rsid w:val="000A4C37"/>
    <w:rsid w:val="000A588A"/>
    <w:rsid w:val="000B083E"/>
    <w:rsid w:val="000B190F"/>
    <w:rsid w:val="000B2F20"/>
    <w:rsid w:val="000B6B82"/>
    <w:rsid w:val="000B7AE3"/>
    <w:rsid w:val="000B7D5E"/>
    <w:rsid w:val="000C62F4"/>
    <w:rsid w:val="000D2923"/>
    <w:rsid w:val="000D756E"/>
    <w:rsid w:val="000E3992"/>
    <w:rsid w:val="000E3B3B"/>
    <w:rsid w:val="000E3F1A"/>
    <w:rsid w:val="000E45F2"/>
    <w:rsid w:val="000E59A0"/>
    <w:rsid w:val="000E5A37"/>
    <w:rsid w:val="000E6A23"/>
    <w:rsid w:val="000F0D97"/>
    <w:rsid w:val="000F225A"/>
    <w:rsid w:val="000F33EA"/>
    <w:rsid w:val="000F3559"/>
    <w:rsid w:val="000F3A6E"/>
    <w:rsid w:val="000F5653"/>
    <w:rsid w:val="000F5E2D"/>
    <w:rsid w:val="000F7E97"/>
    <w:rsid w:val="000F7FFC"/>
    <w:rsid w:val="0010106E"/>
    <w:rsid w:val="00105B59"/>
    <w:rsid w:val="0010731B"/>
    <w:rsid w:val="00107D10"/>
    <w:rsid w:val="00115A6D"/>
    <w:rsid w:val="00115A82"/>
    <w:rsid w:val="00115F7A"/>
    <w:rsid w:val="0011712D"/>
    <w:rsid w:val="001178ED"/>
    <w:rsid w:val="00117C7B"/>
    <w:rsid w:val="0012175B"/>
    <w:rsid w:val="00121FF7"/>
    <w:rsid w:val="00125E7E"/>
    <w:rsid w:val="00127335"/>
    <w:rsid w:val="00127CE7"/>
    <w:rsid w:val="00130EF4"/>
    <w:rsid w:val="001316A1"/>
    <w:rsid w:val="001329B0"/>
    <w:rsid w:val="00132A42"/>
    <w:rsid w:val="00137006"/>
    <w:rsid w:val="0013752D"/>
    <w:rsid w:val="001400D2"/>
    <w:rsid w:val="001431B5"/>
    <w:rsid w:val="00143BC9"/>
    <w:rsid w:val="00144AA6"/>
    <w:rsid w:val="00146694"/>
    <w:rsid w:val="001503F7"/>
    <w:rsid w:val="001510D4"/>
    <w:rsid w:val="001543AD"/>
    <w:rsid w:val="00161CB7"/>
    <w:rsid w:val="00162787"/>
    <w:rsid w:val="00164C8D"/>
    <w:rsid w:val="00166C6B"/>
    <w:rsid w:val="0017002C"/>
    <w:rsid w:val="00177686"/>
    <w:rsid w:val="00180E8A"/>
    <w:rsid w:val="00182968"/>
    <w:rsid w:val="00186495"/>
    <w:rsid w:val="0018670E"/>
    <w:rsid w:val="0019015A"/>
    <w:rsid w:val="001909E1"/>
    <w:rsid w:val="00193A25"/>
    <w:rsid w:val="001943E3"/>
    <w:rsid w:val="00194480"/>
    <w:rsid w:val="0019703C"/>
    <w:rsid w:val="001B15F7"/>
    <w:rsid w:val="001B3C3C"/>
    <w:rsid w:val="001B449D"/>
    <w:rsid w:val="001B5224"/>
    <w:rsid w:val="001C5132"/>
    <w:rsid w:val="001D0A90"/>
    <w:rsid w:val="001D0E31"/>
    <w:rsid w:val="001D364B"/>
    <w:rsid w:val="001D3779"/>
    <w:rsid w:val="001D5AF0"/>
    <w:rsid w:val="001D7646"/>
    <w:rsid w:val="001D7A17"/>
    <w:rsid w:val="001E5A00"/>
    <w:rsid w:val="001E6A4B"/>
    <w:rsid w:val="001E7722"/>
    <w:rsid w:val="001E78A9"/>
    <w:rsid w:val="001F1E1B"/>
    <w:rsid w:val="001F436F"/>
    <w:rsid w:val="001F50C9"/>
    <w:rsid w:val="001F529C"/>
    <w:rsid w:val="00207836"/>
    <w:rsid w:val="00207EF6"/>
    <w:rsid w:val="00210333"/>
    <w:rsid w:val="00210E2D"/>
    <w:rsid w:val="0021293F"/>
    <w:rsid w:val="00214D6B"/>
    <w:rsid w:val="00215E7F"/>
    <w:rsid w:val="0022046E"/>
    <w:rsid w:val="00221420"/>
    <w:rsid w:val="002232D2"/>
    <w:rsid w:val="002237E5"/>
    <w:rsid w:val="0022486C"/>
    <w:rsid w:val="00224F08"/>
    <w:rsid w:val="00225651"/>
    <w:rsid w:val="00225A4F"/>
    <w:rsid w:val="00227BB9"/>
    <w:rsid w:val="0023142A"/>
    <w:rsid w:val="002318C9"/>
    <w:rsid w:val="002319C1"/>
    <w:rsid w:val="00237314"/>
    <w:rsid w:val="00242FFE"/>
    <w:rsid w:val="002430F6"/>
    <w:rsid w:val="002438E2"/>
    <w:rsid w:val="00246382"/>
    <w:rsid w:val="00250CB1"/>
    <w:rsid w:val="00251288"/>
    <w:rsid w:val="0025170C"/>
    <w:rsid w:val="00252CD1"/>
    <w:rsid w:val="00254010"/>
    <w:rsid w:val="0025408D"/>
    <w:rsid w:val="002559B7"/>
    <w:rsid w:val="00255A4E"/>
    <w:rsid w:val="00260F11"/>
    <w:rsid w:val="00263083"/>
    <w:rsid w:val="00264230"/>
    <w:rsid w:val="00265361"/>
    <w:rsid w:val="00266DC3"/>
    <w:rsid w:val="0027192B"/>
    <w:rsid w:val="00274A6A"/>
    <w:rsid w:val="00280F81"/>
    <w:rsid w:val="0028327B"/>
    <w:rsid w:val="00283EC9"/>
    <w:rsid w:val="00284B68"/>
    <w:rsid w:val="002868D9"/>
    <w:rsid w:val="00286AB2"/>
    <w:rsid w:val="00287BE1"/>
    <w:rsid w:val="00287E45"/>
    <w:rsid w:val="00292BAD"/>
    <w:rsid w:val="00295751"/>
    <w:rsid w:val="00296A2E"/>
    <w:rsid w:val="002972B4"/>
    <w:rsid w:val="0029790E"/>
    <w:rsid w:val="002A0469"/>
    <w:rsid w:val="002A2B75"/>
    <w:rsid w:val="002A3CD7"/>
    <w:rsid w:val="002A51F1"/>
    <w:rsid w:val="002A5C23"/>
    <w:rsid w:val="002A60C4"/>
    <w:rsid w:val="002A6176"/>
    <w:rsid w:val="002B0F7F"/>
    <w:rsid w:val="002B39A4"/>
    <w:rsid w:val="002B3FB0"/>
    <w:rsid w:val="002B447B"/>
    <w:rsid w:val="002B74E5"/>
    <w:rsid w:val="002C2286"/>
    <w:rsid w:val="002C29DA"/>
    <w:rsid w:val="002C3A77"/>
    <w:rsid w:val="002C515A"/>
    <w:rsid w:val="002C7213"/>
    <w:rsid w:val="002C73B0"/>
    <w:rsid w:val="002C756B"/>
    <w:rsid w:val="002D0FD7"/>
    <w:rsid w:val="002D1779"/>
    <w:rsid w:val="002D3C1F"/>
    <w:rsid w:val="002E016D"/>
    <w:rsid w:val="002E20F7"/>
    <w:rsid w:val="002E2CC4"/>
    <w:rsid w:val="002E5ADF"/>
    <w:rsid w:val="002E6CC3"/>
    <w:rsid w:val="002E7A87"/>
    <w:rsid w:val="002F0816"/>
    <w:rsid w:val="002F2629"/>
    <w:rsid w:val="002F2BC6"/>
    <w:rsid w:val="002F6C4C"/>
    <w:rsid w:val="00300E82"/>
    <w:rsid w:val="003018A7"/>
    <w:rsid w:val="003030A9"/>
    <w:rsid w:val="00303DA6"/>
    <w:rsid w:val="003054F9"/>
    <w:rsid w:val="003055E7"/>
    <w:rsid w:val="00310281"/>
    <w:rsid w:val="003138AF"/>
    <w:rsid w:val="00315DCB"/>
    <w:rsid w:val="00317948"/>
    <w:rsid w:val="00320FD1"/>
    <w:rsid w:val="00322FC0"/>
    <w:rsid w:val="00323164"/>
    <w:rsid w:val="003240D3"/>
    <w:rsid w:val="00324EF2"/>
    <w:rsid w:val="0033214F"/>
    <w:rsid w:val="0033261D"/>
    <w:rsid w:val="00333F8E"/>
    <w:rsid w:val="00340B38"/>
    <w:rsid w:val="0034285A"/>
    <w:rsid w:val="003439F5"/>
    <w:rsid w:val="0035070F"/>
    <w:rsid w:val="003509EF"/>
    <w:rsid w:val="00351EF0"/>
    <w:rsid w:val="003537B9"/>
    <w:rsid w:val="003576B2"/>
    <w:rsid w:val="00357818"/>
    <w:rsid w:val="00363D6A"/>
    <w:rsid w:val="003641D5"/>
    <w:rsid w:val="003645A9"/>
    <w:rsid w:val="00364AB7"/>
    <w:rsid w:val="003657E7"/>
    <w:rsid w:val="003700E8"/>
    <w:rsid w:val="00370901"/>
    <w:rsid w:val="003713E8"/>
    <w:rsid w:val="0037614E"/>
    <w:rsid w:val="003766F9"/>
    <w:rsid w:val="00377C33"/>
    <w:rsid w:val="00377EEF"/>
    <w:rsid w:val="0038353E"/>
    <w:rsid w:val="0038394F"/>
    <w:rsid w:val="00383F02"/>
    <w:rsid w:val="00385301"/>
    <w:rsid w:val="003901E0"/>
    <w:rsid w:val="00390EEB"/>
    <w:rsid w:val="003928D7"/>
    <w:rsid w:val="00395C57"/>
    <w:rsid w:val="003A0C66"/>
    <w:rsid w:val="003A242C"/>
    <w:rsid w:val="003A2FA9"/>
    <w:rsid w:val="003A315C"/>
    <w:rsid w:val="003A43C0"/>
    <w:rsid w:val="003A48D2"/>
    <w:rsid w:val="003A490D"/>
    <w:rsid w:val="003A5570"/>
    <w:rsid w:val="003A5BCB"/>
    <w:rsid w:val="003A704C"/>
    <w:rsid w:val="003A7384"/>
    <w:rsid w:val="003B0ADC"/>
    <w:rsid w:val="003B140B"/>
    <w:rsid w:val="003B17BC"/>
    <w:rsid w:val="003B2A0D"/>
    <w:rsid w:val="003B3050"/>
    <w:rsid w:val="003B360C"/>
    <w:rsid w:val="003B388A"/>
    <w:rsid w:val="003B4B48"/>
    <w:rsid w:val="003B4CCA"/>
    <w:rsid w:val="003B61BA"/>
    <w:rsid w:val="003B6ADF"/>
    <w:rsid w:val="003C751F"/>
    <w:rsid w:val="003D04A2"/>
    <w:rsid w:val="003D06D2"/>
    <w:rsid w:val="003D54D0"/>
    <w:rsid w:val="003E05CD"/>
    <w:rsid w:val="003E3AEF"/>
    <w:rsid w:val="003E4002"/>
    <w:rsid w:val="003E68CF"/>
    <w:rsid w:val="003F12AD"/>
    <w:rsid w:val="003F240A"/>
    <w:rsid w:val="003F39B8"/>
    <w:rsid w:val="003F4002"/>
    <w:rsid w:val="003F454D"/>
    <w:rsid w:val="00400630"/>
    <w:rsid w:val="004024AB"/>
    <w:rsid w:val="00402A67"/>
    <w:rsid w:val="00406F28"/>
    <w:rsid w:val="00410DE0"/>
    <w:rsid w:val="0041358A"/>
    <w:rsid w:val="00416818"/>
    <w:rsid w:val="004169F7"/>
    <w:rsid w:val="004175C9"/>
    <w:rsid w:val="00420F93"/>
    <w:rsid w:val="00424BF3"/>
    <w:rsid w:val="00426001"/>
    <w:rsid w:val="004268D2"/>
    <w:rsid w:val="00426A9C"/>
    <w:rsid w:val="0043226F"/>
    <w:rsid w:val="0044713E"/>
    <w:rsid w:val="004474C7"/>
    <w:rsid w:val="0045197C"/>
    <w:rsid w:val="00453DD1"/>
    <w:rsid w:val="0045413E"/>
    <w:rsid w:val="004606C0"/>
    <w:rsid w:val="00460712"/>
    <w:rsid w:val="004625EB"/>
    <w:rsid w:val="0046354A"/>
    <w:rsid w:val="00464A9A"/>
    <w:rsid w:val="00466F96"/>
    <w:rsid w:val="00470630"/>
    <w:rsid w:val="00470996"/>
    <w:rsid w:val="004717A3"/>
    <w:rsid w:val="00472EDE"/>
    <w:rsid w:val="00474B96"/>
    <w:rsid w:val="004806BA"/>
    <w:rsid w:val="00480FFC"/>
    <w:rsid w:val="00482D0E"/>
    <w:rsid w:val="00484208"/>
    <w:rsid w:val="00493882"/>
    <w:rsid w:val="00497BD0"/>
    <w:rsid w:val="004A6D8C"/>
    <w:rsid w:val="004B22E7"/>
    <w:rsid w:val="004B58B8"/>
    <w:rsid w:val="004B5D8D"/>
    <w:rsid w:val="004B6112"/>
    <w:rsid w:val="004C1DAB"/>
    <w:rsid w:val="004C3D74"/>
    <w:rsid w:val="004C43DC"/>
    <w:rsid w:val="004C705A"/>
    <w:rsid w:val="004C7FE3"/>
    <w:rsid w:val="004D0866"/>
    <w:rsid w:val="004D216C"/>
    <w:rsid w:val="004D221E"/>
    <w:rsid w:val="004D285B"/>
    <w:rsid w:val="004D63EE"/>
    <w:rsid w:val="004D746B"/>
    <w:rsid w:val="004D763E"/>
    <w:rsid w:val="004D79EB"/>
    <w:rsid w:val="004E2566"/>
    <w:rsid w:val="004F06E0"/>
    <w:rsid w:val="004F16EA"/>
    <w:rsid w:val="004F1EB9"/>
    <w:rsid w:val="004F3279"/>
    <w:rsid w:val="004F3600"/>
    <w:rsid w:val="004F426F"/>
    <w:rsid w:val="004F4E43"/>
    <w:rsid w:val="00502068"/>
    <w:rsid w:val="00502294"/>
    <w:rsid w:val="005042A9"/>
    <w:rsid w:val="0050443A"/>
    <w:rsid w:val="00507193"/>
    <w:rsid w:val="00507235"/>
    <w:rsid w:val="00510ABA"/>
    <w:rsid w:val="00513C0C"/>
    <w:rsid w:val="00516A2C"/>
    <w:rsid w:val="00520122"/>
    <w:rsid w:val="00521DE3"/>
    <w:rsid w:val="00522BB0"/>
    <w:rsid w:val="00525A49"/>
    <w:rsid w:val="00525B9D"/>
    <w:rsid w:val="00526641"/>
    <w:rsid w:val="00532713"/>
    <w:rsid w:val="00534C99"/>
    <w:rsid w:val="0054311D"/>
    <w:rsid w:val="0054512E"/>
    <w:rsid w:val="00546295"/>
    <w:rsid w:val="005528A7"/>
    <w:rsid w:val="00555BDD"/>
    <w:rsid w:val="0056103E"/>
    <w:rsid w:val="00561E57"/>
    <w:rsid w:val="0056258A"/>
    <w:rsid w:val="005631AE"/>
    <w:rsid w:val="00572730"/>
    <w:rsid w:val="00572B04"/>
    <w:rsid w:val="00573545"/>
    <w:rsid w:val="00574044"/>
    <w:rsid w:val="00577146"/>
    <w:rsid w:val="005816B4"/>
    <w:rsid w:val="00584275"/>
    <w:rsid w:val="0058468A"/>
    <w:rsid w:val="00585612"/>
    <w:rsid w:val="005861E2"/>
    <w:rsid w:val="005913CE"/>
    <w:rsid w:val="005921D5"/>
    <w:rsid w:val="005958D0"/>
    <w:rsid w:val="00596389"/>
    <w:rsid w:val="005972B0"/>
    <w:rsid w:val="005A199D"/>
    <w:rsid w:val="005A4B9C"/>
    <w:rsid w:val="005A5B31"/>
    <w:rsid w:val="005A6536"/>
    <w:rsid w:val="005A7029"/>
    <w:rsid w:val="005B24B3"/>
    <w:rsid w:val="005B3C69"/>
    <w:rsid w:val="005B77A0"/>
    <w:rsid w:val="005C110F"/>
    <w:rsid w:val="005C1140"/>
    <w:rsid w:val="005C246C"/>
    <w:rsid w:val="005C32B3"/>
    <w:rsid w:val="005C5130"/>
    <w:rsid w:val="005C5F1D"/>
    <w:rsid w:val="005D012F"/>
    <w:rsid w:val="005D0E2A"/>
    <w:rsid w:val="005E2DFC"/>
    <w:rsid w:val="005E409F"/>
    <w:rsid w:val="005E40CD"/>
    <w:rsid w:val="005E6AF0"/>
    <w:rsid w:val="005E77A7"/>
    <w:rsid w:val="005E7841"/>
    <w:rsid w:val="005F482A"/>
    <w:rsid w:val="005F663A"/>
    <w:rsid w:val="00600591"/>
    <w:rsid w:val="006028EA"/>
    <w:rsid w:val="00602DED"/>
    <w:rsid w:val="006038EA"/>
    <w:rsid w:val="006042F7"/>
    <w:rsid w:val="0060434F"/>
    <w:rsid w:val="006043D4"/>
    <w:rsid w:val="00604E10"/>
    <w:rsid w:val="00612DAA"/>
    <w:rsid w:val="00613223"/>
    <w:rsid w:val="00614095"/>
    <w:rsid w:val="006176B8"/>
    <w:rsid w:val="006212AD"/>
    <w:rsid w:val="006219DA"/>
    <w:rsid w:val="00624066"/>
    <w:rsid w:val="00624A20"/>
    <w:rsid w:val="00624C40"/>
    <w:rsid w:val="00626A71"/>
    <w:rsid w:val="00631A91"/>
    <w:rsid w:val="00632F81"/>
    <w:rsid w:val="006345E5"/>
    <w:rsid w:val="00635BDC"/>
    <w:rsid w:val="00636483"/>
    <w:rsid w:val="00636A4D"/>
    <w:rsid w:val="006373FB"/>
    <w:rsid w:val="006407DF"/>
    <w:rsid w:val="0064196B"/>
    <w:rsid w:val="00641E05"/>
    <w:rsid w:val="00643343"/>
    <w:rsid w:val="006453AB"/>
    <w:rsid w:val="0064551B"/>
    <w:rsid w:val="00650A9D"/>
    <w:rsid w:val="00652294"/>
    <w:rsid w:val="00656E22"/>
    <w:rsid w:val="00664600"/>
    <w:rsid w:val="00664A0B"/>
    <w:rsid w:val="00665A1C"/>
    <w:rsid w:val="006677B2"/>
    <w:rsid w:val="00670D97"/>
    <w:rsid w:val="00674FDA"/>
    <w:rsid w:val="00675551"/>
    <w:rsid w:val="00675FDA"/>
    <w:rsid w:val="00676F2C"/>
    <w:rsid w:val="006816CE"/>
    <w:rsid w:val="006819E9"/>
    <w:rsid w:val="00682B0D"/>
    <w:rsid w:val="0069062B"/>
    <w:rsid w:val="00691556"/>
    <w:rsid w:val="00695778"/>
    <w:rsid w:val="006957E0"/>
    <w:rsid w:val="00695929"/>
    <w:rsid w:val="006961B2"/>
    <w:rsid w:val="00697C2E"/>
    <w:rsid w:val="006A160B"/>
    <w:rsid w:val="006A16E5"/>
    <w:rsid w:val="006A3C62"/>
    <w:rsid w:val="006A4A2C"/>
    <w:rsid w:val="006A66B4"/>
    <w:rsid w:val="006A7088"/>
    <w:rsid w:val="006B0BAE"/>
    <w:rsid w:val="006B2887"/>
    <w:rsid w:val="006B2FAC"/>
    <w:rsid w:val="006B58A2"/>
    <w:rsid w:val="006B624E"/>
    <w:rsid w:val="006B6ACF"/>
    <w:rsid w:val="006B6CFA"/>
    <w:rsid w:val="006C01FB"/>
    <w:rsid w:val="006C27C7"/>
    <w:rsid w:val="006D0C16"/>
    <w:rsid w:val="006D3752"/>
    <w:rsid w:val="006D526D"/>
    <w:rsid w:val="006D6EEC"/>
    <w:rsid w:val="006D7644"/>
    <w:rsid w:val="006E0537"/>
    <w:rsid w:val="006E4F10"/>
    <w:rsid w:val="006E56BA"/>
    <w:rsid w:val="006E7116"/>
    <w:rsid w:val="006E7BF6"/>
    <w:rsid w:val="006F0620"/>
    <w:rsid w:val="006F3512"/>
    <w:rsid w:val="006F5E34"/>
    <w:rsid w:val="007037CB"/>
    <w:rsid w:val="007102C4"/>
    <w:rsid w:val="0071617D"/>
    <w:rsid w:val="00716EF2"/>
    <w:rsid w:val="00720923"/>
    <w:rsid w:val="00725208"/>
    <w:rsid w:val="00725739"/>
    <w:rsid w:val="00727054"/>
    <w:rsid w:val="00737106"/>
    <w:rsid w:val="00737755"/>
    <w:rsid w:val="00742DCE"/>
    <w:rsid w:val="00744938"/>
    <w:rsid w:val="007474E6"/>
    <w:rsid w:val="0074787D"/>
    <w:rsid w:val="00751A3D"/>
    <w:rsid w:val="00752B5B"/>
    <w:rsid w:val="00753DFC"/>
    <w:rsid w:val="00754AE3"/>
    <w:rsid w:val="00755099"/>
    <w:rsid w:val="00755443"/>
    <w:rsid w:val="00760730"/>
    <w:rsid w:val="0076231E"/>
    <w:rsid w:val="00762D5A"/>
    <w:rsid w:val="00763347"/>
    <w:rsid w:val="007714BD"/>
    <w:rsid w:val="007743BA"/>
    <w:rsid w:val="0077544B"/>
    <w:rsid w:val="0077670A"/>
    <w:rsid w:val="00777113"/>
    <w:rsid w:val="0077779F"/>
    <w:rsid w:val="00781240"/>
    <w:rsid w:val="0078308C"/>
    <w:rsid w:val="0078308F"/>
    <w:rsid w:val="00784528"/>
    <w:rsid w:val="0078453F"/>
    <w:rsid w:val="00784F91"/>
    <w:rsid w:val="0078511C"/>
    <w:rsid w:val="00787DD9"/>
    <w:rsid w:val="00790911"/>
    <w:rsid w:val="0079278E"/>
    <w:rsid w:val="0079675B"/>
    <w:rsid w:val="007A2DDB"/>
    <w:rsid w:val="007A39D0"/>
    <w:rsid w:val="007A3CCD"/>
    <w:rsid w:val="007B1313"/>
    <w:rsid w:val="007B174B"/>
    <w:rsid w:val="007B45DE"/>
    <w:rsid w:val="007B6206"/>
    <w:rsid w:val="007C0A47"/>
    <w:rsid w:val="007C2446"/>
    <w:rsid w:val="007C26CE"/>
    <w:rsid w:val="007C3769"/>
    <w:rsid w:val="007C4233"/>
    <w:rsid w:val="007C639F"/>
    <w:rsid w:val="007D0D18"/>
    <w:rsid w:val="007D0EF4"/>
    <w:rsid w:val="007D32BF"/>
    <w:rsid w:val="007D7D86"/>
    <w:rsid w:val="007E0E80"/>
    <w:rsid w:val="007E13A9"/>
    <w:rsid w:val="007E14D9"/>
    <w:rsid w:val="007E18EE"/>
    <w:rsid w:val="007E3786"/>
    <w:rsid w:val="007E5070"/>
    <w:rsid w:val="007E72DA"/>
    <w:rsid w:val="007E7A16"/>
    <w:rsid w:val="007F12DE"/>
    <w:rsid w:val="007F1C5D"/>
    <w:rsid w:val="007F1D05"/>
    <w:rsid w:val="007F2CEB"/>
    <w:rsid w:val="007F3842"/>
    <w:rsid w:val="007F4782"/>
    <w:rsid w:val="007F5009"/>
    <w:rsid w:val="007F6557"/>
    <w:rsid w:val="007F7A89"/>
    <w:rsid w:val="00800A7C"/>
    <w:rsid w:val="00802DD5"/>
    <w:rsid w:val="00802DF3"/>
    <w:rsid w:val="00804AEF"/>
    <w:rsid w:val="008065E2"/>
    <w:rsid w:val="00806850"/>
    <w:rsid w:val="00807054"/>
    <w:rsid w:val="00811358"/>
    <w:rsid w:val="008121D7"/>
    <w:rsid w:val="00814206"/>
    <w:rsid w:val="008158A5"/>
    <w:rsid w:val="008215C3"/>
    <w:rsid w:val="00825878"/>
    <w:rsid w:val="008259B7"/>
    <w:rsid w:val="00825F21"/>
    <w:rsid w:val="00826337"/>
    <w:rsid w:val="00826810"/>
    <w:rsid w:val="00835FC5"/>
    <w:rsid w:val="00843E29"/>
    <w:rsid w:val="008478AE"/>
    <w:rsid w:val="00847B21"/>
    <w:rsid w:val="0085187D"/>
    <w:rsid w:val="00852D44"/>
    <w:rsid w:val="00860503"/>
    <w:rsid w:val="008608B4"/>
    <w:rsid w:val="0086154C"/>
    <w:rsid w:val="0086330B"/>
    <w:rsid w:val="00864546"/>
    <w:rsid w:val="0086574C"/>
    <w:rsid w:val="00872529"/>
    <w:rsid w:val="008737F5"/>
    <w:rsid w:val="0087446B"/>
    <w:rsid w:val="00877900"/>
    <w:rsid w:val="00877EDF"/>
    <w:rsid w:val="00880799"/>
    <w:rsid w:val="00880DF0"/>
    <w:rsid w:val="00881187"/>
    <w:rsid w:val="00881EF7"/>
    <w:rsid w:val="00882DAC"/>
    <w:rsid w:val="00882FBA"/>
    <w:rsid w:val="0088314F"/>
    <w:rsid w:val="00883762"/>
    <w:rsid w:val="008842DA"/>
    <w:rsid w:val="008868F8"/>
    <w:rsid w:val="0088690D"/>
    <w:rsid w:val="008900E3"/>
    <w:rsid w:val="0089040A"/>
    <w:rsid w:val="0089151C"/>
    <w:rsid w:val="008A3C63"/>
    <w:rsid w:val="008A537E"/>
    <w:rsid w:val="008A6440"/>
    <w:rsid w:val="008B0765"/>
    <w:rsid w:val="008B10B8"/>
    <w:rsid w:val="008B217D"/>
    <w:rsid w:val="008B29D4"/>
    <w:rsid w:val="008B2B4C"/>
    <w:rsid w:val="008B3B63"/>
    <w:rsid w:val="008B4F60"/>
    <w:rsid w:val="008B55E9"/>
    <w:rsid w:val="008B771A"/>
    <w:rsid w:val="008C197C"/>
    <w:rsid w:val="008C335C"/>
    <w:rsid w:val="008C5990"/>
    <w:rsid w:val="008C6760"/>
    <w:rsid w:val="008D098C"/>
    <w:rsid w:val="008D2EA6"/>
    <w:rsid w:val="008D5AD7"/>
    <w:rsid w:val="008D68DB"/>
    <w:rsid w:val="008E2AE6"/>
    <w:rsid w:val="008E4D5D"/>
    <w:rsid w:val="008E50B1"/>
    <w:rsid w:val="008E7A02"/>
    <w:rsid w:val="008F47C4"/>
    <w:rsid w:val="0090225A"/>
    <w:rsid w:val="00902402"/>
    <w:rsid w:val="0090346B"/>
    <w:rsid w:val="009048BA"/>
    <w:rsid w:val="009050FC"/>
    <w:rsid w:val="009065F1"/>
    <w:rsid w:val="00911151"/>
    <w:rsid w:val="009118DB"/>
    <w:rsid w:val="00912494"/>
    <w:rsid w:val="00915424"/>
    <w:rsid w:val="00915CE8"/>
    <w:rsid w:val="00916B4B"/>
    <w:rsid w:val="00917C1C"/>
    <w:rsid w:val="0092021B"/>
    <w:rsid w:val="00923125"/>
    <w:rsid w:val="009231C3"/>
    <w:rsid w:val="00925F5D"/>
    <w:rsid w:val="009303F4"/>
    <w:rsid w:val="00930697"/>
    <w:rsid w:val="009311DE"/>
    <w:rsid w:val="00933604"/>
    <w:rsid w:val="00941A49"/>
    <w:rsid w:val="00943887"/>
    <w:rsid w:val="00943CA7"/>
    <w:rsid w:val="009444D9"/>
    <w:rsid w:val="009467BA"/>
    <w:rsid w:val="009516D8"/>
    <w:rsid w:val="00955832"/>
    <w:rsid w:val="00957DF6"/>
    <w:rsid w:val="00961EFC"/>
    <w:rsid w:val="009653F5"/>
    <w:rsid w:val="00966322"/>
    <w:rsid w:val="00967A2D"/>
    <w:rsid w:val="00971841"/>
    <w:rsid w:val="0097338C"/>
    <w:rsid w:val="00973B12"/>
    <w:rsid w:val="00975122"/>
    <w:rsid w:val="00977BED"/>
    <w:rsid w:val="009818C2"/>
    <w:rsid w:val="00981FA3"/>
    <w:rsid w:val="00985045"/>
    <w:rsid w:val="00985B74"/>
    <w:rsid w:val="00987F05"/>
    <w:rsid w:val="0099010D"/>
    <w:rsid w:val="00990A9F"/>
    <w:rsid w:val="00992E1E"/>
    <w:rsid w:val="0099500B"/>
    <w:rsid w:val="00995039"/>
    <w:rsid w:val="00996693"/>
    <w:rsid w:val="009974D0"/>
    <w:rsid w:val="009A2755"/>
    <w:rsid w:val="009A3808"/>
    <w:rsid w:val="009A54F7"/>
    <w:rsid w:val="009A7195"/>
    <w:rsid w:val="009A773E"/>
    <w:rsid w:val="009B0128"/>
    <w:rsid w:val="009B16C6"/>
    <w:rsid w:val="009B2722"/>
    <w:rsid w:val="009B27C2"/>
    <w:rsid w:val="009B4172"/>
    <w:rsid w:val="009B5DCF"/>
    <w:rsid w:val="009B7097"/>
    <w:rsid w:val="009C1434"/>
    <w:rsid w:val="009C16BD"/>
    <w:rsid w:val="009C24AF"/>
    <w:rsid w:val="009C27D3"/>
    <w:rsid w:val="009D0E00"/>
    <w:rsid w:val="009D3E91"/>
    <w:rsid w:val="009E07BE"/>
    <w:rsid w:val="009E1076"/>
    <w:rsid w:val="009E58EA"/>
    <w:rsid w:val="009E64E6"/>
    <w:rsid w:val="009F47F7"/>
    <w:rsid w:val="009F574F"/>
    <w:rsid w:val="00A013E1"/>
    <w:rsid w:val="00A03BFC"/>
    <w:rsid w:val="00A06D00"/>
    <w:rsid w:val="00A17283"/>
    <w:rsid w:val="00A20385"/>
    <w:rsid w:val="00A23183"/>
    <w:rsid w:val="00A2499F"/>
    <w:rsid w:val="00A24CC8"/>
    <w:rsid w:val="00A30DCC"/>
    <w:rsid w:val="00A315D7"/>
    <w:rsid w:val="00A322B9"/>
    <w:rsid w:val="00A32A72"/>
    <w:rsid w:val="00A333C5"/>
    <w:rsid w:val="00A334F6"/>
    <w:rsid w:val="00A34179"/>
    <w:rsid w:val="00A41E89"/>
    <w:rsid w:val="00A44417"/>
    <w:rsid w:val="00A45303"/>
    <w:rsid w:val="00A4555E"/>
    <w:rsid w:val="00A45CAF"/>
    <w:rsid w:val="00A46B0C"/>
    <w:rsid w:val="00A47EF9"/>
    <w:rsid w:val="00A52883"/>
    <w:rsid w:val="00A54983"/>
    <w:rsid w:val="00A57161"/>
    <w:rsid w:val="00A60F5F"/>
    <w:rsid w:val="00A65531"/>
    <w:rsid w:val="00A67178"/>
    <w:rsid w:val="00A677BF"/>
    <w:rsid w:val="00A73792"/>
    <w:rsid w:val="00A7630F"/>
    <w:rsid w:val="00A80AE3"/>
    <w:rsid w:val="00A81A07"/>
    <w:rsid w:val="00A84B3D"/>
    <w:rsid w:val="00A85E92"/>
    <w:rsid w:val="00A878A6"/>
    <w:rsid w:val="00A933C6"/>
    <w:rsid w:val="00A94B36"/>
    <w:rsid w:val="00A95DD8"/>
    <w:rsid w:val="00A96870"/>
    <w:rsid w:val="00A96BDC"/>
    <w:rsid w:val="00A979CF"/>
    <w:rsid w:val="00AA0702"/>
    <w:rsid w:val="00AA0AFF"/>
    <w:rsid w:val="00AA0C2F"/>
    <w:rsid w:val="00AA22D1"/>
    <w:rsid w:val="00AA3E80"/>
    <w:rsid w:val="00AA51B0"/>
    <w:rsid w:val="00AA6DC6"/>
    <w:rsid w:val="00AA70E3"/>
    <w:rsid w:val="00AB316B"/>
    <w:rsid w:val="00AB31EF"/>
    <w:rsid w:val="00AB409F"/>
    <w:rsid w:val="00AB44C3"/>
    <w:rsid w:val="00AB5B06"/>
    <w:rsid w:val="00AC3E61"/>
    <w:rsid w:val="00AC47DE"/>
    <w:rsid w:val="00AC535F"/>
    <w:rsid w:val="00AC5CD3"/>
    <w:rsid w:val="00AC75BF"/>
    <w:rsid w:val="00AD1348"/>
    <w:rsid w:val="00AD32F4"/>
    <w:rsid w:val="00AD3F98"/>
    <w:rsid w:val="00AD4C8C"/>
    <w:rsid w:val="00AD4F67"/>
    <w:rsid w:val="00AD5FFC"/>
    <w:rsid w:val="00AD655A"/>
    <w:rsid w:val="00AD6881"/>
    <w:rsid w:val="00AD759C"/>
    <w:rsid w:val="00AE487B"/>
    <w:rsid w:val="00AE591E"/>
    <w:rsid w:val="00AF0681"/>
    <w:rsid w:val="00AF0AD5"/>
    <w:rsid w:val="00AF126A"/>
    <w:rsid w:val="00AF2FE3"/>
    <w:rsid w:val="00AF5FCE"/>
    <w:rsid w:val="00AF6E09"/>
    <w:rsid w:val="00AF7ADE"/>
    <w:rsid w:val="00B01C0D"/>
    <w:rsid w:val="00B03DCA"/>
    <w:rsid w:val="00B055B5"/>
    <w:rsid w:val="00B058F3"/>
    <w:rsid w:val="00B072ED"/>
    <w:rsid w:val="00B102F2"/>
    <w:rsid w:val="00B110D9"/>
    <w:rsid w:val="00B1299B"/>
    <w:rsid w:val="00B138C1"/>
    <w:rsid w:val="00B140E1"/>
    <w:rsid w:val="00B14475"/>
    <w:rsid w:val="00B157DD"/>
    <w:rsid w:val="00B17282"/>
    <w:rsid w:val="00B17C32"/>
    <w:rsid w:val="00B24F7C"/>
    <w:rsid w:val="00B24FBE"/>
    <w:rsid w:val="00B2503D"/>
    <w:rsid w:val="00B266BE"/>
    <w:rsid w:val="00B27269"/>
    <w:rsid w:val="00B2798D"/>
    <w:rsid w:val="00B27A62"/>
    <w:rsid w:val="00B31EFB"/>
    <w:rsid w:val="00B33FA0"/>
    <w:rsid w:val="00B34377"/>
    <w:rsid w:val="00B34583"/>
    <w:rsid w:val="00B37F02"/>
    <w:rsid w:val="00B42CE6"/>
    <w:rsid w:val="00B47332"/>
    <w:rsid w:val="00B474E8"/>
    <w:rsid w:val="00B478D2"/>
    <w:rsid w:val="00B51372"/>
    <w:rsid w:val="00B52D63"/>
    <w:rsid w:val="00B53B37"/>
    <w:rsid w:val="00B55813"/>
    <w:rsid w:val="00B62933"/>
    <w:rsid w:val="00B63D9F"/>
    <w:rsid w:val="00B63DC4"/>
    <w:rsid w:val="00B6415C"/>
    <w:rsid w:val="00B6481E"/>
    <w:rsid w:val="00B6578A"/>
    <w:rsid w:val="00B65904"/>
    <w:rsid w:val="00B675C4"/>
    <w:rsid w:val="00B715E7"/>
    <w:rsid w:val="00B7326C"/>
    <w:rsid w:val="00B74551"/>
    <w:rsid w:val="00B75994"/>
    <w:rsid w:val="00B76814"/>
    <w:rsid w:val="00B801AB"/>
    <w:rsid w:val="00B80AE5"/>
    <w:rsid w:val="00B841F2"/>
    <w:rsid w:val="00B84782"/>
    <w:rsid w:val="00B84BD7"/>
    <w:rsid w:val="00B85D55"/>
    <w:rsid w:val="00B86720"/>
    <w:rsid w:val="00B903A6"/>
    <w:rsid w:val="00B90D40"/>
    <w:rsid w:val="00B91326"/>
    <w:rsid w:val="00BA3AE7"/>
    <w:rsid w:val="00BA4CA3"/>
    <w:rsid w:val="00BA5BFF"/>
    <w:rsid w:val="00BA5E1F"/>
    <w:rsid w:val="00BB15EB"/>
    <w:rsid w:val="00BB1F1B"/>
    <w:rsid w:val="00BB23C1"/>
    <w:rsid w:val="00BB4550"/>
    <w:rsid w:val="00BB4F5C"/>
    <w:rsid w:val="00BB7F49"/>
    <w:rsid w:val="00BC578A"/>
    <w:rsid w:val="00BD1037"/>
    <w:rsid w:val="00BD3A1C"/>
    <w:rsid w:val="00BD4578"/>
    <w:rsid w:val="00BD55EC"/>
    <w:rsid w:val="00BD7804"/>
    <w:rsid w:val="00BE0F06"/>
    <w:rsid w:val="00BE235C"/>
    <w:rsid w:val="00BE3716"/>
    <w:rsid w:val="00BE49A2"/>
    <w:rsid w:val="00BE6F10"/>
    <w:rsid w:val="00BF054D"/>
    <w:rsid w:val="00BF0E66"/>
    <w:rsid w:val="00BF4C2E"/>
    <w:rsid w:val="00C014E7"/>
    <w:rsid w:val="00C016F6"/>
    <w:rsid w:val="00C01922"/>
    <w:rsid w:val="00C04A6B"/>
    <w:rsid w:val="00C05088"/>
    <w:rsid w:val="00C06754"/>
    <w:rsid w:val="00C10811"/>
    <w:rsid w:val="00C1139C"/>
    <w:rsid w:val="00C21539"/>
    <w:rsid w:val="00C22C1E"/>
    <w:rsid w:val="00C22E09"/>
    <w:rsid w:val="00C259B6"/>
    <w:rsid w:val="00C25C1C"/>
    <w:rsid w:val="00C3219B"/>
    <w:rsid w:val="00C411E7"/>
    <w:rsid w:val="00C4129A"/>
    <w:rsid w:val="00C44E9B"/>
    <w:rsid w:val="00C45C9C"/>
    <w:rsid w:val="00C4703E"/>
    <w:rsid w:val="00C47A82"/>
    <w:rsid w:val="00C5174C"/>
    <w:rsid w:val="00C51835"/>
    <w:rsid w:val="00C56B85"/>
    <w:rsid w:val="00C60849"/>
    <w:rsid w:val="00C6135C"/>
    <w:rsid w:val="00C63A60"/>
    <w:rsid w:val="00C656C3"/>
    <w:rsid w:val="00C7000A"/>
    <w:rsid w:val="00C71943"/>
    <w:rsid w:val="00C725A9"/>
    <w:rsid w:val="00C72743"/>
    <w:rsid w:val="00C843C1"/>
    <w:rsid w:val="00C84B20"/>
    <w:rsid w:val="00C87F91"/>
    <w:rsid w:val="00C9110B"/>
    <w:rsid w:val="00C9322A"/>
    <w:rsid w:val="00C9450A"/>
    <w:rsid w:val="00C94676"/>
    <w:rsid w:val="00C95582"/>
    <w:rsid w:val="00CA0895"/>
    <w:rsid w:val="00CA10CF"/>
    <w:rsid w:val="00CA6DAB"/>
    <w:rsid w:val="00CB040E"/>
    <w:rsid w:val="00CB07FA"/>
    <w:rsid w:val="00CB187C"/>
    <w:rsid w:val="00CB1B2B"/>
    <w:rsid w:val="00CB39D9"/>
    <w:rsid w:val="00CB450C"/>
    <w:rsid w:val="00CC1A24"/>
    <w:rsid w:val="00CC2676"/>
    <w:rsid w:val="00CC2B6E"/>
    <w:rsid w:val="00CC698B"/>
    <w:rsid w:val="00CC6D6D"/>
    <w:rsid w:val="00CD06A0"/>
    <w:rsid w:val="00CD4F97"/>
    <w:rsid w:val="00CD604C"/>
    <w:rsid w:val="00CD6F68"/>
    <w:rsid w:val="00CE0B3C"/>
    <w:rsid w:val="00CE2510"/>
    <w:rsid w:val="00CE3340"/>
    <w:rsid w:val="00CE36E7"/>
    <w:rsid w:val="00CE457B"/>
    <w:rsid w:val="00CE5DAC"/>
    <w:rsid w:val="00CE71DF"/>
    <w:rsid w:val="00CE7A68"/>
    <w:rsid w:val="00CF1E50"/>
    <w:rsid w:val="00CF24FB"/>
    <w:rsid w:val="00CF6B60"/>
    <w:rsid w:val="00CF76EE"/>
    <w:rsid w:val="00D0022E"/>
    <w:rsid w:val="00D00D9D"/>
    <w:rsid w:val="00D01EC4"/>
    <w:rsid w:val="00D02264"/>
    <w:rsid w:val="00D02682"/>
    <w:rsid w:val="00D04887"/>
    <w:rsid w:val="00D06C99"/>
    <w:rsid w:val="00D13FC6"/>
    <w:rsid w:val="00D144E3"/>
    <w:rsid w:val="00D168B0"/>
    <w:rsid w:val="00D213B7"/>
    <w:rsid w:val="00D22AF3"/>
    <w:rsid w:val="00D240C1"/>
    <w:rsid w:val="00D240DB"/>
    <w:rsid w:val="00D251F2"/>
    <w:rsid w:val="00D25967"/>
    <w:rsid w:val="00D26FAF"/>
    <w:rsid w:val="00D27CB9"/>
    <w:rsid w:val="00D30667"/>
    <w:rsid w:val="00D31183"/>
    <w:rsid w:val="00D31962"/>
    <w:rsid w:val="00D3287E"/>
    <w:rsid w:val="00D34A00"/>
    <w:rsid w:val="00D3721C"/>
    <w:rsid w:val="00D37BCB"/>
    <w:rsid w:val="00D40D4B"/>
    <w:rsid w:val="00D40F39"/>
    <w:rsid w:val="00D446DF"/>
    <w:rsid w:val="00D46A28"/>
    <w:rsid w:val="00D47FBF"/>
    <w:rsid w:val="00D50029"/>
    <w:rsid w:val="00D541E8"/>
    <w:rsid w:val="00D559E6"/>
    <w:rsid w:val="00D56E66"/>
    <w:rsid w:val="00D57208"/>
    <w:rsid w:val="00D577AA"/>
    <w:rsid w:val="00D57AB1"/>
    <w:rsid w:val="00D57DF3"/>
    <w:rsid w:val="00D57F65"/>
    <w:rsid w:val="00D601A9"/>
    <w:rsid w:val="00D602E8"/>
    <w:rsid w:val="00D656CB"/>
    <w:rsid w:val="00D66172"/>
    <w:rsid w:val="00D6658B"/>
    <w:rsid w:val="00D71E63"/>
    <w:rsid w:val="00D80AE9"/>
    <w:rsid w:val="00D80B77"/>
    <w:rsid w:val="00D81061"/>
    <w:rsid w:val="00D81660"/>
    <w:rsid w:val="00D81866"/>
    <w:rsid w:val="00D84C94"/>
    <w:rsid w:val="00D850AB"/>
    <w:rsid w:val="00D86BF0"/>
    <w:rsid w:val="00D87DC1"/>
    <w:rsid w:val="00D95186"/>
    <w:rsid w:val="00D960E3"/>
    <w:rsid w:val="00DA01D8"/>
    <w:rsid w:val="00DA070E"/>
    <w:rsid w:val="00DA2C0B"/>
    <w:rsid w:val="00DA3BD9"/>
    <w:rsid w:val="00DA3CE5"/>
    <w:rsid w:val="00DA4279"/>
    <w:rsid w:val="00DA5162"/>
    <w:rsid w:val="00DB2E03"/>
    <w:rsid w:val="00DB5322"/>
    <w:rsid w:val="00DB630B"/>
    <w:rsid w:val="00DB6C55"/>
    <w:rsid w:val="00DB73B4"/>
    <w:rsid w:val="00DB7F65"/>
    <w:rsid w:val="00DC263E"/>
    <w:rsid w:val="00DC3899"/>
    <w:rsid w:val="00DC3BC8"/>
    <w:rsid w:val="00DC51E3"/>
    <w:rsid w:val="00DD0FB0"/>
    <w:rsid w:val="00DD100F"/>
    <w:rsid w:val="00DD1B3F"/>
    <w:rsid w:val="00DD5923"/>
    <w:rsid w:val="00DD599F"/>
    <w:rsid w:val="00DE3E4A"/>
    <w:rsid w:val="00DE4BB3"/>
    <w:rsid w:val="00DE6ABB"/>
    <w:rsid w:val="00DE75E2"/>
    <w:rsid w:val="00DF19B1"/>
    <w:rsid w:val="00DF4120"/>
    <w:rsid w:val="00DF56CB"/>
    <w:rsid w:val="00E01030"/>
    <w:rsid w:val="00E10836"/>
    <w:rsid w:val="00E108C6"/>
    <w:rsid w:val="00E11343"/>
    <w:rsid w:val="00E13412"/>
    <w:rsid w:val="00E149DD"/>
    <w:rsid w:val="00E15796"/>
    <w:rsid w:val="00E16719"/>
    <w:rsid w:val="00E20EC3"/>
    <w:rsid w:val="00E23336"/>
    <w:rsid w:val="00E3272D"/>
    <w:rsid w:val="00E335BB"/>
    <w:rsid w:val="00E34121"/>
    <w:rsid w:val="00E35818"/>
    <w:rsid w:val="00E36930"/>
    <w:rsid w:val="00E4179F"/>
    <w:rsid w:val="00E42B88"/>
    <w:rsid w:val="00E44E3D"/>
    <w:rsid w:val="00E46A8F"/>
    <w:rsid w:val="00E46FD4"/>
    <w:rsid w:val="00E51F1E"/>
    <w:rsid w:val="00E577A9"/>
    <w:rsid w:val="00E65ACA"/>
    <w:rsid w:val="00E67ECB"/>
    <w:rsid w:val="00E73497"/>
    <w:rsid w:val="00E7456B"/>
    <w:rsid w:val="00E750DB"/>
    <w:rsid w:val="00E76607"/>
    <w:rsid w:val="00E80E85"/>
    <w:rsid w:val="00E81FF6"/>
    <w:rsid w:val="00E85E11"/>
    <w:rsid w:val="00E870DD"/>
    <w:rsid w:val="00E9054A"/>
    <w:rsid w:val="00E91E57"/>
    <w:rsid w:val="00EA0C1C"/>
    <w:rsid w:val="00EA51C0"/>
    <w:rsid w:val="00EA7329"/>
    <w:rsid w:val="00EB5CD6"/>
    <w:rsid w:val="00EB61B0"/>
    <w:rsid w:val="00EC6205"/>
    <w:rsid w:val="00EC65F0"/>
    <w:rsid w:val="00ED153D"/>
    <w:rsid w:val="00ED17CE"/>
    <w:rsid w:val="00EE4337"/>
    <w:rsid w:val="00EE57B2"/>
    <w:rsid w:val="00EE5F35"/>
    <w:rsid w:val="00EE6255"/>
    <w:rsid w:val="00EF13BA"/>
    <w:rsid w:val="00F0238C"/>
    <w:rsid w:val="00F05721"/>
    <w:rsid w:val="00F078CA"/>
    <w:rsid w:val="00F135CB"/>
    <w:rsid w:val="00F136A6"/>
    <w:rsid w:val="00F1596F"/>
    <w:rsid w:val="00F17A79"/>
    <w:rsid w:val="00F2699B"/>
    <w:rsid w:val="00F35B9D"/>
    <w:rsid w:val="00F36EA0"/>
    <w:rsid w:val="00F40978"/>
    <w:rsid w:val="00F426C3"/>
    <w:rsid w:val="00F42876"/>
    <w:rsid w:val="00F45101"/>
    <w:rsid w:val="00F452C6"/>
    <w:rsid w:val="00F45C2D"/>
    <w:rsid w:val="00F50C6B"/>
    <w:rsid w:val="00F51573"/>
    <w:rsid w:val="00F51A34"/>
    <w:rsid w:val="00F520E2"/>
    <w:rsid w:val="00F5237D"/>
    <w:rsid w:val="00F527AF"/>
    <w:rsid w:val="00F53C31"/>
    <w:rsid w:val="00F5509B"/>
    <w:rsid w:val="00F57830"/>
    <w:rsid w:val="00F57D67"/>
    <w:rsid w:val="00F61882"/>
    <w:rsid w:val="00F632C4"/>
    <w:rsid w:val="00F712F6"/>
    <w:rsid w:val="00F718FB"/>
    <w:rsid w:val="00F73B58"/>
    <w:rsid w:val="00F74172"/>
    <w:rsid w:val="00F74693"/>
    <w:rsid w:val="00F8033E"/>
    <w:rsid w:val="00F81C4A"/>
    <w:rsid w:val="00F8315C"/>
    <w:rsid w:val="00F83357"/>
    <w:rsid w:val="00F83505"/>
    <w:rsid w:val="00F852D0"/>
    <w:rsid w:val="00F902C8"/>
    <w:rsid w:val="00F9053D"/>
    <w:rsid w:val="00F90780"/>
    <w:rsid w:val="00F90BA8"/>
    <w:rsid w:val="00F91828"/>
    <w:rsid w:val="00F96916"/>
    <w:rsid w:val="00F96E5A"/>
    <w:rsid w:val="00F97D41"/>
    <w:rsid w:val="00FA0242"/>
    <w:rsid w:val="00FA02EF"/>
    <w:rsid w:val="00FA0665"/>
    <w:rsid w:val="00FA1F15"/>
    <w:rsid w:val="00FA314D"/>
    <w:rsid w:val="00FA6355"/>
    <w:rsid w:val="00FA6451"/>
    <w:rsid w:val="00FA7EB2"/>
    <w:rsid w:val="00FB2A8C"/>
    <w:rsid w:val="00FB2BC1"/>
    <w:rsid w:val="00FB3D77"/>
    <w:rsid w:val="00FC0C52"/>
    <w:rsid w:val="00FC1281"/>
    <w:rsid w:val="00FC2095"/>
    <w:rsid w:val="00FC6CF7"/>
    <w:rsid w:val="00FD0096"/>
    <w:rsid w:val="00FE034E"/>
    <w:rsid w:val="00FE1F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D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7A3CCD"/>
    <w:pPr>
      <w:bidi/>
      <w:spacing w:line="360" w:lineRule="auto"/>
      <w:jc w:val="both"/>
      <w:outlineLvl w:val="0"/>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9F574F"/>
    <w:pPr>
      <w:ind w:left="720"/>
      <w:contextualSpacing/>
    </w:pPr>
  </w:style>
  <w:style w:type="character" w:styleId="Hyperlink">
    <w:name w:val="Hyperlink"/>
    <w:basedOn w:val="a0"/>
    <w:uiPriority w:val="99"/>
    <w:unhideWhenUsed/>
    <w:rsid w:val="00F2699B"/>
    <w:rPr>
      <w:color w:val="0000FF" w:themeColor="hyperlink"/>
      <w:u w:val="single"/>
    </w:rPr>
  </w:style>
  <w:style w:type="character" w:styleId="FollowedHyperlink">
    <w:name w:val="FollowedHyperlink"/>
    <w:basedOn w:val="a0"/>
    <w:uiPriority w:val="99"/>
    <w:semiHidden/>
    <w:unhideWhenUsed/>
    <w:rsid w:val="00F2699B"/>
    <w:rPr>
      <w:color w:val="800080" w:themeColor="followedHyperlink"/>
      <w:u w:val="single"/>
    </w:rPr>
  </w:style>
  <w:style w:type="paragraph" w:styleId="NormalWeb">
    <w:name w:val="Normal (Web)"/>
    <w:basedOn w:val="a"/>
    <w:uiPriority w:val="99"/>
    <w:unhideWhenUsed/>
    <w:rsid w:val="00F5509B"/>
    <w:pPr>
      <w:spacing w:before="100" w:beforeAutospacing="1" w:after="100" w:afterAutospacing="1"/>
    </w:pPr>
    <w:rPr>
      <w:rFonts w:cs="Times New Roman"/>
      <w:sz w:val="24"/>
      <w:szCs w:val="24"/>
      <w:lang w:eastAsia="en-US"/>
    </w:rPr>
  </w:style>
  <w:style w:type="character" w:styleId="aa">
    <w:name w:val="annotation reference"/>
    <w:basedOn w:val="a0"/>
    <w:uiPriority w:val="99"/>
    <w:semiHidden/>
    <w:unhideWhenUsed/>
    <w:rsid w:val="00317948"/>
    <w:rPr>
      <w:sz w:val="16"/>
      <w:szCs w:val="16"/>
    </w:rPr>
  </w:style>
  <w:style w:type="paragraph" w:styleId="ab">
    <w:name w:val="annotation text"/>
    <w:basedOn w:val="a"/>
    <w:link w:val="ac"/>
    <w:uiPriority w:val="99"/>
    <w:semiHidden/>
    <w:unhideWhenUsed/>
    <w:rsid w:val="00317948"/>
  </w:style>
  <w:style w:type="character" w:customStyle="1" w:styleId="ac">
    <w:name w:val="טקסט הערה תו"/>
    <w:basedOn w:val="a0"/>
    <w:link w:val="ab"/>
    <w:uiPriority w:val="99"/>
    <w:semiHidden/>
    <w:rsid w:val="00317948"/>
    <w:rPr>
      <w:rFonts w:ascii="Times New Roman" w:eastAsia="Times New Roman" w:hAnsi="Times New Roman" w:cs="Miriam"/>
      <w:sz w:val="20"/>
      <w:szCs w:val="20"/>
      <w:lang w:eastAsia="he-IL"/>
    </w:rPr>
  </w:style>
  <w:style w:type="paragraph" w:styleId="ad">
    <w:name w:val="annotation subject"/>
    <w:basedOn w:val="ab"/>
    <w:next w:val="ab"/>
    <w:link w:val="ae"/>
    <w:uiPriority w:val="99"/>
    <w:semiHidden/>
    <w:unhideWhenUsed/>
    <w:rsid w:val="00317948"/>
    <w:rPr>
      <w:b/>
      <w:bCs/>
    </w:rPr>
  </w:style>
  <w:style w:type="character" w:customStyle="1" w:styleId="ae">
    <w:name w:val="נושא הערה תו"/>
    <w:basedOn w:val="ac"/>
    <w:link w:val="ad"/>
    <w:uiPriority w:val="99"/>
    <w:semiHidden/>
    <w:rsid w:val="00317948"/>
    <w:rPr>
      <w:rFonts w:ascii="Times New Roman" w:eastAsia="Times New Roman" w:hAnsi="Times New Roman" w:cs="Miriam"/>
      <w:b/>
      <w:bCs/>
      <w:sz w:val="20"/>
      <w:szCs w:val="20"/>
      <w:lang w:eastAsia="he-IL"/>
    </w:rPr>
  </w:style>
  <w:style w:type="paragraph" w:styleId="af">
    <w:name w:val="footnote text"/>
    <w:basedOn w:val="a"/>
    <w:link w:val="af0"/>
    <w:uiPriority w:val="99"/>
    <w:semiHidden/>
    <w:unhideWhenUsed/>
    <w:rsid w:val="00317948"/>
  </w:style>
  <w:style w:type="character" w:customStyle="1" w:styleId="af0">
    <w:name w:val="טקסט הערת שוליים תו"/>
    <w:basedOn w:val="a0"/>
    <w:link w:val="af"/>
    <w:uiPriority w:val="99"/>
    <w:semiHidden/>
    <w:rsid w:val="00317948"/>
    <w:rPr>
      <w:rFonts w:ascii="Times New Roman" w:eastAsia="Times New Roman" w:hAnsi="Times New Roman" w:cs="Miriam"/>
      <w:sz w:val="20"/>
      <w:szCs w:val="20"/>
      <w:lang w:eastAsia="he-IL"/>
    </w:rPr>
  </w:style>
  <w:style w:type="character" w:styleId="af1">
    <w:name w:val="footnote reference"/>
    <w:basedOn w:val="a0"/>
    <w:uiPriority w:val="99"/>
    <w:semiHidden/>
    <w:unhideWhenUsed/>
    <w:rsid w:val="00317948"/>
    <w:rPr>
      <w:vertAlign w:val="superscript"/>
    </w:rPr>
  </w:style>
  <w:style w:type="paragraph" w:styleId="af2">
    <w:name w:val="Plain Text"/>
    <w:basedOn w:val="a"/>
    <w:link w:val="af3"/>
    <w:uiPriority w:val="99"/>
    <w:semiHidden/>
    <w:unhideWhenUsed/>
    <w:rsid w:val="00A80AE3"/>
    <w:pPr>
      <w:bidi/>
    </w:pPr>
    <w:rPr>
      <w:rFonts w:ascii="Calibri" w:eastAsiaTheme="minorHAnsi" w:hAnsi="Calibri" w:cstheme="minorBidi"/>
      <w:sz w:val="22"/>
      <w:szCs w:val="21"/>
      <w:lang w:eastAsia="en-US"/>
    </w:rPr>
  </w:style>
  <w:style w:type="character" w:customStyle="1" w:styleId="af3">
    <w:name w:val="טקסט רגיל תו"/>
    <w:basedOn w:val="a0"/>
    <w:link w:val="af2"/>
    <w:uiPriority w:val="99"/>
    <w:semiHidden/>
    <w:rsid w:val="00A80AE3"/>
    <w:rPr>
      <w:rFonts w:ascii="Calibri" w:hAnsi="Calibri"/>
      <w:szCs w:val="21"/>
    </w:rPr>
  </w:style>
  <w:style w:type="paragraph" w:styleId="af4">
    <w:name w:val="Title"/>
    <w:basedOn w:val="a"/>
    <w:next w:val="a"/>
    <w:link w:val="af5"/>
    <w:uiPriority w:val="10"/>
    <w:qFormat/>
    <w:rsid w:val="0088314F"/>
    <w:pPr>
      <w:bidi/>
      <w:spacing w:line="360" w:lineRule="auto"/>
      <w:ind w:right="-101"/>
      <w:jc w:val="center"/>
    </w:pPr>
    <w:rPr>
      <w:rFonts w:ascii="Arial" w:hAnsi="Arial" w:cs="Arial"/>
      <w:b/>
      <w:bCs/>
      <w:sz w:val="28"/>
      <w:szCs w:val="28"/>
    </w:rPr>
  </w:style>
  <w:style w:type="character" w:customStyle="1" w:styleId="af5">
    <w:name w:val="כותרת טקסט תו"/>
    <w:basedOn w:val="a0"/>
    <w:link w:val="af4"/>
    <w:uiPriority w:val="10"/>
    <w:rsid w:val="0088314F"/>
    <w:rPr>
      <w:rFonts w:ascii="Arial" w:eastAsia="Times New Roman" w:hAnsi="Arial" w:cs="Arial"/>
      <w:b/>
      <w:bCs/>
      <w:sz w:val="28"/>
      <w:szCs w:val="28"/>
      <w:lang w:eastAsia="he-IL"/>
    </w:rPr>
  </w:style>
  <w:style w:type="character" w:customStyle="1" w:styleId="10">
    <w:name w:val="כותרת 1 תו"/>
    <w:basedOn w:val="a0"/>
    <w:link w:val="1"/>
    <w:uiPriority w:val="9"/>
    <w:rsid w:val="007A3CCD"/>
    <w:rPr>
      <w:rFonts w:ascii="Arial" w:eastAsia="Times New Roman" w:hAnsi="Arial" w:cs="Arial"/>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8124">
      <w:bodyDiv w:val="1"/>
      <w:marLeft w:val="0"/>
      <w:marRight w:val="0"/>
      <w:marTop w:val="0"/>
      <w:marBottom w:val="0"/>
      <w:divBdr>
        <w:top w:val="none" w:sz="0" w:space="0" w:color="auto"/>
        <w:left w:val="none" w:sz="0" w:space="0" w:color="auto"/>
        <w:bottom w:val="none" w:sz="0" w:space="0" w:color="auto"/>
        <w:right w:val="none" w:sz="0" w:space="0" w:color="auto"/>
      </w:divBdr>
    </w:div>
    <w:div w:id="182984716">
      <w:bodyDiv w:val="1"/>
      <w:marLeft w:val="0"/>
      <w:marRight w:val="0"/>
      <w:marTop w:val="0"/>
      <w:marBottom w:val="0"/>
      <w:divBdr>
        <w:top w:val="none" w:sz="0" w:space="0" w:color="auto"/>
        <w:left w:val="none" w:sz="0" w:space="0" w:color="auto"/>
        <w:bottom w:val="none" w:sz="0" w:space="0" w:color="auto"/>
        <w:right w:val="none" w:sz="0" w:space="0" w:color="auto"/>
      </w:divBdr>
    </w:div>
    <w:div w:id="203368554">
      <w:bodyDiv w:val="1"/>
      <w:marLeft w:val="0"/>
      <w:marRight w:val="0"/>
      <w:marTop w:val="0"/>
      <w:marBottom w:val="0"/>
      <w:divBdr>
        <w:top w:val="none" w:sz="0" w:space="0" w:color="auto"/>
        <w:left w:val="none" w:sz="0" w:space="0" w:color="auto"/>
        <w:bottom w:val="none" w:sz="0" w:space="0" w:color="auto"/>
        <w:right w:val="none" w:sz="0" w:space="0" w:color="auto"/>
      </w:divBdr>
    </w:div>
    <w:div w:id="566183430">
      <w:bodyDiv w:val="1"/>
      <w:marLeft w:val="0"/>
      <w:marRight w:val="0"/>
      <w:marTop w:val="0"/>
      <w:marBottom w:val="0"/>
      <w:divBdr>
        <w:top w:val="none" w:sz="0" w:space="0" w:color="auto"/>
        <w:left w:val="none" w:sz="0" w:space="0" w:color="auto"/>
        <w:bottom w:val="none" w:sz="0" w:space="0" w:color="auto"/>
        <w:right w:val="none" w:sz="0" w:space="0" w:color="auto"/>
      </w:divBdr>
    </w:div>
    <w:div w:id="613636775">
      <w:bodyDiv w:val="1"/>
      <w:marLeft w:val="0"/>
      <w:marRight w:val="0"/>
      <w:marTop w:val="0"/>
      <w:marBottom w:val="0"/>
      <w:divBdr>
        <w:top w:val="none" w:sz="0" w:space="0" w:color="auto"/>
        <w:left w:val="none" w:sz="0" w:space="0" w:color="auto"/>
        <w:bottom w:val="none" w:sz="0" w:space="0" w:color="auto"/>
        <w:right w:val="none" w:sz="0" w:space="0" w:color="auto"/>
      </w:divBdr>
    </w:div>
    <w:div w:id="647441449">
      <w:bodyDiv w:val="1"/>
      <w:marLeft w:val="0"/>
      <w:marRight w:val="0"/>
      <w:marTop w:val="0"/>
      <w:marBottom w:val="0"/>
      <w:divBdr>
        <w:top w:val="none" w:sz="0" w:space="0" w:color="auto"/>
        <w:left w:val="none" w:sz="0" w:space="0" w:color="auto"/>
        <w:bottom w:val="none" w:sz="0" w:space="0" w:color="auto"/>
        <w:right w:val="none" w:sz="0" w:space="0" w:color="auto"/>
      </w:divBdr>
    </w:div>
    <w:div w:id="685837350">
      <w:bodyDiv w:val="1"/>
      <w:marLeft w:val="0"/>
      <w:marRight w:val="0"/>
      <w:marTop w:val="0"/>
      <w:marBottom w:val="0"/>
      <w:divBdr>
        <w:top w:val="none" w:sz="0" w:space="0" w:color="auto"/>
        <w:left w:val="none" w:sz="0" w:space="0" w:color="auto"/>
        <w:bottom w:val="none" w:sz="0" w:space="0" w:color="auto"/>
        <w:right w:val="none" w:sz="0" w:space="0" w:color="auto"/>
      </w:divBdr>
    </w:div>
    <w:div w:id="699824327">
      <w:bodyDiv w:val="1"/>
      <w:marLeft w:val="0"/>
      <w:marRight w:val="0"/>
      <w:marTop w:val="0"/>
      <w:marBottom w:val="0"/>
      <w:divBdr>
        <w:top w:val="none" w:sz="0" w:space="0" w:color="auto"/>
        <w:left w:val="none" w:sz="0" w:space="0" w:color="auto"/>
        <w:bottom w:val="none" w:sz="0" w:space="0" w:color="auto"/>
        <w:right w:val="none" w:sz="0" w:space="0" w:color="auto"/>
      </w:divBdr>
    </w:div>
    <w:div w:id="927155779">
      <w:bodyDiv w:val="1"/>
      <w:marLeft w:val="0"/>
      <w:marRight w:val="0"/>
      <w:marTop w:val="0"/>
      <w:marBottom w:val="0"/>
      <w:divBdr>
        <w:top w:val="none" w:sz="0" w:space="0" w:color="auto"/>
        <w:left w:val="none" w:sz="0" w:space="0" w:color="auto"/>
        <w:bottom w:val="none" w:sz="0" w:space="0" w:color="auto"/>
        <w:right w:val="none" w:sz="0" w:space="0" w:color="auto"/>
      </w:divBdr>
    </w:div>
    <w:div w:id="1246498250">
      <w:bodyDiv w:val="1"/>
      <w:marLeft w:val="0"/>
      <w:marRight w:val="0"/>
      <w:marTop w:val="0"/>
      <w:marBottom w:val="0"/>
      <w:divBdr>
        <w:top w:val="none" w:sz="0" w:space="0" w:color="auto"/>
        <w:left w:val="none" w:sz="0" w:space="0" w:color="auto"/>
        <w:bottom w:val="none" w:sz="0" w:space="0" w:color="auto"/>
        <w:right w:val="none" w:sz="0" w:space="0" w:color="auto"/>
      </w:divBdr>
    </w:div>
    <w:div w:id="1302928542">
      <w:bodyDiv w:val="1"/>
      <w:marLeft w:val="0"/>
      <w:marRight w:val="0"/>
      <w:marTop w:val="0"/>
      <w:marBottom w:val="0"/>
      <w:divBdr>
        <w:top w:val="none" w:sz="0" w:space="0" w:color="auto"/>
        <w:left w:val="none" w:sz="0" w:space="0" w:color="auto"/>
        <w:bottom w:val="none" w:sz="0" w:space="0" w:color="auto"/>
        <w:right w:val="none" w:sz="0" w:space="0" w:color="auto"/>
      </w:divBdr>
    </w:div>
    <w:div w:id="1382824364">
      <w:bodyDiv w:val="1"/>
      <w:marLeft w:val="0"/>
      <w:marRight w:val="0"/>
      <w:marTop w:val="0"/>
      <w:marBottom w:val="0"/>
      <w:divBdr>
        <w:top w:val="none" w:sz="0" w:space="0" w:color="auto"/>
        <w:left w:val="none" w:sz="0" w:space="0" w:color="auto"/>
        <w:bottom w:val="none" w:sz="0" w:space="0" w:color="auto"/>
        <w:right w:val="none" w:sz="0" w:space="0" w:color="auto"/>
      </w:divBdr>
    </w:div>
    <w:div w:id="1615400956">
      <w:bodyDiv w:val="1"/>
      <w:marLeft w:val="0"/>
      <w:marRight w:val="0"/>
      <w:marTop w:val="0"/>
      <w:marBottom w:val="0"/>
      <w:divBdr>
        <w:top w:val="none" w:sz="0" w:space="0" w:color="auto"/>
        <w:left w:val="none" w:sz="0" w:space="0" w:color="auto"/>
        <w:bottom w:val="none" w:sz="0" w:space="0" w:color="auto"/>
        <w:right w:val="none" w:sz="0" w:space="0" w:color="auto"/>
      </w:divBdr>
    </w:div>
    <w:div w:id="1648824416">
      <w:bodyDiv w:val="1"/>
      <w:marLeft w:val="0"/>
      <w:marRight w:val="0"/>
      <w:marTop w:val="0"/>
      <w:marBottom w:val="0"/>
      <w:divBdr>
        <w:top w:val="none" w:sz="0" w:space="0" w:color="auto"/>
        <w:left w:val="none" w:sz="0" w:space="0" w:color="auto"/>
        <w:bottom w:val="none" w:sz="0" w:space="0" w:color="auto"/>
        <w:right w:val="none" w:sz="0" w:space="0" w:color="auto"/>
      </w:divBdr>
    </w:div>
    <w:div w:id="1714570715">
      <w:bodyDiv w:val="1"/>
      <w:marLeft w:val="0"/>
      <w:marRight w:val="0"/>
      <w:marTop w:val="0"/>
      <w:marBottom w:val="0"/>
      <w:divBdr>
        <w:top w:val="none" w:sz="0" w:space="0" w:color="auto"/>
        <w:left w:val="none" w:sz="0" w:space="0" w:color="auto"/>
        <w:bottom w:val="none" w:sz="0" w:space="0" w:color="auto"/>
        <w:right w:val="none" w:sz="0" w:space="0" w:color="auto"/>
      </w:divBdr>
    </w:div>
    <w:div w:id="1934512793">
      <w:bodyDiv w:val="1"/>
      <w:marLeft w:val="0"/>
      <w:marRight w:val="0"/>
      <w:marTop w:val="0"/>
      <w:marBottom w:val="0"/>
      <w:divBdr>
        <w:top w:val="none" w:sz="0" w:space="0" w:color="auto"/>
        <w:left w:val="none" w:sz="0" w:space="0" w:color="auto"/>
        <w:bottom w:val="none" w:sz="0" w:space="0" w:color="auto"/>
        <w:right w:val="none" w:sz="0" w:space="0" w:color="auto"/>
      </w:divBdr>
    </w:div>
    <w:div w:id="2011175807">
      <w:bodyDiv w:val="1"/>
      <w:marLeft w:val="0"/>
      <w:marRight w:val="0"/>
      <w:marTop w:val="0"/>
      <w:marBottom w:val="0"/>
      <w:divBdr>
        <w:top w:val="none" w:sz="0" w:space="0" w:color="auto"/>
        <w:left w:val="none" w:sz="0" w:space="0" w:color="auto"/>
        <w:bottom w:val="none" w:sz="0" w:space="0" w:color="auto"/>
        <w:right w:val="none" w:sz="0" w:space="0" w:color="auto"/>
      </w:divBdr>
    </w:div>
    <w:div w:id="21217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boi.org.il/he/DataAndStatistics/Pages/MainPage.aspx?Level=4&amp;Sid=53&amp;SubjectType=2"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boi.org.il/he/BankingSupervision/Data/Pages/Tables.aspx?ChapterId=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boi.org.il/he/BankingSupervision/Data/Pages/Tables.aspx?ChapterId=13"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E88FEED-0251-4CEA-BDEF-D52A52033328}"/>
</file>

<file path=customXml/itemProps2.xml><?xml version="1.0" encoding="utf-8"?>
<ds:datastoreItem xmlns:ds="http://schemas.openxmlformats.org/officeDocument/2006/customXml" ds:itemID="{826C84F1-DD7B-437E-A197-93D0FBE5D70B}"/>
</file>

<file path=customXml/itemProps3.xml><?xml version="1.0" encoding="utf-8"?>
<ds:datastoreItem xmlns:ds="http://schemas.openxmlformats.org/officeDocument/2006/customXml" ds:itemID="{77E55512-D96D-4307-9CEA-1C5FB3FC0253}"/>
</file>

<file path=customXml/itemProps4.xml><?xml version="1.0" encoding="utf-8"?>
<ds:datastoreItem xmlns:ds="http://schemas.openxmlformats.org/officeDocument/2006/customXml" ds:itemID="{0C3D1DB3-B302-4218-A362-F29CC265D78E}"/>
</file>

<file path=docProps/app.xml><?xml version="1.0" encoding="utf-8"?>
<Properties xmlns="http://schemas.openxmlformats.org/officeDocument/2006/extended-properties" xmlns:vt="http://schemas.openxmlformats.org/officeDocument/2006/docPropsVTypes">
  <Template>Normal.dotm</Template>
  <TotalTime>0</TotalTime>
  <Pages>7</Pages>
  <Words>652</Words>
  <Characters>3263</Characters>
  <Application>Microsoft Office Word</Application>
  <DocSecurity>4</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2019-12-22T08:26:00Z</dcterms:created>
  <dcterms:modified xsi:type="dcterms:W3CDTF">2019-12-22T08:26:00Z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