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1A2" w:rsidRPr="00DB1CBC" w:rsidTr="002E5159">
        <w:trPr>
          <w:jc w:val="center"/>
        </w:trPr>
        <w:tc>
          <w:tcPr>
            <w:tcW w:w="2840" w:type="dxa"/>
            <w:vAlign w:val="center"/>
          </w:tcPr>
          <w:p w:rsidR="00D921A2" w:rsidRDefault="00D921A2" w:rsidP="009709E0">
            <w:pPr>
              <w:spacing w:before="240"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709E0">
            <w:pPr>
              <w:spacing w:before="240" w:line="360" w:lineRule="auto"/>
              <w:ind w:right="-101"/>
              <w:jc w:val="both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96" w:type="dxa"/>
          </w:tcPr>
          <w:p w:rsidR="00D921A2" w:rsidRDefault="00AE5FAE" w:rsidP="00AA4603">
            <w:pPr>
              <w:tabs>
                <w:tab w:val="right" w:pos="2380"/>
              </w:tabs>
              <w:spacing w:before="240"/>
              <w:jc w:val="both"/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017EE8D0" wp14:editId="6FD14129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4603">
              <w:tab/>
            </w:r>
          </w:p>
        </w:tc>
        <w:tc>
          <w:tcPr>
            <w:tcW w:w="3084" w:type="dxa"/>
            <w:vAlign w:val="center"/>
          </w:tcPr>
          <w:p w:rsidR="00D921A2" w:rsidRPr="000B3287" w:rsidRDefault="00D921A2" w:rsidP="00AA4603">
            <w:pPr>
              <w:spacing w:before="240" w:line="480" w:lineRule="auto"/>
              <w:jc w:val="right"/>
              <w:rPr>
                <w:rtl/>
              </w:rPr>
            </w:pPr>
            <w:r w:rsidRPr="000B3287">
              <w:rPr>
                <w:rFonts w:hint="eastAsia"/>
                <w:rtl/>
              </w:rPr>
              <w:t>‏</w:t>
            </w:r>
            <w:r w:rsidRPr="000B3287">
              <w:rPr>
                <w:rFonts w:hint="cs"/>
                <w:rtl/>
              </w:rPr>
              <w:t>ירושלים</w:t>
            </w:r>
            <w:r w:rsidR="002F0DC3" w:rsidRPr="000B3287">
              <w:rPr>
                <w:rFonts w:hint="cs"/>
                <w:rtl/>
              </w:rPr>
              <w:t xml:space="preserve">, </w:t>
            </w:r>
            <w:r w:rsidR="006C1E0C">
              <w:rPr>
                <w:rFonts w:hint="cs"/>
                <w:rtl/>
              </w:rPr>
              <w:t>כ</w:t>
            </w:r>
            <w:r w:rsidR="00D96916">
              <w:rPr>
                <w:rFonts w:hint="cs"/>
                <w:rtl/>
              </w:rPr>
              <w:t>"</w:t>
            </w:r>
            <w:r w:rsidR="00EA3D5E">
              <w:rPr>
                <w:rFonts w:hint="cs"/>
                <w:rtl/>
              </w:rPr>
              <w:t>ו</w:t>
            </w:r>
            <w:r w:rsidR="00797E9F" w:rsidRPr="000B3287">
              <w:rPr>
                <w:rFonts w:hint="cs"/>
                <w:rtl/>
              </w:rPr>
              <w:t xml:space="preserve"> </w:t>
            </w:r>
            <w:r w:rsidR="006C1E0C">
              <w:rPr>
                <w:rFonts w:hint="cs"/>
                <w:rtl/>
              </w:rPr>
              <w:t>ב</w:t>
            </w:r>
            <w:r w:rsidR="00D43746">
              <w:rPr>
                <w:rFonts w:hint="cs"/>
                <w:rtl/>
              </w:rPr>
              <w:t>אדר</w:t>
            </w:r>
            <w:r w:rsidR="00D43807" w:rsidRPr="000B3287">
              <w:rPr>
                <w:rFonts w:hint="cs"/>
                <w:rtl/>
              </w:rPr>
              <w:t xml:space="preserve"> </w:t>
            </w:r>
            <w:r w:rsidRPr="000B3287">
              <w:rPr>
                <w:rFonts w:hint="cs"/>
                <w:rtl/>
              </w:rPr>
              <w:t>ה</w:t>
            </w:r>
            <w:r w:rsidRPr="000B3287">
              <w:rPr>
                <w:rtl/>
              </w:rPr>
              <w:t>תש"</w:t>
            </w:r>
            <w:r w:rsidR="00A65F0D">
              <w:rPr>
                <w:rFonts w:hint="cs"/>
                <w:rtl/>
              </w:rPr>
              <w:t>ף</w:t>
            </w:r>
          </w:p>
          <w:p w:rsidR="00D921A2" w:rsidRPr="000B3287" w:rsidRDefault="00EA3D5E" w:rsidP="00AA4603">
            <w:pPr>
              <w:spacing w:before="240" w:line="480" w:lineRule="auto"/>
              <w:jc w:val="right"/>
            </w:pPr>
            <w:r>
              <w:rPr>
                <w:rFonts w:hint="cs"/>
                <w:rtl/>
              </w:rPr>
              <w:t>2</w:t>
            </w:r>
            <w:r w:rsidR="009F28FC">
              <w:rPr>
                <w:rFonts w:hint="cs"/>
                <w:rtl/>
              </w:rPr>
              <w:t>2</w:t>
            </w:r>
            <w:r w:rsidR="008411FF" w:rsidRPr="000B3287">
              <w:rPr>
                <w:rFonts w:hint="cs"/>
                <w:rtl/>
              </w:rPr>
              <w:t xml:space="preserve"> </w:t>
            </w:r>
            <w:r w:rsidR="00CE2D8C">
              <w:rPr>
                <w:rFonts w:hint="cs"/>
                <w:rtl/>
              </w:rPr>
              <w:t>ב</w:t>
            </w:r>
            <w:r w:rsidR="009F28FC">
              <w:rPr>
                <w:rFonts w:hint="cs"/>
                <w:rtl/>
              </w:rPr>
              <w:t>מרץ</w:t>
            </w:r>
            <w:r w:rsidR="00444713" w:rsidRPr="000B3287">
              <w:rPr>
                <w:rFonts w:hint="cs"/>
                <w:rtl/>
              </w:rPr>
              <w:t xml:space="preserve"> </w:t>
            </w:r>
            <w:r w:rsidR="00CE2D8C">
              <w:rPr>
                <w:rFonts w:hint="cs"/>
                <w:rtl/>
              </w:rPr>
              <w:t>20</w:t>
            </w:r>
            <w:r w:rsidR="009F28FC">
              <w:rPr>
                <w:rFonts w:hint="cs"/>
                <w:rtl/>
              </w:rPr>
              <w:t>20</w:t>
            </w:r>
          </w:p>
        </w:tc>
      </w:tr>
      <w:tr w:rsidR="005827E7" w:rsidRPr="00DB1CBC" w:rsidTr="002E5159">
        <w:trPr>
          <w:jc w:val="center"/>
        </w:trPr>
        <w:tc>
          <w:tcPr>
            <w:tcW w:w="2840" w:type="dxa"/>
            <w:vAlign w:val="center"/>
          </w:tcPr>
          <w:p w:rsidR="005827E7" w:rsidRDefault="005827E7" w:rsidP="009709E0">
            <w:pPr>
              <w:spacing w:before="240"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6" w:type="dxa"/>
          </w:tcPr>
          <w:p w:rsidR="005827E7" w:rsidRDefault="005827E7" w:rsidP="009709E0">
            <w:pPr>
              <w:spacing w:before="240"/>
              <w:jc w:val="both"/>
              <w:rPr>
                <w:noProof/>
                <w:rtl/>
                <w:lang w:eastAsia="en-US"/>
              </w:rPr>
            </w:pPr>
          </w:p>
        </w:tc>
        <w:tc>
          <w:tcPr>
            <w:tcW w:w="3084" w:type="dxa"/>
            <w:vAlign w:val="center"/>
          </w:tcPr>
          <w:p w:rsidR="005827E7" w:rsidRPr="000B3287" w:rsidRDefault="005827E7" w:rsidP="0092750F">
            <w:pPr>
              <w:spacing w:before="240" w:line="480" w:lineRule="auto"/>
              <w:jc w:val="both"/>
              <w:rPr>
                <w:rtl/>
              </w:rPr>
            </w:pPr>
          </w:p>
        </w:tc>
      </w:tr>
    </w:tbl>
    <w:p w:rsidR="00D921A2" w:rsidRDefault="00D921A2" w:rsidP="009709E0">
      <w:pPr>
        <w:spacing w:before="240" w:line="360" w:lineRule="auto"/>
        <w:ind w:right="-101"/>
        <w:jc w:val="both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E724A2" w:rsidRPr="002E5159" w:rsidRDefault="0078645B" w:rsidP="00C55405">
      <w:pPr>
        <w:pStyle w:val="af2"/>
        <w:spacing w:before="240" w:after="240"/>
        <w:rPr>
          <w:b/>
          <w:bCs/>
          <w:rtl/>
        </w:rPr>
      </w:pPr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CE2D8C">
        <w:rPr>
          <w:rFonts w:hint="cs"/>
          <w:b/>
          <w:bCs/>
          <w:rtl/>
        </w:rPr>
        <w:t>ה</w:t>
      </w:r>
      <w:r w:rsidR="00A16A71">
        <w:rPr>
          <w:rFonts w:hint="cs"/>
          <w:b/>
          <w:bCs/>
          <w:rtl/>
        </w:rPr>
        <w:t>רביע</w:t>
      </w:r>
      <w:r w:rsidR="00F1101F">
        <w:rPr>
          <w:rFonts w:hint="cs"/>
          <w:b/>
          <w:bCs/>
          <w:rtl/>
        </w:rPr>
        <w:t>י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767D86">
        <w:rPr>
          <w:rFonts w:hint="cs"/>
          <w:b/>
          <w:bCs/>
          <w:rtl/>
        </w:rPr>
        <w:t>201</w:t>
      </w:r>
      <w:r w:rsidR="006C1E0C">
        <w:rPr>
          <w:rFonts w:hint="cs"/>
          <w:b/>
          <w:bCs/>
          <w:rtl/>
        </w:rPr>
        <w:t>9</w:t>
      </w:r>
    </w:p>
    <w:p w:rsidR="00091F3F" w:rsidRPr="009264FD" w:rsidRDefault="00F502DF" w:rsidP="00616B59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9264FD">
        <w:rPr>
          <w:b/>
          <w:bCs/>
          <w:rtl/>
        </w:rPr>
        <w:t xml:space="preserve">ברביע </w:t>
      </w:r>
      <w:r w:rsidR="00767D86" w:rsidRPr="009264FD">
        <w:rPr>
          <w:rFonts w:hint="cs"/>
          <w:b/>
          <w:bCs/>
          <w:rtl/>
        </w:rPr>
        <w:t>ה</w:t>
      </w:r>
      <w:r w:rsidR="004C5C86">
        <w:rPr>
          <w:rFonts w:hint="cs"/>
          <w:b/>
          <w:bCs/>
          <w:rtl/>
        </w:rPr>
        <w:t>רביע</w:t>
      </w:r>
      <w:r w:rsidR="00D719DE">
        <w:rPr>
          <w:rFonts w:hint="cs"/>
          <w:b/>
          <w:bCs/>
          <w:rtl/>
        </w:rPr>
        <w:t xml:space="preserve">י </w:t>
      </w:r>
      <w:r w:rsidRPr="009264FD">
        <w:rPr>
          <w:b/>
          <w:bCs/>
          <w:rtl/>
        </w:rPr>
        <w:t>של שנת 201</w:t>
      </w:r>
      <w:r w:rsidR="006C1E0C">
        <w:rPr>
          <w:rFonts w:hint="cs"/>
          <w:b/>
          <w:bCs/>
          <w:rtl/>
        </w:rPr>
        <w:t>9</w:t>
      </w:r>
      <w:r w:rsidRPr="009264FD">
        <w:rPr>
          <w:b/>
          <w:bCs/>
          <w:rtl/>
        </w:rPr>
        <w:t xml:space="preserve"> </w:t>
      </w:r>
      <w:r w:rsidR="006C1E0C">
        <w:rPr>
          <w:rFonts w:hint="cs"/>
          <w:b/>
          <w:bCs/>
          <w:rtl/>
        </w:rPr>
        <w:t>עלת</w:t>
      </w:r>
      <w:r w:rsidR="003F7C50">
        <w:rPr>
          <w:rFonts w:hint="cs"/>
          <w:b/>
          <w:bCs/>
          <w:rtl/>
        </w:rPr>
        <w:t>ה</w:t>
      </w:r>
      <w:r w:rsidRPr="009264FD">
        <w:rPr>
          <w:b/>
          <w:bCs/>
          <w:rtl/>
        </w:rPr>
        <w:t xml:space="preserve"> </w:t>
      </w:r>
      <w:r w:rsidR="003F7C50">
        <w:rPr>
          <w:rFonts w:hint="cs"/>
          <w:b/>
          <w:bCs/>
          <w:rtl/>
        </w:rPr>
        <w:t>יתרת</w:t>
      </w:r>
      <w:r w:rsidR="00EC18EA" w:rsidRPr="009264FD">
        <w:rPr>
          <w:rFonts w:hint="cs"/>
          <w:b/>
          <w:bCs/>
          <w:rtl/>
        </w:rPr>
        <w:t xml:space="preserve"> תיק הנכסים</w:t>
      </w:r>
      <w:r w:rsidR="00235FBA" w:rsidRPr="009264FD">
        <w:rPr>
          <w:rFonts w:hint="cs"/>
          <w:b/>
          <w:bCs/>
          <w:rtl/>
        </w:rPr>
        <w:t xml:space="preserve"> הפיננסיים של הציבור</w:t>
      </w:r>
      <w:r w:rsidR="00EC18EA" w:rsidRPr="009264FD">
        <w:rPr>
          <w:rFonts w:hint="cs"/>
          <w:b/>
          <w:bCs/>
          <w:rtl/>
        </w:rPr>
        <w:t xml:space="preserve"> בכ-</w:t>
      </w:r>
      <w:r w:rsidR="00616B59">
        <w:rPr>
          <w:rFonts w:hint="cs"/>
          <w:b/>
          <w:bCs/>
          <w:rtl/>
        </w:rPr>
        <w:t>113</w:t>
      </w:r>
      <w:r w:rsidR="00EC18EA" w:rsidRPr="009264FD">
        <w:rPr>
          <w:rFonts w:hint="cs"/>
          <w:b/>
          <w:bCs/>
          <w:rtl/>
        </w:rPr>
        <w:t xml:space="preserve"> מיליארדי ש</w:t>
      </w:r>
      <w:r w:rsidR="00EC18EA" w:rsidRPr="009264FD">
        <w:rPr>
          <w:b/>
          <w:bCs/>
          <w:rtl/>
        </w:rPr>
        <w:t>"</w:t>
      </w:r>
      <w:r w:rsidR="00EC18EA" w:rsidRPr="009264FD">
        <w:rPr>
          <w:rFonts w:hint="cs"/>
          <w:b/>
          <w:bCs/>
          <w:rtl/>
        </w:rPr>
        <w:t>ח (</w:t>
      </w:r>
      <w:r w:rsidR="00E32E8A" w:rsidRPr="009264FD">
        <w:rPr>
          <w:b/>
          <w:bCs/>
        </w:rPr>
        <w:t>%</w:t>
      </w:r>
      <w:r w:rsidR="00616B59">
        <w:rPr>
          <w:rFonts w:hint="cs"/>
          <w:b/>
          <w:bCs/>
          <w:rtl/>
        </w:rPr>
        <w:t>2</w:t>
      </w:r>
      <w:r w:rsidR="006D6B90" w:rsidRPr="009264FD">
        <w:rPr>
          <w:rFonts w:hint="cs"/>
          <w:b/>
          <w:bCs/>
          <w:rtl/>
        </w:rPr>
        <w:t>.</w:t>
      </w:r>
      <w:r w:rsidR="00616B59">
        <w:rPr>
          <w:rFonts w:hint="cs"/>
          <w:b/>
          <w:bCs/>
          <w:rtl/>
        </w:rPr>
        <w:t>9</w:t>
      </w:r>
      <w:r w:rsidR="006D6B90" w:rsidRPr="009264FD">
        <w:rPr>
          <w:rFonts w:hint="cs"/>
          <w:b/>
          <w:bCs/>
          <w:rtl/>
        </w:rPr>
        <w:t>) ועמד</w:t>
      </w:r>
      <w:r w:rsidR="003F7C50">
        <w:rPr>
          <w:rFonts w:hint="cs"/>
          <w:b/>
          <w:bCs/>
          <w:rtl/>
        </w:rPr>
        <w:t>ה</w:t>
      </w:r>
      <w:r w:rsidR="006D6B90" w:rsidRPr="009264FD">
        <w:rPr>
          <w:rFonts w:hint="cs"/>
          <w:b/>
          <w:bCs/>
          <w:rtl/>
        </w:rPr>
        <w:t xml:space="preserve"> בסופו על כ-</w:t>
      </w:r>
      <w:r w:rsidR="00616B59">
        <w:rPr>
          <w:rFonts w:hint="cs"/>
          <w:b/>
          <w:bCs/>
          <w:rtl/>
        </w:rPr>
        <w:t>4</w:t>
      </w:r>
      <w:r w:rsidR="006D6B90" w:rsidRPr="009264FD">
        <w:rPr>
          <w:rFonts w:hint="cs"/>
          <w:b/>
          <w:bCs/>
          <w:rtl/>
        </w:rPr>
        <w:t>.</w:t>
      </w:r>
      <w:r w:rsidR="00616B59">
        <w:rPr>
          <w:rFonts w:hint="cs"/>
          <w:b/>
          <w:bCs/>
          <w:rtl/>
        </w:rPr>
        <w:t>08</w:t>
      </w:r>
      <w:r w:rsidR="00DD612E">
        <w:rPr>
          <w:rFonts w:hint="cs"/>
          <w:b/>
          <w:bCs/>
          <w:rtl/>
        </w:rPr>
        <w:t xml:space="preserve"> טריליוני </w:t>
      </w:r>
      <w:r w:rsidR="00EC18EA" w:rsidRPr="009264FD">
        <w:rPr>
          <w:rFonts w:hint="cs"/>
          <w:b/>
          <w:bCs/>
          <w:rtl/>
        </w:rPr>
        <w:t>ש</w:t>
      </w:r>
      <w:r w:rsidR="00EC18EA" w:rsidRPr="009264FD">
        <w:rPr>
          <w:b/>
          <w:bCs/>
          <w:rtl/>
        </w:rPr>
        <w:t>"</w:t>
      </w:r>
      <w:r w:rsidR="00EC18EA" w:rsidRPr="009264FD">
        <w:rPr>
          <w:rFonts w:hint="cs"/>
          <w:b/>
          <w:bCs/>
          <w:rtl/>
        </w:rPr>
        <w:t>ח.</w:t>
      </w:r>
    </w:p>
    <w:p w:rsidR="00C31AD4" w:rsidRDefault="00EB3110" w:rsidP="005357A7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במהלך הרבעון </w:t>
      </w:r>
      <w:r w:rsidR="00794288">
        <w:rPr>
          <w:rFonts w:hint="cs"/>
          <w:b/>
          <w:bCs/>
          <w:rtl/>
        </w:rPr>
        <w:t>נרשמה עלייה ב</w:t>
      </w:r>
      <w:r w:rsidR="005357A7">
        <w:rPr>
          <w:rFonts w:hint="cs"/>
          <w:b/>
          <w:bCs/>
          <w:rtl/>
        </w:rPr>
        <w:t>מרבית</w:t>
      </w:r>
      <w:r w:rsidR="00794288">
        <w:rPr>
          <w:rFonts w:hint="cs"/>
          <w:b/>
          <w:bCs/>
          <w:rtl/>
        </w:rPr>
        <w:t xml:space="preserve"> הרכיבים בתיק, </w:t>
      </w:r>
      <w:r w:rsidR="00C31AD4" w:rsidRPr="00C31AD4">
        <w:rPr>
          <w:rFonts w:hint="cs"/>
          <w:b/>
          <w:bCs/>
          <w:rtl/>
        </w:rPr>
        <w:t>בלטו העליות ביתר</w:t>
      </w:r>
      <w:r w:rsidR="00C31AD4">
        <w:rPr>
          <w:rFonts w:hint="cs"/>
          <w:b/>
          <w:bCs/>
          <w:rtl/>
        </w:rPr>
        <w:t>ו</w:t>
      </w:r>
      <w:r w:rsidR="00C31AD4" w:rsidRPr="00C31AD4">
        <w:rPr>
          <w:rFonts w:hint="cs"/>
          <w:b/>
          <w:bCs/>
          <w:rtl/>
        </w:rPr>
        <w:t xml:space="preserve">ת החזקת הציבור </w:t>
      </w:r>
      <w:r w:rsidR="00794288">
        <w:rPr>
          <w:rFonts w:hint="cs"/>
          <w:b/>
          <w:bCs/>
          <w:rtl/>
        </w:rPr>
        <w:t xml:space="preserve">בהשקעות בחו"ל, </w:t>
      </w:r>
      <w:r w:rsidR="00D719DE">
        <w:rPr>
          <w:rFonts w:hint="cs"/>
          <w:b/>
          <w:bCs/>
          <w:rtl/>
        </w:rPr>
        <w:t>במניות בארץ</w:t>
      </w:r>
      <w:r w:rsidR="004F31D6">
        <w:rPr>
          <w:rFonts w:hint="cs"/>
          <w:b/>
          <w:bCs/>
          <w:rtl/>
        </w:rPr>
        <w:t xml:space="preserve"> </w:t>
      </w:r>
      <w:r w:rsidR="00794288">
        <w:rPr>
          <w:rFonts w:hint="cs"/>
          <w:b/>
          <w:bCs/>
          <w:rtl/>
        </w:rPr>
        <w:t>וברכיב המזומן והפיקדונות</w:t>
      </w:r>
      <w:r w:rsidR="004F31D6">
        <w:rPr>
          <w:rFonts w:hint="cs"/>
          <w:b/>
          <w:bCs/>
          <w:rtl/>
        </w:rPr>
        <w:t>.</w:t>
      </w:r>
    </w:p>
    <w:p w:rsidR="00940C2E" w:rsidRPr="00940C2E" w:rsidRDefault="00940C2E" w:rsidP="00940C2E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940C2E">
        <w:rPr>
          <w:b/>
          <w:bCs/>
          <w:rtl/>
        </w:rPr>
        <w:t xml:space="preserve">יתרת התיק המנוהל בידי המשקיעים המוסדיים עלתה ברביע הרביעי בכ-78 מיליארדי ש"ח (4.2%) </w:t>
      </w:r>
      <w:r>
        <w:rPr>
          <w:rFonts w:hint="cs"/>
          <w:b/>
          <w:bCs/>
          <w:rtl/>
        </w:rPr>
        <w:t>ועמדה בסופו על</w:t>
      </w:r>
      <w:r w:rsidRPr="00940C2E">
        <w:rPr>
          <w:b/>
          <w:bCs/>
          <w:rtl/>
        </w:rPr>
        <w:t xml:space="preserve"> 1.91 טריליוני</w:t>
      </w:r>
      <w:r>
        <w:rPr>
          <w:rFonts w:hint="cs"/>
          <w:b/>
          <w:bCs/>
          <w:rtl/>
        </w:rPr>
        <w:t xml:space="preserve"> ש"ח.</w:t>
      </w:r>
    </w:p>
    <w:p w:rsidR="008F626C" w:rsidRPr="00C31AD4" w:rsidRDefault="008F626C" w:rsidP="008F626C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C31AD4">
        <w:rPr>
          <w:rFonts w:hint="cs"/>
          <w:b/>
          <w:bCs/>
          <w:rtl/>
        </w:rPr>
        <w:t>שיעורי החשיפה של הגופים המוסדיים לנכסים זרים עלה בכ-0.</w:t>
      </w:r>
      <w:r>
        <w:rPr>
          <w:rFonts w:hint="cs"/>
          <w:b/>
          <w:bCs/>
          <w:rtl/>
        </w:rPr>
        <w:t>9</w:t>
      </w:r>
      <w:r w:rsidRPr="00C31AD4">
        <w:rPr>
          <w:rFonts w:hint="cs"/>
          <w:b/>
          <w:bCs/>
          <w:rtl/>
        </w:rPr>
        <w:t xml:space="preserve"> נקודת אחוז ובמקביל, שיעור החשיפה למט"ח על</w:t>
      </w:r>
      <w:r>
        <w:rPr>
          <w:rFonts w:hint="cs"/>
          <w:b/>
          <w:bCs/>
          <w:rtl/>
        </w:rPr>
        <w:t>ה</w:t>
      </w:r>
      <w:r w:rsidRPr="00C31AD4">
        <w:rPr>
          <w:rFonts w:hint="cs"/>
          <w:b/>
          <w:bCs/>
          <w:rtl/>
        </w:rPr>
        <w:t xml:space="preserve"> בכ-0.2 נקודת אחוז.</w:t>
      </w:r>
    </w:p>
    <w:p w:rsidR="00A35E6E" w:rsidRDefault="00D96916" w:rsidP="00940C2E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056FB0">
        <w:rPr>
          <w:b/>
          <w:bCs/>
          <w:rtl/>
        </w:rPr>
        <w:t>היקף התיק המנוהל באמצעות קרנות נאמנות</w:t>
      </w:r>
      <w:r w:rsidR="000226B0" w:rsidRPr="00056FB0">
        <w:rPr>
          <w:rFonts w:hint="cs"/>
          <w:b/>
          <w:bCs/>
          <w:rtl/>
        </w:rPr>
        <w:t xml:space="preserve"> </w:t>
      </w:r>
      <w:r w:rsidRPr="00056FB0">
        <w:rPr>
          <w:b/>
          <w:bCs/>
          <w:rtl/>
        </w:rPr>
        <w:t xml:space="preserve">בארץ </w:t>
      </w:r>
      <w:r w:rsidR="00C31AD4" w:rsidRPr="00056FB0">
        <w:rPr>
          <w:rFonts w:hint="cs"/>
          <w:b/>
          <w:bCs/>
          <w:rtl/>
        </w:rPr>
        <w:t>עלה</w:t>
      </w:r>
      <w:r w:rsidRPr="00056FB0">
        <w:rPr>
          <w:b/>
          <w:bCs/>
          <w:rtl/>
        </w:rPr>
        <w:t xml:space="preserve"> ברביע ה</w:t>
      </w:r>
      <w:r w:rsidR="00080919">
        <w:rPr>
          <w:rFonts w:hint="cs"/>
          <w:b/>
          <w:bCs/>
          <w:rtl/>
        </w:rPr>
        <w:t>רביע</w:t>
      </w:r>
      <w:r w:rsidR="00E25535" w:rsidRPr="00056FB0">
        <w:rPr>
          <w:rFonts w:hint="cs"/>
          <w:b/>
          <w:bCs/>
          <w:rtl/>
        </w:rPr>
        <w:t>י</w:t>
      </w:r>
      <w:r w:rsidRPr="00056FB0">
        <w:rPr>
          <w:b/>
          <w:bCs/>
          <w:rtl/>
        </w:rPr>
        <w:t xml:space="preserve"> של השנה בכ-</w:t>
      </w:r>
      <w:r w:rsidR="00940C2E">
        <w:rPr>
          <w:rFonts w:hint="cs"/>
          <w:b/>
          <w:bCs/>
          <w:rtl/>
        </w:rPr>
        <w:t>11</w:t>
      </w:r>
      <w:r w:rsidR="00D522B4" w:rsidRPr="00056FB0">
        <w:rPr>
          <w:rFonts w:hint="cs"/>
          <w:b/>
          <w:bCs/>
          <w:rtl/>
        </w:rPr>
        <w:t>.</w:t>
      </w:r>
      <w:r w:rsidR="00940C2E">
        <w:rPr>
          <w:rFonts w:hint="cs"/>
          <w:b/>
          <w:bCs/>
          <w:rtl/>
        </w:rPr>
        <w:t>4</w:t>
      </w:r>
      <w:r w:rsidR="00D522B4" w:rsidRPr="00056FB0">
        <w:rPr>
          <w:rFonts w:hint="cs"/>
          <w:b/>
          <w:bCs/>
          <w:rtl/>
        </w:rPr>
        <w:t xml:space="preserve"> </w:t>
      </w:r>
      <w:r w:rsidRPr="00056FB0">
        <w:rPr>
          <w:b/>
          <w:bCs/>
          <w:rtl/>
        </w:rPr>
        <w:t xml:space="preserve">מיליארדי </w:t>
      </w:r>
      <w:r w:rsidRPr="00056FB0">
        <w:rPr>
          <w:rFonts w:hint="cs"/>
          <w:b/>
          <w:bCs/>
          <w:rtl/>
        </w:rPr>
        <w:t>ש"ח</w:t>
      </w:r>
      <w:r w:rsidR="00940C2E">
        <w:rPr>
          <w:rFonts w:hint="cs"/>
          <w:b/>
          <w:bCs/>
          <w:rtl/>
        </w:rPr>
        <w:t xml:space="preserve"> (3.3%)</w:t>
      </w:r>
      <w:r w:rsidRPr="00056FB0">
        <w:rPr>
          <w:rFonts w:hint="cs"/>
          <w:b/>
          <w:bCs/>
          <w:rtl/>
        </w:rPr>
        <w:t>.</w:t>
      </w:r>
    </w:p>
    <w:p w:rsidR="00DB5577" w:rsidRPr="00DB5577" w:rsidRDefault="00DB5577" w:rsidP="00DB5577">
      <w:pPr>
        <w:pStyle w:val="af"/>
        <w:spacing w:before="240" w:line="360" w:lineRule="auto"/>
        <w:jc w:val="both"/>
        <w:rPr>
          <w:b/>
          <w:bCs/>
          <w:rtl/>
        </w:rPr>
      </w:pPr>
    </w:p>
    <w:p w:rsidR="008D130A" w:rsidRPr="00C739C4" w:rsidRDefault="002A7E7B" w:rsidP="009709E0">
      <w:pPr>
        <w:pStyle w:val="af"/>
        <w:numPr>
          <w:ilvl w:val="0"/>
          <w:numId w:val="18"/>
        </w:numPr>
        <w:spacing w:before="240" w:line="360" w:lineRule="auto"/>
        <w:jc w:val="both"/>
        <w:rPr>
          <w:b/>
          <w:bCs/>
          <w:rtl/>
        </w:rPr>
      </w:pPr>
      <w:r w:rsidRPr="002E5159">
        <w:rPr>
          <w:rStyle w:val="10"/>
          <w:rFonts w:hint="cs"/>
          <w:rtl/>
        </w:rPr>
        <w:t>סך תיק הנכסים</w:t>
      </w:r>
      <w:r w:rsidR="008A5A5C">
        <w:rPr>
          <w:rStyle w:val="10"/>
          <w:rFonts w:hint="cs"/>
          <w:rtl/>
        </w:rPr>
        <w:t xml:space="preserve"> הפיננסים של הציבור</w:t>
      </w:r>
    </w:p>
    <w:p w:rsidR="00A35E6E" w:rsidRPr="000026DB" w:rsidRDefault="0027468F" w:rsidP="00CD50AF">
      <w:pPr>
        <w:spacing w:line="360" w:lineRule="auto"/>
        <w:jc w:val="both"/>
        <w:rPr>
          <w:rtl/>
        </w:rPr>
      </w:pPr>
      <w:r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 xml:space="preserve">ברביע </w:t>
      </w:r>
      <w:r w:rsidR="001C18C5">
        <w:rPr>
          <w:rFonts w:hint="cs"/>
          <w:b/>
          <w:bCs/>
          <w:rtl/>
        </w:rPr>
        <w:t>ה</w:t>
      </w:r>
      <w:r w:rsidR="005A7555">
        <w:rPr>
          <w:rFonts w:hint="cs"/>
          <w:b/>
          <w:bCs/>
          <w:rtl/>
        </w:rPr>
        <w:t>רביע</w:t>
      </w:r>
      <w:r w:rsidR="004F31D6">
        <w:rPr>
          <w:rFonts w:hint="cs"/>
          <w:b/>
          <w:bCs/>
          <w:rtl/>
        </w:rPr>
        <w:t>י</w:t>
      </w:r>
      <w:r w:rsidR="008F4C5E">
        <w:rPr>
          <w:rFonts w:hint="cs"/>
          <w:b/>
          <w:bCs/>
          <w:rtl/>
        </w:rPr>
        <w:t xml:space="preserve"> של שנת</w:t>
      </w:r>
      <w:r w:rsidR="001E2E5B">
        <w:rPr>
          <w:rFonts w:hint="cs"/>
          <w:b/>
          <w:bCs/>
          <w:rtl/>
        </w:rPr>
        <w:t xml:space="preserve"> </w:t>
      </w:r>
      <w:r w:rsidR="001C18C5">
        <w:rPr>
          <w:rFonts w:hint="cs"/>
          <w:b/>
          <w:bCs/>
          <w:rtl/>
        </w:rPr>
        <w:t>201</w:t>
      </w:r>
      <w:r w:rsidR="00480908">
        <w:rPr>
          <w:rFonts w:hint="cs"/>
          <w:b/>
          <w:bCs/>
          <w:rtl/>
        </w:rPr>
        <w:t>9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480908">
        <w:rPr>
          <w:rFonts w:hint="cs"/>
          <w:rtl/>
        </w:rPr>
        <w:t>עלתה</w:t>
      </w:r>
      <w:r w:rsidR="003C6456" w:rsidRPr="0024359D">
        <w:rPr>
          <w:rFonts w:hint="cs"/>
          <w:b/>
          <w:bCs/>
          <w:rtl/>
        </w:rPr>
        <w:t xml:space="preserve"> </w:t>
      </w:r>
      <w:r w:rsidR="003F7C50">
        <w:rPr>
          <w:rFonts w:hint="cs"/>
          <w:rtl/>
        </w:rPr>
        <w:t>יתרת</w:t>
      </w:r>
      <w:r w:rsidR="0049743C" w:rsidRPr="00C75BF9">
        <w:rPr>
          <w:rFonts w:hint="cs"/>
          <w:rtl/>
        </w:rPr>
        <w:t xml:space="preserve"> תיק הנכסים</w:t>
      </w:r>
      <w:r w:rsidR="00235FBA">
        <w:rPr>
          <w:rFonts w:hint="cs"/>
          <w:rtl/>
        </w:rPr>
        <w:t xml:space="preserve"> הפיננסיים של הציבור</w:t>
      </w:r>
      <w:r w:rsidR="0049743C" w:rsidRPr="00C75BF9">
        <w:rPr>
          <w:rFonts w:hint="cs"/>
          <w:rtl/>
        </w:rPr>
        <w:t xml:space="preserve"> </w:t>
      </w:r>
      <w:r w:rsidR="00463177">
        <w:rPr>
          <w:rFonts w:hint="cs"/>
          <w:rtl/>
        </w:rPr>
        <w:t>בכ-</w:t>
      </w:r>
      <w:r w:rsidR="005A7555">
        <w:rPr>
          <w:rFonts w:hint="cs"/>
          <w:rtl/>
        </w:rPr>
        <w:t>113</w:t>
      </w:r>
      <w:r w:rsidR="00463177">
        <w:rPr>
          <w:rFonts w:hint="cs"/>
          <w:rtl/>
        </w:rPr>
        <w:t xml:space="preserve"> </w:t>
      </w:r>
      <w:r w:rsidR="00C95059">
        <w:rPr>
          <w:rFonts w:hint="cs"/>
          <w:rtl/>
        </w:rPr>
        <w:t xml:space="preserve">מיליארדי </w:t>
      </w:r>
      <w:r w:rsidR="00125A88">
        <w:rPr>
          <w:rFonts w:hint="cs"/>
          <w:rtl/>
        </w:rPr>
        <w:t>ש"ח</w:t>
      </w:r>
      <w:r w:rsidR="00F502DF">
        <w:rPr>
          <w:rFonts w:hint="cs"/>
          <w:rtl/>
        </w:rPr>
        <w:t xml:space="preserve"> </w:t>
      </w:r>
      <w:r w:rsidR="00DD612E" w:rsidRPr="00DD612E">
        <w:rPr>
          <w:rFonts w:hint="cs"/>
          <w:rtl/>
        </w:rPr>
        <w:t>(</w:t>
      </w:r>
      <w:r w:rsidR="005A7555">
        <w:rPr>
          <w:rFonts w:hint="cs"/>
          <w:rtl/>
        </w:rPr>
        <w:t>2</w:t>
      </w:r>
      <w:r w:rsidR="0063699B">
        <w:rPr>
          <w:rFonts w:hint="cs"/>
          <w:rtl/>
        </w:rPr>
        <w:t>.</w:t>
      </w:r>
      <w:r w:rsidR="005A7555">
        <w:rPr>
          <w:rFonts w:hint="cs"/>
          <w:rtl/>
        </w:rPr>
        <w:t>9</w:t>
      </w:r>
      <w:r w:rsidR="0063699B">
        <w:rPr>
          <w:rFonts w:hint="cs"/>
          <w:rtl/>
        </w:rPr>
        <w:t>%</w:t>
      </w:r>
      <w:r w:rsidR="00DD612E" w:rsidRPr="00DD612E">
        <w:rPr>
          <w:rFonts w:hint="cs"/>
          <w:rtl/>
        </w:rPr>
        <w:t>)</w:t>
      </w:r>
      <w:r w:rsidR="001C18C5">
        <w:rPr>
          <w:rFonts w:hint="cs"/>
          <w:rtl/>
        </w:rPr>
        <w:t>, לרמה של</w:t>
      </w:r>
      <w:r w:rsidR="0049743C">
        <w:rPr>
          <w:rFonts w:hint="cs"/>
          <w:rtl/>
        </w:rPr>
        <w:t xml:space="preserve"> כ-</w:t>
      </w:r>
      <w:r w:rsidR="005A7555">
        <w:rPr>
          <w:rFonts w:hint="cs"/>
          <w:rtl/>
        </w:rPr>
        <w:t>4</w:t>
      </w:r>
      <w:r w:rsidR="0063699B">
        <w:rPr>
          <w:rFonts w:hint="cs"/>
          <w:rtl/>
        </w:rPr>
        <w:t>.</w:t>
      </w:r>
      <w:r w:rsidR="005A7555">
        <w:rPr>
          <w:rFonts w:hint="cs"/>
          <w:rtl/>
        </w:rPr>
        <w:t>08</w:t>
      </w:r>
      <w:r w:rsidR="0049743C">
        <w:rPr>
          <w:rFonts w:hint="cs"/>
          <w:rtl/>
        </w:rPr>
        <w:t xml:space="preserve"> טריליוני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313272" w:rsidRPr="008147A5">
        <w:rPr>
          <w:rFonts w:hint="cs"/>
          <w:rtl/>
        </w:rPr>
        <w:t xml:space="preserve"> </w:t>
      </w:r>
      <w:r w:rsidR="008147A5" w:rsidRPr="008147A5">
        <w:rPr>
          <w:rFonts w:hint="cs"/>
          <w:rtl/>
        </w:rPr>
        <w:t>(תרשים 1).</w:t>
      </w:r>
      <w:r w:rsidR="00975AF9">
        <w:rPr>
          <w:rFonts w:hint="cs"/>
          <w:rtl/>
        </w:rPr>
        <w:t xml:space="preserve"> </w:t>
      </w:r>
      <w:r w:rsidR="00C90138" w:rsidRPr="00830F9A">
        <w:rPr>
          <w:rFonts w:hint="cs"/>
          <w:rtl/>
        </w:rPr>
        <w:t xml:space="preserve">משקל תיק הנכסים הפיננסיים של הציבור ביחס לתוצר </w:t>
      </w:r>
      <w:r w:rsidR="005A7555">
        <w:rPr>
          <w:rFonts w:hint="cs"/>
          <w:rtl/>
        </w:rPr>
        <w:t>עלה</w:t>
      </w:r>
      <w:r w:rsidR="00BE7B9A">
        <w:rPr>
          <w:rFonts w:hint="cs"/>
          <w:rtl/>
        </w:rPr>
        <w:t xml:space="preserve"> </w:t>
      </w:r>
      <w:r w:rsidR="000D49A8">
        <w:rPr>
          <w:rFonts w:hint="cs"/>
          <w:rtl/>
        </w:rPr>
        <w:t>בכ-</w:t>
      </w:r>
      <w:r w:rsidR="005A7555">
        <w:rPr>
          <w:rFonts w:hint="cs"/>
          <w:rtl/>
        </w:rPr>
        <w:t>4</w:t>
      </w:r>
      <w:r w:rsidR="004F31D6">
        <w:rPr>
          <w:rFonts w:hint="cs"/>
          <w:rtl/>
        </w:rPr>
        <w:t>.</w:t>
      </w:r>
      <w:r w:rsidR="005A7555">
        <w:rPr>
          <w:rFonts w:hint="cs"/>
          <w:rtl/>
        </w:rPr>
        <w:t>4</w:t>
      </w:r>
      <w:r w:rsidR="000D49A8">
        <w:rPr>
          <w:rFonts w:hint="cs"/>
          <w:rtl/>
        </w:rPr>
        <w:t xml:space="preserve"> נקודות אחוז ועמד בסוף הרביע</w:t>
      </w:r>
      <w:r w:rsidR="00975AF9" w:rsidRPr="00830F9A">
        <w:rPr>
          <w:rFonts w:hint="cs"/>
          <w:rtl/>
        </w:rPr>
        <w:t xml:space="preserve"> על</w:t>
      </w:r>
      <w:r w:rsidR="00C90138" w:rsidRPr="00830F9A">
        <w:rPr>
          <w:rFonts w:hint="cs"/>
          <w:rtl/>
        </w:rPr>
        <w:t xml:space="preserve"> </w:t>
      </w:r>
      <w:r w:rsidR="00830F9A" w:rsidRPr="00830F9A">
        <w:rPr>
          <w:rFonts w:hint="cs"/>
          <w:rtl/>
        </w:rPr>
        <w:t>2</w:t>
      </w:r>
      <w:r w:rsidR="00480908">
        <w:rPr>
          <w:rFonts w:hint="cs"/>
          <w:rtl/>
        </w:rPr>
        <w:t>8</w:t>
      </w:r>
      <w:r w:rsidR="00CD50AF">
        <w:rPr>
          <w:rFonts w:hint="cs"/>
          <w:rtl/>
        </w:rPr>
        <w:t>9</w:t>
      </w:r>
      <w:r w:rsidR="00CE2D8C">
        <w:rPr>
          <w:rFonts w:hint="cs"/>
          <w:rtl/>
        </w:rPr>
        <w:t>.</w:t>
      </w:r>
      <w:r w:rsidR="00CD50AF">
        <w:rPr>
          <w:rFonts w:hint="cs"/>
          <w:rtl/>
        </w:rPr>
        <w:t>6</w:t>
      </w:r>
      <w:r w:rsidR="00D522B4">
        <w:rPr>
          <w:rFonts w:hint="cs"/>
          <w:rtl/>
        </w:rPr>
        <w:t xml:space="preserve">%. </w:t>
      </w:r>
      <w:r w:rsidR="00CD50AF">
        <w:rPr>
          <w:rFonts w:hint="cs"/>
          <w:rtl/>
        </w:rPr>
        <w:t>עלייה</w:t>
      </w:r>
      <w:r w:rsidR="000026DB" w:rsidRPr="00DE3CCE">
        <w:rPr>
          <w:rFonts w:hint="cs"/>
          <w:rtl/>
        </w:rPr>
        <w:t xml:space="preserve"> זו נבעה</w:t>
      </w:r>
      <w:r w:rsidR="000026DB">
        <w:rPr>
          <w:rFonts w:hint="cs"/>
          <w:rtl/>
        </w:rPr>
        <w:t xml:space="preserve"> מקצב עלייה גבוה יותר של </w:t>
      </w:r>
      <w:r w:rsidR="00CD50AF">
        <w:rPr>
          <w:rFonts w:hint="cs"/>
          <w:rtl/>
        </w:rPr>
        <w:t xml:space="preserve">תיק הנכסים </w:t>
      </w:r>
      <w:r w:rsidR="00182E73">
        <w:rPr>
          <w:rFonts w:hint="cs"/>
          <w:rtl/>
        </w:rPr>
        <w:t>ביחס</w:t>
      </w:r>
      <w:r w:rsidR="00BD752E">
        <w:rPr>
          <w:rFonts w:hint="cs"/>
          <w:rtl/>
        </w:rPr>
        <w:t xml:space="preserve"> </w:t>
      </w:r>
      <w:r w:rsidR="00182E73">
        <w:rPr>
          <w:rFonts w:hint="cs"/>
          <w:rtl/>
        </w:rPr>
        <w:t>ל</w:t>
      </w:r>
      <w:r w:rsidR="00BD752E">
        <w:rPr>
          <w:rFonts w:hint="cs"/>
          <w:rtl/>
        </w:rPr>
        <w:t>קצב</w:t>
      </w:r>
      <w:r w:rsidR="00BD752E" w:rsidRPr="003C60AC">
        <w:rPr>
          <w:rFonts w:hint="cs"/>
          <w:rtl/>
        </w:rPr>
        <w:t xml:space="preserve"> </w:t>
      </w:r>
      <w:r w:rsidR="00BD752E">
        <w:rPr>
          <w:rFonts w:hint="cs"/>
          <w:rtl/>
        </w:rPr>
        <w:t>עליית</w:t>
      </w:r>
      <w:r w:rsidR="00CD50AF" w:rsidRPr="00CD50AF">
        <w:rPr>
          <w:rFonts w:hint="cs"/>
          <w:rtl/>
        </w:rPr>
        <w:t xml:space="preserve"> </w:t>
      </w:r>
      <w:proofErr w:type="spellStart"/>
      <w:r w:rsidR="00CD50AF">
        <w:rPr>
          <w:rFonts w:hint="cs"/>
          <w:rtl/>
        </w:rPr>
        <w:t>התמ"ג</w:t>
      </w:r>
      <w:proofErr w:type="spellEnd"/>
      <w:r w:rsidR="00CD50AF">
        <w:rPr>
          <w:rFonts w:hint="cs"/>
          <w:rtl/>
        </w:rPr>
        <w:t xml:space="preserve"> (1.3% במחירים שוטפים)</w:t>
      </w:r>
      <w:r w:rsidR="000026DB">
        <w:rPr>
          <w:rFonts w:hint="cs"/>
          <w:rtl/>
        </w:rPr>
        <w:t>.</w:t>
      </w:r>
    </w:p>
    <w:p w:rsidR="00D10907" w:rsidRDefault="009B58C2" w:rsidP="009B58C2">
      <w:pPr>
        <w:spacing w:before="240" w:line="360" w:lineRule="auto"/>
        <w:ind w:left="360"/>
        <w:rPr>
          <w:rtl/>
        </w:rPr>
      </w:pPr>
      <w:r>
        <w:rPr>
          <w:noProof/>
          <w:lang w:eastAsia="en-US"/>
        </w:rPr>
        <w:drawing>
          <wp:inline distT="0" distB="0" distL="0" distR="0" wp14:anchorId="2E2803B2" wp14:editId="43C9DCE1">
            <wp:extent cx="6180329" cy="2471895"/>
            <wp:effectExtent l="0" t="0" r="0" b="5080"/>
            <wp:docPr id="2" name="תמונה 2" descr="תרשים 1: יתרת תיק הנכסים הפיננסים שבידי הציבור" title="תרשים 1: יתרת תיק הנכסים הפיננסים שבידי הציב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789" cy="24828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B58C2" w:rsidRPr="00DD612E" w:rsidRDefault="009B58C2" w:rsidP="009B58C2">
      <w:pPr>
        <w:spacing w:before="240" w:line="360" w:lineRule="auto"/>
        <w:ind w:left="360"/>
        <w:jc w:val="center"/>
        <w:rPr>
          <w:rtl/>
        </w:rPr>
      </w:pPr>
    </w:p>
    <w:p w:rsidR="00A27ECC" w:rsidRDefault="00A27ECC" w:rsidP="00A27ECC">
      <w:pPr>
        <w:pStyle w:val="af"/>
        <w:numPr>
          <w:ilvl w:val="0"/>
          <w:numId w:val="18"/>
        </w:numPr>
        <w:spacing w:before="240" w:line="360" w:lineRule="auto"/>
        <w:jc w:val="both"/>
        <w:rPr>
          <w:b/>
          <w:bCs/>
        </w:rPr>
      </w:pPr>
      <w:r w:rsidRPr="00070610">
        <w:rPr>
          <w:rStyle w:val="10"/>
          <w:rFonts w:hint="cs"/>
          <w:rtl/>
        </w:rPr>
        <w:lastRenderedPageBreak/>
        <w:t xml:space="preserve">ניתוח </w:t>
      </w:r>
      <w:r w:rsidRPr="00F26049">
        <w:rPr>
          <w:rStyle w:val="10"/>
          <w:rFonts w:hint="cs"/>
          <w:rtl/>
        </w:rPr>
        <w:t>השינויים בכלל התיק</w:t>
      </w:r>
    </w:p>
    <w:p w:rsidR="00A27ECC" w:rsidRDefault="00A27ECC" w:rsidP="005357A7">
      <w:pPr>
        <w:pStyle w:val="af"/>
        <w:spacing w:before="240" w:line="360" w:lineRule="auto"/>
        <w:ind w:left="360"/>
        <w:jc w:val="both"/>
        <w:rPr>
          <w:rtl/>
        </w:rPr>
      </w:pPr>
      <w:r w:rsidRPr="00CE2D8C">
        <w:rPr>
          <w:rFonts w:hint="cs"/>
          <w:rtl/>
        </w:rPr>
        <w:t>במהלך הרביע ה</w:t>
      </w:r>
      <w:r w:rsidR="009B58C2">
        <w:rPr>
          <w:rFonts w:hint="cs"/>
          <w:rtl/>
        </w:rPr>
        <w:t>רביע</w:t>
      </w:r>
      <w:r w:rsidR="00912287">
        <w:rPr>
          <w:rFonts w:hint="cs"/>
          <w:rtl/>
        </w:rPr>
        <w:t>י</w:t>
      </w:r>
      <w:r w:rsidRPr="00CE2D8C">
        <w:rPr>
          <w:rFonts w:hint="cs"/>
          <w:rtl/>
        </w:rPr>
        <w:t xml:space="preserve"> </w:t>
      </w:r>
      <w:r>
        <w:rPr>
          <w:rFonts w:hint="cs"/>
          <w:rtl/>
        </w:rPr>
        <w:t>עלו</w:t>
      </w:r>
      <w:r w:rsidRPr="00CE2D8C">
        <w:rPr>
          <w:rFonts w:hint="cs"/>
          <w:rtl/>
        </w:rPr>
        <w:t xml:space="preserve"> </w:t>
      </w:r>
      <w:r>
        <w:rPr>
          <w:rFonts w:hint="cs"/>
          <w:rtl/>
        </w:rPr>
        <w:t>היתרות</w:t>
      </w:r>
      <w:r w:rsidRPr="00CE2D8C">
        <w:rPr>
          <w:rFonts w:hint="cs"/>
          <w:rtl/>
        </w:rPr>
        <w:t xml:space="preserve"> </w:t>
      </w:r>
      <w:r>
        <w:rPr>
          <w:rFonts w:hint="cs"/>
          <w:rtl/>
        </w:rPr>
        <w:t xml:space="preserve">של החזקת הציבור </w:t>
      </w:r>
      <w:r w:rsidR="009B58C2">
        <w:rPr>
          <w:rFonts w:hint="cs"/>
          <w:rtl/>
        </w:rPr>
        <w:t>ב</w:t>
      </w:r>
      <w:r w:rsidR="005357A7">
        <w:rPr>
          <w:rFonts w:hint="cs"/>
          <w:rtl/>
        </w:rPr>
        <w:t>מרבית</w:t>
      </w:r>
      <w:r w:rsidR="009B58C2">
        <w:rPr>
          <w:rFonts w:hint="cs"/>
          <w:rtl/>
        </w:rPr>
        <w:t xml:space="preserve"> הרכיבים בתיק</w:t>
      </w:r>
      <w:r w:rsidRPr="00CE2D8C">
        <w:rPr>
          <w:rFonts w:hint="cs"/>
          <w:rtl/>
        </w:rPr>
        <w:t xml:space="preserve">. </w:t>
      </w:r>
      <w:r w:rsidR="009B58C2">
        <w:rPr>
          <w:rFonts w:hint="cs"/>
          <w:rtl/>
        </w:rPr>
        <w:t>בלטו</w:t>
      </w:r>
      <w:r w:rsidR="003F1FF4">
        <w:rPr>
          <w:rFonts w:hint="cs"/>
          <w:rtl/>
        </w:rPr>
        <w:t xml:space="preserve"> בעליות</w:t>
      </w:r>
      <w:r>
        <w:rPr>
          <w:rFonts w:hint="cs"/>
          <w:rtl/>
        </w:rPr>
        <w:t xml:space="preserve">, </w:t>
      </w:r>
      <w:r w:rsidR="009B58C2">
        <w:rPr>
          <w:rFonts w:hint="cs"/>
          <w:rtl/>
        </w:rPr>
        <w:t>ההשקעות בחו"ל (5%), המניות בארץ (3.7%) ורכיב המזומן והפיקדונות (3.1%).</w:t>
      </w:r>
    </w:p>
    <w:p w:rsidR="009233DD" w:rsidRDefault="00FC5152" w:rsidP="009233DD">
      <w:pPr>
        <w:spacing w:before="240" w:line="360" w:lineRule="auto"/>
        <w:ind w:left="360"/>
        <w:jc w:val="center"/>
      </w:pPr>
      <w:r>
        <w:rPr>
          <w:noProof/>
          <w:lang w:eastAsia="en-US"/>
        </w:rPr>
        <w:drawing>
          <wp:inline distT="0" distB="0" distL="0" distR="0" wp14:anchorId="0FBABA56" wp14:editId="4B249529">
            <wp:extent cx="5486400" cy="2195922"/>
            <wp:effectExtent l="0" t="0" r="0" b="0"/>
            <wp:docPr id="12" name="תמונה 1" descr="תרשים 2: יתרות מכשירים בתיק הנכסים לסוף דצמבר 2019 (במיליארדי ש&quot;ח)&#10;" title="תרשים 2: יתרות מכשירים בתיק הנכסים לסוף דצמבר 2019 (במיליארדי ש&quot;ח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09986" cy="220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C2" w:rsidRPr="00800444" w:rsidRDefault="009B58C2" w:rsidP="00851F82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5C4616">
        <w:rPr>
          <w:rFonts w:hint="cs"/>
          <w:rtl/>
        </w:rPr>
        <w:t xml:space="preserve">יתרת </w:t>
      </w:r>
      <w:proofErr w:type="spellStart"/>
      <w:r w:rsidRPr="005C4616">
        <w:rPr>
          <w:rFonts w:hint="cs"/>
          <w:rtl/>
        </w:rPr>
        <w:t>ההחזקות</w:t>
      </w:r>
      <w:proofErr w:type="spellEnd"/>
      <w:r w:rsidRPr="005C4616">
        <w:rPr>
          <w:rFonts w:hint="cs"/>
          <w:rtl/>
        </w:rPr>
        <w:t xml:space="preserve"> </w:t>
      </w:r>
      <w:r w:rsidRPr="005C4616">
        <w:rPr>
          <w:rFonts w:hint="cs"/>
          <w:b/>
          <w:bCs/>
          <w:rtl/>
        </w:rPr>
        <w:t>במניות בארץ</w:t>
      </w:r>
      <w:r w:rsidRPr="005C4616">
        <w:rPr>
          <w:rFonts w:hint="cs"/>
          <w:rtl/>
        </w:rPr>
        <w:t xml:space="preserve"> עלתה בכ-</w:t>
      </w:r>
      <w:r>
        <w:rPr>
          <w:rFonts w:hint="cs"/>
          <w:rtl/>
        </w:rPr>
        <w:t>22.5</w:t>
      </w:r>
      <w:r w:rsidRPr="005C4616">
        <w:rPr>
          <w:rFonts w:hint="cs"/>
          <w:rtl/>
        </w:rPr>
        <w:t xml:space="preserve"> מיליארדי ש"ח (</w:t>
      </w:r>
      <w:r>
        <w:rPr>
          <w:rFonts w:hint="cs"/>
          <w:rtl/>
        </w:rPr>
        <w:t>3</w:t>
      </w:r>
      <w:r w:rsidRPr="005C4616">
        <w:rPr>
          <w:rFonts w:hint="cs"/>
          <w:rtl/>
        </w:rPr>
        <w:t>.</w:t>
      </w:r>
      <w:r>
        <w:rPr>
          <w:rFonts w:hint="cs"/>
          <w:rtl/>
        </w:rPr>
        <w:t>7</w:t>
      </w:r>
      <w:r w:rsidRPr="00800444">
        <w:rPr>
          <w:rFonts w:hint="cs"/>
          <w:rtl/>
        </w:rPr>
        <w:t xml:space="preserve">%), זאת כתוצאה </w:t>
      </w:r>
      <w:r w:rsidRPr="00851F82">
        <w:rPr>
          <w:rFonts w:hint="cs"/>
          <w:rtl/>
        </w:rPr>
        <w:t>מעליית מחירים</w:t>
      </w:r>
      <w:r w:rsidR="00851F82">
        <w:rPr>
          <w:rFonts w:hint="cs"/>
          <w:rtl/>
        </w:rPr>
        <w:t xml:space="preserve"> </w:t>
      </w:r>
      <w:r w:rsidR="00851F82" w:rsidRPr="00CD5480">
        <w:rPr>
          <w:rFonts w:hint="cs"/>
          <w:rtl/>
        </w:rPr>
        <w:t>ומהשקעות נטו</w:t>
      </w:r>
      <w:r w:rsidRPr="00800444">
        <w:rPr>
          <w:rFonts w:hint="cs"/>
          <w:rtl/>
        </w:rPr>
        <w:t xml:space="preserve">, בהמשך למגמה </w:t>
      </w:r>
      <w:r>
        <w:rPr>
          <w:rFonts w:hint="cs"/>
          <w:rtl/>
        </w:rPr>
        <w:t>מתחילת שנת 2019</w:t>
      </w:r>
      <w:r w:rsidRPr="00800444">
        <w:rPr>
          <w:rFonts w:hint="cs"/>
          <w:rtl/>
        </w:rPr>
        <w:t>.</w:t>
      </w:r>
    </w:p>
    <w:p w:rsidR="00912287" w:rsidRPr="00D522B4" w:rsidRDefault="009B58C2" w:rsidP="009B58C2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D522B4">
        <w:rPr>
          <w:rFonts w:hint="cs"/>
          <w:b/>
          <w:bCs/>
          <w:rtl/>
        </w:rPr>
        <w:t xml:space="preserve">יתרת </w:t>
      </w:r>
      <w:proofErr w:type="spellStart"/>
      <w:r w:rsidRPr="00D522B4">
        <w:rPr>
          <w:rFonts w:hint="cs"/>
          <w:b/>
          <w:bCs/>
          <w:rtl/>
        </w:rPr>
        <w:t>האג"ח</w:t>
      </w:r>
      <w:proofErr w:type="spellEnd"/>
      <w:r w:rsidRPr="00D522B4">
        <w:rPr>
          <w:rFonts w:hint="cs"/>
          <w:b/>
          <w:bCs/>
          <w:rtl/>
        </w:rPr>
        <w:t xml:space="preserve"> החברות הסחירות בארץ </w:t>
      </w:r>
      <w:r w:rsidRPr="00D522B4">
        <w:rPr>
          <w:rFonts w:hint="cs"/>
          <w:rtl/>
        </w:rPr>
        <w:t>עלתה בכ-</w:t>
      </w:r>
      <w:r>
        <w:rPr>
          <w:rFonts w:hint="cs"/>
          <w:rtl/>
        </w:rPr>
        <w:t>8.8</w:t>
      </w:r>
      <w:r w:rsidRPr="00D522B4">
        <w:rPr>
          <w:rFonts w:hint="cs"/>
          <w:rtl/>
        </w:rPr>
        <w:t xml:space="preserve"> מיליארדי ש"ח (</w:t>
      </w:r>
      <w:r>
        <w:rPr>
          <w:rFonts w:hint="cs"/>
          <w:rtl/>
        </w:rPr>
        <w:t>2.4</w:t>
      </w:r>
      <w:r w:rsidRPr="00D522B4">
        <w:rPr>
          <w:rFonts w:hint="cs"/>
          <w:rtl/>
        </w:rPr>
        <w:t>%) ועמדה בסוף הרביע על כ-3</w:t>
      </w:r>
      <w:r>
        <w:rPr>
          <w:rFonts w:hint="cs"/>
          <w:rtl/>
        </w:rPr>
        <w:t>65</w:t>
      </w:r>
      <w:r w:rsidRPr="00D522B4">
        <w:rPr>
          <w:rFonts w:hint="cs"/>
          <w:rtl/>
        </w:rPr>
        <w:t xml:space="preserve"> מיליארדים, </w:t>
      </w:r>
      <w:r w:rsidRPr="0078773D">
        <w:rPr>
          <w:rFonts w:hint="cs"/>
          <w:rtl/>
        </w:rPr>
        <w:t xml:space="preserve">זאת כתוצאה </w:t>
      </w:r>
      <w:r w:rsidRPr="00FC1356">
        <w:rPr>
          <w:rFonts w:hint="cs"/>
          <w:rtl/>
        </w:rPr>
        <w:t>מעליות מחירים במקביל</w:t>
      </w:r>
      <w:r w:rsidRPr="00851F82">
        <w:rPr>
          <w:rFonts w:hint="cs"/>
          <w:rtl/>
        </w:rPr>
        <w:t xml:space="preserve"> להשקעות נטו</w:t>
      </w:r>
      <w:r w:rsidRPr="0078773D">
        <w:rPr>
          <w:rFonts w:hint="cs"/>
          <w:rtl/>
        </w:rPr>
        <w:t>.</w:t>
      </w:r>
    </w:p>
    <w:p w:rsidR="002B3369" w:rsidRPr="00D522B4" w:rsidRDefault="009B58C2" w:rsidP="009B58C2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D522B4">
        <w:rPr>
          <w:rFonts w:hint="cs"/>
          <w:rtl/>
        </w:rPr>
        <w:t xml:space="preserve">יתרת </w:t>
      </w:r>
      <w:proofErr w:type="spellStart"/>
      <w:r w:rsidRPr="00D522B4">
        <w:rPr>
          <w:rFonts w:hint="cs"/>
          <w:b/>
          <w:bCs/>
          <w:rtl/>
        </w:rPr>
        <w:t>האג"ח</w:t>
      </w:r>
      <w:proofErr w:type="spellEnd"/>
      <w:r w:rsidRPr="00D522B4">
        <w:rPr>
          <w:rFonts w:hint="cs"/>
          <w:b/>
          <w:bCs/>
          <w:rtl/>
        </w:rPr>
        <w:t xml:space="preserve"> הממשלתיות</w:t>
      </w:r>
      <w:r w:rsidRPr="00D522B4">
        <w:rPr>
          <w:rFonts w:hint="cs"/>
          <w:rtl/>
        </w:rPr>
        <w:t xml:space="preserve"> (סחירות ולא-סחירות) </w:t>
      </w:r>
      <w:proofErr w:type="spellStart"/>
      <w:r w:rsidRPr="00D522B4">
        <w:rPr>
          <w:rFonts w:hint="cs"/>
          <w:b/>
          <w:bCs/>
          <w:rtl/>
        </w:rPr>
        <w:t>והמק"ם</w:t>
      </w:r>
      <w:proofErr w:type="spellEnd"/>
      <w:r w:rsidRPr="00D522B4">
        <w:rPr>
          <w:rFonts w:hint="cs"/>
          <w:rtl/>
        </w:rPr>
        <w:t xml:space="preserve"> עלתה בכ-</w:t>
      </w:r>
      <w:r>
        <w:rPr>
          <w:rFonts w:hint="cs"/>
          <w:rtl/>
        </w:rPr>
        <w:t>8.1</w:t>
      </w:r>
      <w:r w:rsidRPr="00D522B4">
        <w:rPr>
          <w:rFonts w:hint="cs"/>
          <w:rtl/>
        </w:rPr>
        <w:t xml:space="preserve"> מיליארדי ש</w:t>
      </w:r>
      <w:r w:rsidRPr="00D522B4">
        <w:rPr>
          <w:rtl/>
        </w:rPr>
        <w:t>"</w:t>
      </w:r>
      <w:r w:rsidRPr="00D522B4">
        <w:rPr>
          <w:rFonts w:hint="cs"/>
          <w:rtl/>
        </w:rPr>
        <w:t>ח (</w:t>
      </w:r>
      <w:r>
        <w:rPr>
          <w:rFonts w:hint="cs"/>
          <w:rtl/>
        </w:rPr>
        <w:t>0</w:t>
      </w:r>
      <w:r w:rsidRPr="00D522B4">
        <w:rPr>
          <w:rFonts w:hint="cs"/>
          <w:rtl/>
        </w:rPr>
        <w:t>.</w:t>
      </w:r>
      <w:r>
        <w:rPr>
          <w:rFonts w:hint="cs"/>
          <w:rtl/>
        </w:rPr>
        <w:t>9</w:t>
      </w:r>
      <w:r w:rsidRPr="00D522B4">
        <w:rPr>
          <w:rFonts w:hint="cs"/>
          <w:rtl/>
        </w:rPr>
        <w:t>%).</w:t>
      </w:r>
      <w:r>
        <w:rPr>
          <w:rFonts w:hint="cs"/>
          <w:rtl/>
        </w:rPr>
        <w:t xml:space="preserve"> </w:t>
      </w:r>
    </w:p>
    <w:p w:rsidR="000430C8" w:rsidRPr="002923D6" w:rsidRDefault="00E1512C" w:rsidP="009233DD">
      <w:pPr>
        <w:spacing w:before="240" w:line="360" w:lineRule="auto"/>
        <w:ind w:left="401"/>
        <w:jc w:val="center"/>
        <w:rPr>
          <w:rtl/>
        </w:rPr>
      </w:pPr>
      <w:r w:rsidRPr="00596201">
        <w:rPr>
          <w:rFonts w:hint="cs"/>
          <w:rtl/>
        </w:rPr>
        <w:t xml:space="preserve"> </w:t>
      </w:r>
      <w:r w:rsidR="002923D6">
        <w:rPr>
          <w:noProof/>
          <w:lang w:eastAsia="en-US"/>
        </w:rPr>
        <w:drawing>
          <wp:inline distT="0" distB="0" distL="0" distR="0" wp14:anchorId="7C4BF3BA" wp14:editId="5537A77D">
            <wp:extent cx="5093440" cy="2645513"/>
            <wp:effectExtent l="0" t="0" r="0" b="2540"/>
            <wp:docPr id="3" name="תמונה 2" descr="תרשים 3: יתרות המכשירים הפיננסים בתיק, 2013 עד 2019&#10;" title="תרשים 3: יתרות המכשירים הפיננסים בתיק, 2013 עד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97381" cy="264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F73" w:rsidRPr="00594308" w:rsidRDefault="009F64A1" w:rsidP="00794288">
      <w:pPr>
        <w:spacing w:before="240" w:line="360" w:lineRule="auto"/>
        <w:ind w:left="360"/>
        <w:jc w:val="both"/>
        <w:rPr>
          <w:rtl/>
        </w:rPr>
      </w:pPr>
      <w:r>
        <w:rPr>
          <w:rFonts w:hint="cs"/>
          <w:rtl/>
        </w:rPr>
        <w:t>יתרת ההשקעות בחו"ל</w:t>
      </w:r>
      <w:r w:rsidR="00247F73" w:rsidRPr="00594308">
        <w:rPr>
          <w:rFonts w:hint="cs"/>
          <w:rtl/>
        </w:rPr>
        <w:t xml:space="preserve"> </w:t>
      </w:r>
      <w:r w:rsidR="002923D6">
        <w:rPr>
          <w:rFonts w:hint="cs"/>
          <w:rtl/>
        </w:rPr>
        <w:t xml:space="preserve">עלתה </w:t>
      </w:r>
      <w:r w:rsidR="00F510AA">
        <w:rPr>
          <w:rFonts w:hint="cs"/>
          <w:rtl/>
        </w:rPr>
        <w:t xml:space="preserve">במהלך הרביע </w:t>
      </w:r>
      <w:r w:rsidR="00247F73" w:rsidRPr="00594308">
        <w:rPr>
          <w:rFonts w:hint="cs"/>
          <w:rtl/>
        </w:rPr>
        <w:t>ועמד</w:t>
      </w:r>
      <w:r>
        <w:rPr>
          <w:rFonts w:hint="cs"/>
          <w:rtl/>
        </w:rPr>
        <w:t>ה</w:t>
      </w:r>
      <w:r w:rsidR="00247F73" w:rsidRPr="00594308">
        <w:rPr>
          <w:rFonts w:hint="cs"/>
          <w:rtl/>
        </w:rPr>
        <w:t xml:space="preserve"> </w:t>
      </w:r>
      <w:r w:rsidR="00F510AA">
        <w:rPr>
          <w:rFonts w:hint="cs"/>
          <w:rtl/>
        </w:rPr>
        <w:t>בסופו</w:t>
      </w:r>
      <w:r w:rsidR="00247F73" w:rsidRPr="00594308">
        <w:rPr>
          <w:rFonts w:hint="cs"/>
          <w:rtl/>
        </w:rPr>
        <w:t xml:space="preserve"> על כ-5</w:t>
      </w:r>
      <w:r w:rsidR="0050774D">
        <w:rPr>
          <w:rFonts w:hint="cs"/>
          <w:rtl/>
        </w:rPr>
        <w:t>69</w:t>
      </w:r>
      <w:r w:rsidR="00247F73" w:rsidRPr="00594308">
        <w:rPr>
          <w:rFonts w:hint="cs"/>
          <w:rtl/>
        </w:rPr>
        <w:t xml:space="preserve"> מיליארדי ש"ח - המהווים </w:t>
      </w:r>
      <w:r w:rsidR="00FD6210">
        <w:rPr>
          <w:rFonts w:hint="cs"/>
          <w:rtl/>
        </w:rPr>
        <w:t>1</w:t>
      </w:r>
      <w:r w:rsidR="00AB6EE0">
        <w:rPr>
          <w:rFonts w:hint="cs"/>
          <w:rtl/>
        </w:rPr>
        <w:t>4</w:t>
      </w:r>
      <w:r w:rsidR="00247F73" w:rsidRPr="00594308">
        <w:rPr>
          <w:rFonts w:hint="cs"/>
          <w:rtl/>
        </w:rPr>
        <w:t>% מסך תיק הנכסים:</w:t>
      </w:r>
    </w:p>
    <w:p w:rsidR="00247F73" w:rsidRPr="00F542CD" w:rsidRDefault="00247F73" w:rsidP="00290659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D522B4">
        <w:rPr>
          <w:rFonts w:hint="cs"/>
          <w:rtl/>
        </w:rPr>
        <w:t xml:space="preserve">יתרת </w:t>
      </w:r>
      <w:r w:rsidRPr="00800444">
        <w:rPr>
          <w:rFonts w:hint="cs"/>
          <w:b/>
          <w:bCs/>
          <w:rtl/>
        </w:rPr>
        <w:t>המניות בחו"ל</w:t>
      </w:r>
      <w:r w:rsidRPr="00800444">
        <w:rPr>
          <w:rFonts w:hint="cs"/>
          <w:rtl/>
        </w:rPr>
        <w:t xml:space="preserve"> </w:t>
      </w:r>
      <w:r w:rsidR="00B236F2" w:rsidRPr="00800444">
        <w:rPr>
          <w:rFonts w:hint="cs"/>
          <w:rtl/>
        </w:rPr>
        <w:t>עלת</w:t>
      </w:r>
      <w:r w:rsidR="00C82318" w:rsidRPr="00800444">
        <w:rPr>
          <w:rFonts w:hint="cs"/>
          <w:rtl/>
        </w:rPr>
        <w:t>ה</w:t>
      </w:r>
      <w:r w:rsidRPr="00800444">
        <w:rPr>
          <w:rFonts w:hint="cs"/>
          <w:rtl/>
        </w:rPr>
        <w:t xml:space="preserve"> בכ-</w:t>
      </w:r>
      <w:r w:rsidR="00794288">
        <w:rPr>
          <w:rFonts w:hint="cs"/>
          <w:rtl/>
        </w:rPr>
        <w:t>30</w:t>
      </w:r>
      <w:r w:rsidR="00B236F2" w:rsidRPr="00800444">
        <w:rPr>
          <w:rFonts w:hint="cs"/>
          <w:rtl/>
        </w:rPr>
        <w:t>.</w:t>
      </w:r>
      <w:r w:rsidR="00794288">
        <w:rPr>
          <w:rFonts w:hint="cs"/>
          <w:rtl/>
        </w:rPr>
        <w:t>7</w:t>
      </w:r>
      <w:r w:rsidRPr="00800444">
        <w:rPr>
          <w:rFonts w:hint="cs"/>
          <w:rtl/>
        </w:rPr>
        <w:t xml:space="preserve"> מיליארדי ש"ח </w:t>
      </w:r>
      <w:r w:rsidR="005A5897" w:rsidRPr="00800444">
        <w:rPr>
          <w:rFonts w:hint="cs"/>
          <w:rtl/>
        </w:rPr>
        <w:t>(</w:t>
      </w:r>
      <w:r w:rsidR="00794288">
        <w:rPr>
          <w:rFonts w:hint="cs"/>
          <w:rtl/>
        </w:rPr>
        <w:t>8</w:t>
      </w:r>
      <w:r w:rsidR="005A5897" w:rsidRPr="00800444">
        <w:rPr>
          <w:rFonts w:hint="cs"/>
          <w:rtl/>
        </w:rPr>
        <w:t>.</w:t>
      </w:r>
      <w:r w:rsidR="00794288">
        <w:rPr>
          <w:rFonts w:hint="cs"/>
          <w:rtl/>
        </w:rPr>
        <w:t>7</w:t>
      </w:r>
      <w:r w:rsidR="005A5897" w:rsidRPr="00800444">
        <w:rPr>
          <w:rFonts w:hint="cs"/>
          <w:rtl/>
        </w:rPr>
        <w:t xml:space="preserve">%) </w:t>
      </w:r>
      <w:r w:rsidRPr="00800444">
        <w:rPr>
          <w:rFonts w:hint="cs"/>
          <w:rtl/>
        </w:rPr>
        <w:t>ועמדה בסוף הרביע על כ-</w:t>
      </w:r>
      <w:r w:rsidR="00C82318" w:rsidRPr="00800444">
        <w:rPr>
          <w:rFonts w:hint="cs"/>
          <w:rtl/>
        </w:rPr>
        <w:t>3</w:t>
      </w:r>
      <w:r w:rsidR="00794288">
        <w:rPr>
          <w:rFonts w:hint="cs"/>
          <w:rtl/>
        </w:rPr>
        <w:t>83</w:t>
      </w:r>
      <w:r w:rsidRPr="00800444">
        <w:rPr>
          <w:rFonts w:hint="cs"/>
          <w:rtl/>
        </w:rPr>
        <w:t xml:space="preserve"> מיליארדי ש"ח. </w:t>
      </w:r>
      <w:r w:rsidR="00800444" w:rsidRPr="00F542CD">
        <w:rPr>
          <w:rFonts w:hint="cs"/>
          <w:rtl/>
        </w:rPr>
        <w:t>עיקר העלייה</w:t>
      </w:r>
      <w:r w:rsidRPr="00F542CD">
        <w:rPr>
          <w:rFonts w:hint="cs"/>
          <w:rtl/>
        </w:rPr>
        <w:t xml:space="preserve"> </w:t>
      </w:r>
      <w:r w:rsidR="00C82318" w:rsidRPr="00F542CD">
        <w:rPr>
          <w:rFonts w:hint="cs"/>
          <w:rtl/>
        </w:rPr>
        <w:t>נבעה</w:t>
      </w:r>
      <w:r w:rsidR="007C4C86" w:rsidRPr="00F542CD">
        <w:rPr>
          <w:rFonts w:hint="cs"/>
          <w:rtl/>
        </w:rPr>
        <w:t xml:space="preserve"> </w:t>
      </w:r>
      <w:r w:rsidR="00290659" w:rsidRPr="00F542CD">
        <w:rPr>
          <w:rFonts w:hint="cs"/>
          <w:rtl/>
        </w:rPr>
        <w:t>מעליות מחירים משמעותיות לצד השקעות נטו</w:t>
      </w:r>
      <w:r w:rsidR="00F542CD" w:rsidRPr="00F542CD">
        <w:rPr>
          <w:rFonts w:hint="cs"/>
          <w:rtl/>
        </w:rPr>
        <w:t xml:space="preserve"> בהיקף של כ-5 מיליארדי ש"ח</w:t>
      </w:r>
      <w:r w:rsidR="007C4C86" w:rsidRPr="00F542CD">
        <w:rPr>
          <w:rFonts w:hint="cs"/>
          <w:rtl/>
        </w:rPr>
        <w:t xml:space="preserve">. </w:t>
      </w:r>
    </w:p>
    <w:p w:rsidR="00B236F2" w:rsidRPr="00290659" w:rsidRDefault="00247F73" w:rsidP="00290659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D522B4">
        <w:rPr>
          <w:rFonts w:hint="cs"/>
          <w:rtl/>
        </w:rPr>
        <w:t xml:space="preserve">יתרת </w:t>
      </w:r>
      <w:proofErr w:type="spellStart"/>
      <w:r w:rsidRPr="00D522B4">
        <w:rPr>
          <w:rFonts w:hint="cs"/>
          <w:b/>
          <w:bCs/>
          <w:rtl/>
        </w:rPr>
        <w:t>האג"ח</w:t>
      </w:r>
      <w:proofErr w:type="spellEnd"/>
      <w:r w:rsidRPr="00D522B4">
        <w:rPr>
          <w:rFonts w:hint="cs"/>
          <w:b/>
          <w:bCs/>
          <w:rtl/>
        </w:rPr>
        <w:t xml:space="preserve"> הסחירות (חברות וממשלתיות)</w:t>
      </w:r>
      <w:r w:rsidRPr="00D522B4">
        <w:rPr>
          <w:rFonts w:hint="cs"/>
          <w:rtl/>
        </w:rPr>
        <w:t xml:space="preserve"> </w:t>
      </w:r>
      <w:r w:rsidRPr="00D522B4">
        <w:rPr>
          <w:rFonts w:hint="cs"/>
          <w:b/>
          <w:bCs/>
          <w:rtl/>
        </w:rPr>
        <w:t>בחו"ל</w:t>
      </w:r>
      <w:r w:rsidRPr="00D522B4">
        <w:rPr>
          <w:rFonts w:hint="cs"/>
          <w:rtl/>
        </w:rPr>
        <w:t xml:space="preserve"> </w:t>
      </w:r>
      <w:r w:rsidR="005A5897" w:rsidRPr="00D522B4">
        <w:rPr>
          <w:rFonts w:hint="cs"/>
          <w:rtl/>
        </w:rPr>
        <w:t>ירד</w:t>
      </w:r>
      <w:r w:rsidR="00A36DFB" w:rsidRPr="00D522B4">
        <w:rPr>
          <w:rFonts w:hint="cs"/>
          <w:rtl/>
        </w:rPr>
        <w:t>ה</w:t>
      </w:r>
      <w:r w:rsidRPr="00D522B4">
        <w:rPr>
          <w:rFonts w:hint="cs"/>
          <w:rtl/>
        </w:rPr>
        <w:t xml:space="preserve"> </w:t>
      </w:r>
      <w:r w:rsidR="005A5897" w:rsidRPr="00D522B4">
        <w:rPr>
          <w:rFonts w:hint="cs"/>
          <w:rtl/>
        </w:rPr>
        <w:t>בכ-</w:t>
      </w:r>
      <w:r w:rsidR="00794288">
        <w:rPr>
          <w:rFonts w:hint="cs"/>
          <w:rtl/>
        </w:rPr>
        <w:t>2</w:t>
      </w:r>
      <w:r w:rsidR="00B236F2">
        <w:rPr>
          <w:rFonts w:hint="cs"/>
          <w:rtl/>
        </w:rPr>
        <w:t>.2</w:t>
      </w:r>
      <w:r w:rsidR="005A5897" w:rsidRPr="00D522B4">
        <w:rPr>
          <w:rFonts w:hint="cs"/>
          <w:rtl/>
        </w:rPr>
        <w:t xml:space="preserve"> מיליארדי ש"ח (</w:t>
      </w:r>
      <w:r w:rsidR="00794288">
        <w:rPr>
          <w:rFonts w:hint="cs"/>
          <w:rtl/>
        </w:rPr>
        <w:t>1</w:t>
      </w:r>
      <w:r w:rsidR="005A5897" w:rsidRPr="00D522B4">
        <w:rPr>
          <w:rFonts w:hint="cs"/>
          <w:rtl/>
        </w:rPr>
        <w:t>.</w:t>
      </w:r>
      <w:r w:rsidR="00794288">
        <w:rPr>
          <w:rFonts w:hint="cs"/>
          <w:rtl/>
        </w:rPr>
        <w:t>1</w:t>
      </w:r>
      <w:r w:rsidR="005A5897" w:rsidRPr="00D522B4">
        <w:rPr>
          <w:rFonts w:hint="cs"/>
          <w:rtl/>
        </w:rPr>
        <w:t>%</w:t>
      </w:r>
      <w:r w:rsidR="005A5897" w:rsidRPr="00D522B4">
        <w:t>-</w:t>
      </w:r>
      <w:r w:rsidR="005A5897" w:rsidRPr="00D522B4">
        <w:rPr>
          <w:rFonts w:hint="cs"/>
          <w:rtl/>
        </w:rPr>
        <w:t>)</w:t>
      </w:r>
      <w:r w:rsidR="0024440A" w:rsidRPr="00D522B4">
        <w:rPr>
          <w:rFonts w:hint="cs"/>
          <w:rtl/>
        </w:rPr>
        <w:t xml:space="preserve"> </w:t>
      </w:r>
      <w:r w:rsidRPr="00D522B4">
        <w:rPr>
          <w:rFonts w:hint="cs"/>
          <w:rtl/>
        </w:rPr>
        <w:t>ועמדה בסוף הרביע על כ-</w:t>
      </w:r>
      <w:r w:rsidR="008A763C" w:rsidRPr="00D522B4">
        <w:rPr>
          <w:rFonts w:hint="cs"/>
          <w:rtl/>
        </w:rPr>
        <w:t>1</w:t>
      </w:r>
      <w:r w:rsidR="0092430A" w:rsidRPr="00D522B4">
        <w:rPr>
          <w:rFonts w:hint="cs"/>
          <w:rtl/>
        </w:rPr>
        <w:t>8</w:t>
      </w:r>
      <w:r w:rsidR="00794288">
        <w:rPr>
          <w:rFonts w:hint="cs"/>
          <w:rtl/>
        </w:rPr>
        <w:t>6</w:t>
      </w:r>
      <w:r w:rsidR="00A36DFB" w:rsidRPr="00D522B4">
        <w:rPr>
          <w:rFonts w:hint="cs"/>
          <w:rtl/>
        </w:rPr>
        <w:t xml:space="preserve"> </w:t>
      </w:r>
      <w:r w:rsidRPr="00D522B4">
        <w:rPr>
          <w:rFonts w:hint="cs"/>
          <w:rtl/>
        </w:rPr>
        <w:t>מיליארדי ש</w:t>
      </w:r>
      <w:r w:rsidR="00290659">
        <w:rPr>
          <w:rFonts w:hint="cs"/>
          <w:rtl/>
        </w:rPr>
        <w:t>"ח,</w:t>
      </w:r>
      <w:r w:rsidRPr="00800444">
        <w:rPr>
          <w:rFonts w:hint="cs"/>
          <w:rtl/>
        </w:rPr>
        <w:t xml:space="preserve"> </w:t>
      </w:r>
      <w:r w:rsidR="007C4C86" w:rsidRPr="00290659">
        <w:rPr>
          <w:rFonts w:hint="cs"/>
          <w:rtl/>
        </w:rPr>
        <w:t>ירידה</w:t>
      </w:r>
      <w:r w:rsidRPr="00290659">
        <w:rPr>
          <w:rFonts w:hint="cs"/>
          <w:rtl/>
        </w:rPr>
        <w:t xml:space="preserve"> </w:t>
      </w:r>
      <w:r w:rsidR="008A763C" w:rsidRPr="00290659">
        <w:rPr>
          <w:rFonts w:hint="cs"/>
          <w:rtl/>
        </w:rPr>
        <w:t xml:space="preserve">זו </w:t>
      </w:r>
      <w:r w:rsidRPr="00290659">
        <w:rPr>
          <w:rFonts w:hint="cs"/>
          <w:rtl/>
        </w:rPr>
        <w:t xml:space="preserve">נבעה בעיקר </w:t>
      </w:r>
      <w:r w:rsidR="00290659" w:rsidRPr="00290659">
        <w:rPr>
          <w:rFonts w:hint="cs"/>
          <w:rtl/>
        </w:rPr>
        <w:t>ממימושים נטו</w:t>
      </w:r>
      <w:r w:rsidR="00800444" w:rsidRPr="00290659">
        <w:rPr>
          <w:rFonts w:hint="cs"/>
          <w:rtl/>
        </w:rPr>
        <w:t>.</w:t>
      </w:r>
    </w:p>
    <w:p w:rsidR="007C2B07" w:rsidRDefault="00F510AA" w:rsidP="002B4D96">
      <w:pPr>
        <w:spacing w:before="240" w:after="240" w:line="360" w:lineRule="auto"/>
        <w:ind w:left="360"/>
        <w:jc w:val="both"/>
        <w:rPr>
          <w:rtl/>
        </w:rPr>
      </w:pPr>
      <w:r w:rsidRPr="00167C6D">
        <w:rPr>
          <w:rFonts w:hint="cs"/>
          <w:rtl/>
        </w:rPr>
        <w:lastRenderedPageBreak/>
        <w:t>כתוצאה מההתפתחויות במהלך הרביע,</w:t>
      </w:r>
      <w:r w:rsidR="00C46ABC" w:rsidRPr="00167C6D">
        <w:rPr>
          <w:rFonts w:hint="cs"/>
          <w:rtl/>
        </w:rPr>
        <w:t xml:space="preserve"> חלה </w:t>
      </w:r>
      <w:r w:rsidR="008C48D1">
        <w:rPr>
          <w:rFonts w:hint="cs"/>
          <w:rtl/>
        </w:rPr>
        <w:t>עלייה</w:t>
      </w:r>
      <w:r w:rsidR="00C46ABC" w:rsidRPr="00167C6D">
        <w:rPr>
          <w:rFonts w:hint="cs"/>
          <w:rtl/>
        </w:rPr>
        <w:t xml:space="preserve"> </w:t>
      </w:r>
      <w:r w:rsidR="006B440B" w:rsidRPr="00167C6D">
        <w:rPr>
          <w:rFonts w:hint="cs"/>
          <w:rtl/>
        </w:rPr>
        <w:t>של כ</w:t>
      </w:r>
      <w:r w:rsidR="00D21053" w:rsidRPr="00167C6D">
        <w:rPr>
          <w:rFonts w:hint="cs"/>
          <w:rtl/>
        </w:rPr>
        <w:t>-0.</w:t>
      </w:r>
      <w:r w:rsidR="008C48D1">
        <w:rPr>
          <w:rFonts w:hint="cs"/>
          <w:rtl/>
        </w:rPr>
        <w:t>6</w:t>
      </w:r>
      <w:r w:rsidR="00D21053" w:rsidRPr="00167C6D">
        <w:rPr>
          <w:rFonts w:hint="cs"/>
          <w:rtl/>
        </w:rPr>
        <w:t xml:space="preserve"> </w:t>
      </w:r>
      <w:r w:rsidR="001006AD" w:rsidRPr="00167C6D">
        <w:rPr>
          <w:rFonts w:hint="cs"/>
          <w:rtl/>
        </w:rPr>
        <w:t>נקודת</w:t>
      </w:r>
      <w:r w:rsidR="006B440B" w:rsidRPr="00167C6D">
        <w:rPr>
          <w:rFonts w:hint="cs"/>
          <w:rtl/>
        </w:rPr>
        <w:t xml:space="preserve"> אחוז </w:t>
      </w:r>
      <w:r w:rsidR="00C46ABC" w:rsidRPr="00167C6D">
        <w:rPr>
          <w:rFonts w:hint="cs"/>
          <w:rtl/>
        </w:rPr>
        <w:t xml:space="preserve">בשיעור הנכסים </w:t>
      </w:r>
      <w:r w:rsidR="002B4D96" w:rsidRPr="00167C6D">
        <w:rPr>
          <w:rFonts w:hint="cs"/>
          <w:rtl/>
        </w:rPr>
        <w:t>בסיכון</w:t>
      </w:r>
      <w:r w:rsidR="002B4D96" w:rsidRPr="00167C6D">
        <w:rPr>
          <w:rStyle w:val="a5"/>
          <w:rtl/>
        </w:rPr>
        <w:footnoteReference w:id="2"/>
      </w:r>
      <w:r w:rsidR="002B4D96" w:rsidRPr="00167C6D">
        <w:rPr>
          <w:rFonts w:hint="cs"/>
          <w:rtl/>
        </w:rPr>
        <w:t xml:space="preserve"> </w:t>
      </w:r>
      <w:r w:rsidR="00C46ABC" w:rsidRPr="00167C6D">
        <w:rPr>
          <w:rFonts w:hint="cs"/>
          <w:rtl/>
        </w:rPr>
        <w:t>ו</w:t>
      </w:r>
      <w:r w:rsidR="006D276A">
        <w:rPr>
          <w:rFonts w:hint="cs"/>
          <w:rtl/>
        </w:rPr>
        <w:t>-0.</w:t>
      </w:r>
      <w:r w:rsidR="008C48D1">
        <w:rPr>
          <w:rFonts w:hint="cs"/>
          <w:rtl/>
        </w:rPr>
        <w:t>9</w:t>
      </w:r>
      <w:r w:rsidR="006D276A">
        <w:rPr>
          <w:rFonts w:hint="cs"/>
          <w:rtl/>
        </w:rPr>
        <w:t xml:space="preserve"> </w:t>
      </w:r>
      <w:r w:rsidR="006D276A" w:rsidRPr="00167C6D">
        <w:rPr>
          <w:rFonts w:hint="cs"/>
          <w:rtl/>
        </w:rPr>
        <w:t xml:space="preserve">נקודת אחוז </w:t>
      </w:r>
      <w:r w:rsidR="005F38CB">
        <w:rPr>
          <w:rFonts w:hint="cs"/>
          <w:rtl/>
        </w:rPr>
        <w:t xml:space="preserve">בשיעור </w:t>
      </w:r>
      <w:r w:rsidR="0046283A">
        <w:rPr>
          <w:rFonts w:hint="cs"/>
          <w:rtl/>
        </w:rPr>
        <w:t xml:space="preserve">הנכסים </w:t>
      </w:r>
      <w:r w:rsidR="008C48D1">
        <w:rPr>
          <w:rFonts w:hint="cs"/>
          <w:rtl/>
        </w:rPr>
        <w:t>הנזילים</w:t>
      </w:r>
      <w:r w:rsidR="002B4D96">
        <w:rPr>
          <w:rFonts w:hint="cs"/>
          <w:rtl/>
        </w:rPr>
        <w:t>.</w:t>
      </w:r>
    </w:p>
    <w:p w:rsidR="00283B13" w:rsidRPr="00103EC2" w:rsidRDefault="00283B13" w:rsidP="009709E0">
      <w:pPr>
        <w:pStyle w:val="1"/>
        <w:numPr>
          <w:ilvl w:val="0"/>
          <w:numId w:val="18"/>
        </w:numPr>
        <w:spacing w:before="240"/>
        <w:rPr>
          <w:rtl/>
        </w:rPr>
      </w:pPr>
      <w:r w:rsidRPr="00103EC2">
        <w:rPr>
          <w:rFonts w:hint="cs"/>
          <w:rtl/>
        </w:rPr>
        <w:t xml:space="preserve">התיק המנוהל </w:t>
      </w:r>
      <w:r w:rsidR="00C46ABC" w:rsidRPr="00103EC2">
        <w:rPr>
          <w:rFonts w:hint="cs"/>
          <w:rtl/>
        </w:rPr>
        <w:t>בידי</w:t>
      </w:r>
      <w:r w:rsidRPr="00103EC2">
        <w:rPr>
          <w:rFonts w:hint="cs"/>
          <w:rtl/>
        </w:rPr>
        <w:t xml:space="preserve"> המשקיעים המוסדיים</w:t>
      </w:r>
      <w:r w:rsidR="0053162E" w:rsidRPr="00103EC2">
        <w:rPr>
          <w:rStyle w:val="a5"/>
          <w:rtl/>
        </w:rPr>
        <w:footnoteReference w:id="3"/>
      </w:r>
    </w:p>
    <w:p w:rsidR="004D7960" w:rsidRDefault="004D7960" w:rsidP="004D7960">
      <w:pPr>
        <w:pStyle w:val="af"/>
        <w:spacing w:before="240" w:line="360" w:lineRule="auto"/>
        <w:jc w:val="center"/>
        <w:rPr>
          <w:b/>
          <w:bCs/>
        </w:rPr>
      </w:pPr>
      <w:r>
        <w:rPr>
          <w:noProof/>
          <w:lang w:eastAsia="en-US"/>
        </w:rPr>
        <w:drawing>
          <wp:inline distT="0" distB="0" distL="0" distR="0" wp14:anchorId="2B92CA2D" wp14:editId="151C6EE8">
            <wp:extent cx="5897308" cy="2359825"/>
            <wp:effectExtent l="0" t="0" r="8255" b="2540"/>
            <wp:docPr id="11" name="תמונה 2" descr="תרשים 4: יתרת סך התיק המנוהל בידי המשקיעים המוסדיים &#10;" title="תרשים 4: יתרת סך התיק המנוהל בידי המשקיעים המוסדי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26174" cy="237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C01" w:rsidRPr="008F626C" w:rsidRDefault="00E53C01" w:rsidP="008F626C">
      <w:pPr>
        <w:pStyle w:val="af"/>
        <w:numPr>
          <w:ilvl w:val="0"/>
          <w:numId w:val="19"/>
        </w:numPr>
        <w:spacing w:before="240" w:line="360" w:lineRule="auto"/>
        <w:jc w:val="both"/>
        <w:rPr>
          <w:b/>
          <w:bCs/>
          <w:rtl/>
        </w:rPr>
      </w:pPr>
      <w:r w:rsidRPr="008F626C">
        <w:rPr>
          <w:b/>
          <w:bCs/>
          <w:rtl/>
        </w:rPr>
        <w:t xml:space="preserve">יתרת התיק המנוהל בידי המשקיעים המוסדיים </w:t>
      </w:r>
      <w:r w:rsidRPr="008F626C">
        <w:rPr>
          <w:rtl/>
        </w:rPr>
        <w:t xml:space="preserve">עלתה ברביע </w:t>
      </w:r>
      <w:r w:rsidRPr="008F626C">
        <w:rPr>
          <w:rFonts w:hint="cs"/>
          <w:rtl/>
        </w:rPr>
        <w:t>הרביעי</w:t>
      </w:r>
      <w:r w:rsidRPr="008F626C">
        <w:rPr>
          <w:rtl/>
        </w:rPr>
        <w:t xml:space="preserve"> של שנת 2019 בכ-</w:t>
      </w:r>
      <w:r w:rsidRPr="008F626C">
        <w:rPr>
          <w:rFonts w:hint="cs"/>
          <w:rtl/>
        </w:rPr>
        <w:t>78</w:t>
      </w:r>
      <w:r w:rsidRPr="008F626C">
        <w:rPr>
          <w:rtl/>
        </w:rPr>
        <w:t xml:space="preserve"> מיליארדי </w:t>
      </w:r>
      <w:r w:rsidRPr="008F626C">
        <w:rPr>
          <w:rFonts w:hint="cs"/>
          <w:rtl/>
        </w:rPr>
        <w:t>ש"ח</w:t>
      </w:r>
      <w:r w:rsidRPr="008F626C">
        <w:rPr>
          <w:rtl/>
        </w:rPr>
        <w:t xml:space="preserve"> (</w:t>
      </w:r>
      <w:r w:rsidRPr="008F626C">
        <w:rPr>
          <w:rFonts w:hint="cs"/>
          <w:rtl/>
        </w:rPr>
        <w:t>4.2</w:t>
      </w:r>
      <w:r w:rsidRPr="008F626C">
        <w:rPr>
          <w:rtl/>
        </w:rPr>
        <w:t>%) לרמה של כ-1.</w:t>
      </w:r>
      <w:r w:rsidRPr="008F626C">
        <w:rPr>
          <w:rFonts w:hint="cs"/>
          <w:rtl/>
        </w:rPr>
        <w:t>91</w:t>
      </w:r>
      <w:r w:rsidRPr="008F626C">
        <w:rPr>
          <w:rtl/>
        </w:rPr>
        <w:t xml:space="preserve"> טריליונים</w:t>
      </w:r>
      <w:r w:rsidRPr="008F626C">
        <w:rPr>
          <w:rFonts w:hint="cs"/>
          <w:rtl/>
        </w:rPr>
        <w:t xml:space="preserve"> (46.</w:t>
      </w:r>
      <w:r w:rsidR="007E390C" w:rsidRPr="008F626C">
        <w:rPr>
          <w:rFonts w:hint="cs"/>
          <w:rtl/>
        </w:rPr>
        <w:t>8</w:t>
      </w:r>
      <w:r w:rsidRPr="008F626C">
        <w:rPr>
          <w:rFonts w:hint="cs"/>
          <w:rtl/>
        </w:rPr>
        <w:t>% מסך תיק הנכסים הפיננסים של הציבור). סה"כ עלייה של כ-275 מיליארדי ש"ח (16.8%) בארבעת הרביעים האחרונים. עיקר העלייה</w:t>
      </w:r>
      <w:r w:rsidRPr="008F626C">
        <w:rPr>
          <w:rtl/>
        </w:rPr>
        <w:t xml:space="preserve"> ביתרת התיק</w:t>
      </w:r>
      <w:r w:rsidRPr="008F626C">
        <w:rPr>
          <w:rFonts w:hint="cs"/>
          <w:rtl/>
        </w:rPr>
        <w:t>, במהלך הרביע,</w:t>
      </w:r>
      <w:r w:rsidRPr="008F626C">
        <w:rPr>
          <w:rtl/>
        </w:rPr>
        <w:t xml:space="preserve"> נבעה מעלייה</w:t>
      </w:r>
      <w:r w:rsidR="008F626C" w:rsidRPr="008F626C">
        <w:rPr>
          <w:rFonts w:hint="cs"/>
          <w:rtl/>
        </w:rPr>
        <w:t xml:space="preserve"> ביתרת ההחזקה בהשקעות בחו"ל (33.6 מיליארדים, 8.5%) ובאג"ח הממשלתיות והמק"מ (19.1 מיליארדים, 2.5%).</w:t>
      </w:r>
      <w:r w:rsidRPr="008F626C">
        <w:rPr>
          <w:rtl/>
        </w:rPr>
        <w:t xml:space="preserve"> </w:t>
      </w:r>
      <w:r w:rsidR="008F626C" w:rsidRPr="008F626C">
        <w:rPr>
          <w:rFonts w:hint="cs"/>
          <w:rtl/>
        </w:rPr>
        <w:t xml:space="preserve"> </w:t>
      </w:r>
    </w:p>
    <w:p w:rsidR="004A1707" w:rsidRPr="004A1707" w:rsidRDefault="004A1707" w:rsidP="004A1707">
      <w:pPr>
        <w:pStyle w:val="af"/>
        <w:spacing w:before="240" w:line="360" w:lineRule="auto"/>
        <w:jc w:val="both"/>
      </w:pPr>
    </w:p>
    <w:p w:rsidR="004A1707" w:rsidRDefault="007C2B07" w:rsidP="004A1707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4A1707">
        <w:rPr>
          <w:rFonts w:hint="cs"/>
          <w:b/>
          <w:bCs/>
          <w:rtl/>
        </w:rPr>
        <w:t>חשיפת התיק המנוהל בידי המשקיעים המוסדיים</w:t>
      </w:r>
      <w:r>
        <w:rPr>
          <w:rStyle w:val="a5"/>
          <w:b/>
          <w:bCs/>
          <w:rtl/>
        </w:rPr>
        <w:footnoteReference w:id="4"/>
      </w:r>
      <w:r w:rsidRPr="004A1707">
        <w:rPr>
          <w:rFonts w:hint="cs"/>
          <w:b/>
          <w:bCs/>
          <w:rtl/>
        </w:rPr>
        <w:t xml:space="preserve"> לנכסים זרים ולמט"ח</w:t>
      </w:r>
      <w:r w:rsidR="004A1707">
        <w:rPr>
          <w:rFonts w:hint="cs"/>
          <w:b/>
          <w:bCs/>
          <w:rtl/>
        </w:rPr>
        <w:t>:</w:t>
      </w:r>
    </w:p>
    <w:p w:rsidR="008F626C" w:rsidRDefault="008F626C" w:rsidP="00ED2FCB">
      <w:pPr>
        <w:spacing w:before="240" w:line="360" w:lineRule="auto"/>
        <w:ind w:left="720"/>
        <w:jc w:val="both"/>
        <w:outlineLvl w:val="0"/>
        <w:rPr>
          <w:rtl/>
        </w:rPr>
      </w:pPr>
      <w:r w:rsidRPr="008F626C">
        <w:rPr>
          <w:rtl/>
        </w:rPr>
        <w:t>ברביע הרביעי של שנת 2019 שיעור החשיפה של המשקיעים המוסדיים לנכסים זרים עלה לרמה של כ-29.1% מהתיק, זאת כתוצאה מעלייה גדולה יותר בסך הנכסים הזרים מאשר בסך נכסי ההשקעה. העלי</w:t>
      </w:r>
      <w:r w:rsidR="00ED2FCB">
        <w:rPr>
          <w:rFonts w:hint="cs"/>
          <w:rtl/>
        </w:rPr>
        <w:t>ות</w:t>
      </w:r>
      <w:r w:rsidRPr="008F626C">
        <w:rPr>
          <w:rtl/>
        </w:rPr>
        <w:t xml:space="preserve"> המשמעותי</w:t>
      </w:r>
      <w:r w:rsidR="00ED2FCB">
        <w:rPr>
          <w:rFonts w:hint="cs"/>
          <w:rtl/>
        </w:rPr>
        <w:t>ו</w:t>
      </w:r>
      <w:r w:rsidRPr="008F626C">
        <w:rPr>
          <w:rtl/>
        </w:rPr>
        <w:t>ת ביותר התרחש</w:t>
      </w:r>
      <w:r w:rsidR="00ED2FCB">
        <w:rPr>
          <w:rFonts w:hint="cs"/>
          <w:rtl/>
        </w:rPr>
        <w:t>ו</w:t>
      </w:r>
      <w:r w:rsidRPr="008F626C">
        <w:rPr>
          <w:rtl/>
        </w:rPr>
        <w:t xml:space="preserve"> אצל </w:t>
      </w:r>
      <w:r w:rsidR="00ED2FCB" w:rsidRPr="00ED2FCB">
        <w:rPr>
          <w:rtl/>
        </w:rPr>
        <w:t>פוליסות ביטוח משתתפות ברווחים</w:t>
      </w:r>
      <w:r w:rsidR="00ED2FCB">
        <w:rPr>
          <w:rFonts w:hint="cs"/>
          <w:rtl/>
        </w:rPr>
        <w:t xml:space="preserve"> </w:t>
      </w:r>
      <w:r w:rsidRPr="008F626C">
        <w:rPr>
          <w:rtl/>
        </w:rPr>
        <w:t>וקרנות הפנסיה החדשות שהגדילו את היקף חשיפתן לנכסים זרים בכ-1.9 ו-0.8 נקודות אחוז עד לרמה של כ-38.3% ו-34% בהתאמה.</w:t>
      </w:r>
    </w:p>
    <w:p w:rsidR="00347124" w:rsidRDefault="008F626C" w:rsidP="00BE17E9">
      <w:pPr>
        <w:spacing w:before="240" w:line="360" w:lineRule="auto"/>
        <w:ind w:left="720"/>
        <w:jc w:val="both"/>
        <w:outlineLvl w:val="0"/>
        <w:rPr>
          <w:b/>
          <w:bCs/>
          <w:rtl/>
        </w:rPr>
      </w:pPr>
      <w:r w:rsidRPr="008F626C">
        <w:rPr>
          <w:rtl/>
        </w:rPr>
        <w:t xml:space="preserve">ברביע הרביעי של השנה עלה שיעור החשיפה למט"ח (כולל </w:t>
      </w:r>
      <w:proofErr w:type="spellStart"/>
      <w:r w:rsidRPr="008F626C">
        <w:rPr>
          <w:rtl/>
        </w:rPr>
        <w:t>נגזרי</w:t>
      </w:r>
      <w:proofErr w:type="spellEnd"/>
      <w:r w:rsidRPr="008F626C">
        <w:rPr>
          <w:rtl/>
        </w:rPr>
        <w:t xml:space="preserve"> ש"ח/מט"ח) בכ-0.2 נקודת אחוז לרמה של כ-16.4%. כמו כן, הגופים המוסדיים רכשו נטו כ-0.9 מיליארדי דולר בנכסים נקובים וצמודים למט"ח (בעיקר במניות בחו"ל). מנגד, ירידה ביתרת העסקאות העתידיות למכירת מט"ח נטו באמצעות מכשירים פיננסים נגזרים של כ-3.7 מיליארדי דולרים.</w:t>
      </w:r>
    </w:p>
    <w:tbl>
      <w:tblPr>
        <w:tblStyle w:val="ae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147"/>
      </w:tblGrid>
      <w:tr w:rsidR="00347124" w:rsidTr="0016073C">
        <w:trPr>
          <w:trHeight w:val="3971"/>
        </w:trPr>
        <w:tc>
          <w:tcPr>
            <w:tcW w:w="5319" w:type="dxa"/>
          </w:tcPr>
          <w:p w:rsidR="00347124" w:rsidRDefault="0016073C" w:rsidP="00347124">
            <w:pPr>
              <w:spacing w:before="240" w:line="360" w:lineRule="auto"/>
              <w:jc w:val="both"/>
              <w:rPr>
                <w:b/>
                <w:bCs/>
                <w:rtl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32E7431D" wp14:editId="6D067F08">
                  <wp:extent cx="3069462" cy="2451798"/>
                  <wp:effectExtent l="0" t="0" r="0" b="5715"/>
                  <wp:docPr id="8" name="תמונה 1" descr="תרשים 5: אומדן תנועות נטו בנכסי מט&quot;ח של המשקיעים המוסדיים מול שינוי בנגזרים ש&quot;ח/מט&quot;ח, מיליארדי דולרים &#10;" title="תרשים 5: אומדן תנועות נטו בנכסי מט&quot;ח של המשקיעים המוסדיים מול שינוי בנגזרים ש&quot;ח/מט&quot;ח, מיליארדי דולרים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972" cy="2460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7" w:type="dxa"/>
          </w:tcPr>
          <w:p w:rsidR="00347124" w:rsidRDefault="0016073C" w:rsidP="0033163E">
            <w:pPr>
              <w:spacing w:before="240" w:line="360" w:lineRule="auto"/>
              <w:jc w:val="both"/>
              <w:rPr>
                <w:b/>
                <w:bCs/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D3BFD28" wp14:editId="516B91CA">
                  <wp:extent cx="3039349" cy="2441750"/>
                  <wp:effectExtent l="0" t="0" r="8890" b="0"/>
                  <wp:docPr id="9" name="תמונה 1" descr="תרשים 6: שיעור החשיפה של המשקיעים המוסדיים לנכסים זרים ולייסוף השקל מול הדולר מסך כל נכסי השקעתם&#10;" title="תרשים 6: שיעור החשיפה של המשקיעים המוסדיים לנכסים זרים ולייסוף השקל מול הדולר מסך כל נכסי השקעת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741" cy="2458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C15" w:rsidRPr="007D55C2" w:rsidRDefault="009B2E23" w:rsidP="009709E0">
      <w:pPr>
        <w:pStyle w:val="1"/>
        <w:numPr>
          <w:ilvl w:val="0"/>
          <w:numId w:val="18"/>
        </w:numPr>
        <w:spacing w:before="240"/>
        <w:rPr>
          <w:rtl/>
        </w:rPr>
      </w:pPr>
      <w:r w:rsidRPr="007D55C2">
        <w:rPr>
          <w:rFonts w:hint="eastAsia"/>
          <w:rtl/>
        </w:rPr>
        <w:t>התיק</w:t>
      </w:r>
      <w:r w:rsidRPr="007D55C2">
        <w:rPr>
          <w:rtl/>
        </w:rPr>
        <w:t xml:space="preserve"> המנוהל באמצעות </w:t>
      </w:r>
      <w:r w:rsidR="0094399B" w:rsidRPr="007D55C2">
        <w:rPr>
          <w:rFonts w:hint="eastAsia"/>
          <w:rtl/>
        </w:rPr>
        <w:t>קרנות</w:t>
      </w:r>
      <w:r w:rsidR="0094399B" w:rsidRPr="007D55C2">
        <w:rPr>
          <w:rtl/>
        </w:rPr>
        <w:t xml:space="preserve"> </w:t>
      </w:r>
      <w:r w:rsidR="0027681B" w:rsidRPr="007D55C2">
        <w:rPr>
          <w:rFonts w:hint="eastAsia"/>
          <w:rtl/>
        </w:rPr>
        <w:t>ה</w:t>
      </w:r>
      <w:r w:rsidR="0094399B" w:rsidRPr="007D55C2">
        <w:rPr>
          <w:rFonts w:hint="eastAsia"/>
          <w:rtl/>
        </w:rPr>
        <w:t>נאמנות</w:t>
      </w:r>
    </w:p>
    <w:p w:rsidR="00E53C01" w:rsidRDefault="00E53C01" w:rsidP="00E53C01">
      <w:pPr>
        <w:spacing w:before="240" w:line="360" w:lineRule="auto"/>
        <w:ind w:left="360"/>
        <w:rPr>
          <w:rtl/>
        </w:rPr>
      </w:pPr>
      <w:r>
        <w:rPr>
          <w:rtl/>
        </w:rPr>
        <w:t xml:space="preserve">היקף התיק המנוהל באמצעות קרנות נאמנות  בארץ עלה ברביע הרביעי של השנה בכ-11.4 מיליארדי ש"ח (3.3%) ועמד בסופו על כ-352.5 מיליארדי ש"ח, </w:t>
      </w:r>
      <w:r w:rsidRPr="00940C2E">
        <w:rPr>
          <w:rtl/>
        </w:rPr>
        <w:t>כ-8.6%</w:t>
      </w:r>
      <w:r>
        <w:rPr>
          <w:rtl/>
        </w:rPr>
        <w:t xml:space="preserve"> מסך תיק הנכסים של הציבור. </w:t>
      </w:r>
    </w:p>
    <w:p w:rsidR="00E53C01" w:rsidRDefault="00E53C01" w:rsidP="00E53C01">
      <w:pPr>
        <w:spacing w:before="240" w:line="360" w:lineRule="auto"/>
        <w:ind w:left="360"/>
        <w:rPr>
          <w:rtl/>
        </w:rPr>
      </w:pPr>
      <w:r>
        <w:rPr>
          <w:rtl/>
        </w:rPr>
        <w:t xml:space="preserve">העלייה ברביע הרביעי נבעה בעיקרה מעליות המחירים בשוק ההון. בנוסף, המשך הפקדות נטו (עודף הפקדות על פדיונות, בניכוי דיבידנד) בקרנות בהיקף של כ-3.3 מיליארדי ש"ח, בהמשך </w:t>
      </w:r>
      <w:r w:rsidR="008F626C">
        <w:rPr>
          <w:rtl/>
        </w:rPr>
        <w:t xml:space="preserve">למגמה של גידול בהפקדות שאפיינה </w:t>
      </w:r>
      <w:r>
        <w:rPr>
          <w:rtl/>
        </w:rPr>
        <w:t>את השנה.</w:t>
      </w:r>
    </w:p>
    <w:p w:rsidR="003F276B" w:rsidRDefault="00E53C01" w:rsidP="00E53C01">
      <w:pPr>
        <w:spacing w:before="240" w:line="360" w:lineRule="auto"/>
        <w:ind w:left="360"/>
        <w:jc w:val="both"/>
        <w:rPr>
          <w:rtl/>
        </w:rPr>
      </w:pPr>
      <w:r>
        <w:rPr>
          <w:rtl/>
        </w:rPr>
        <w:t>עיקר ההפקדות נרשמו בקרנות המתמחות באג"ח בארץ (מדינה, חברות וכללי) בהיקף של כ-4.5 מיליארדי ש"ח. בנוסף, בלטו ההפקדות בקרנות המתמחות במניות בארץ בהיקף של כמיליארד ש"ח. מנגד, בקרנות המתמחות במניות בחו"ל נרשמו פדיונות של כ-2.8 מיליארדי ש"ח.</w:t>
      </w:r>
    </w:p>
    <w:p w:rsidR="00CA3E19" w:rsidRPr="009444D3" w:rsidRDefault="009444D3" w:rsidP="009709E0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u w:val="single"/>
          <w:rtl/>
        </w:rPr>
      </w:pPr>
      <w:r w:rsidRPr="009444D3">
        <w:rPr>
          <w:rFonts w:hint="cs"/>
          <w:b/>
          <w:bCs/>
          <w:u w:val="single"/>
          <w:rtl/>
        </w:rPr>
        <w:t>למידע נוסף:</w:t>
      </w:r>
    </w:p>
    <w:p w:rsidR="00436816" w:rsidRPr="00436816" w:rsidRDefault="00436816" w:rsidP="009709E0">
      <w:pPr>
        <w:autoSpaceDE w:val="0"/>
        <w:autoSpaceDN w:val="0"/>
        <w:adjustRightInd w:val="0"/>
        <w:spacing w:before="240" w:line="360" w:lineRule="auto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</w:t>
      </w:r>
      <w:r w:rsidR="006D3812" w:rsidRPr="00436816">
        <w:rPr>
          <w:rFonts w:hint="cs"/>
          <w:rtl/>
        </w:rPr>
        <w:t>תיק הנכסים</w:t>
      </w:r>
      <w:r w:rsidRPr="00436816">
        <w:rPr>
          <w:rFonts w:hint="cs"/>
          <w:rtl/>
        </w:rPr>
        <w:t xml:space="preserve"> לחץ </w:t>
      </w:r>
      <w:hyperlink r:id="rId18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="006D3812" w:rsidRPr="00436816">
        <w:rPr>
          <w:rFonts w:hint="cs"/>
          <w:rtl/>
        </w:rPr>
        <w:t xml:space="preserve">. </w:t>
      </w:r>
    </w:p>
    <w:p w:rsidR="00436816" w:rsidRPr="00436816" w:rsidRDefault="00436816" w:rsidP="009709E0">
      <w:pPr>
        <w:spacing w:before="240" w:line="360" w:lineRule="auto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נתוני חשיפה למט"ח ולזרים של המשקיעים המוסדיים לחץ </w:t>
      </w:r>
      <w:hyperlink r:id="rId19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 xml:space="preserve">. </w:t>
      </w:r>
    </w:p>
    <w:p w:rsidR="00BF0A57" w:rsidRDefault="00436816" w:rsidP="009709E0">
      <w:pPr>
        <w:autoSpaceDE w:val="0"/>
        <w:autoSpaceDN w:val="0"/>
        <w:adjustRightInd w:val="0"/>
        <w:spacing w:before="240" w:line="360" w:lineRule="auto"/>
        <w:jc w:val="both"/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קרנות הנאמנות לחץ </w:t>
      </w:r>
      <w:hyperlink r:id="rId20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>.</w:t>
      </w:r>
      <w:bookmarkStart w:id="0" w:name="_GoBack"/>
      <w:bookmarkEnd w:id="0"/>
    </w:p>
    <w:sectPr w:rsidR="00BF0A57" w:rsidSect="003F7C50">
      <w:headerReference w:type="default" r:id="rId21"/>
      <w:footerReference w:type="even" r:id="rId22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846" w:rsidRDefault="00426846">
      <w:r>
        <w:separator/>
      </w:r>
    </w:p>
  </w:endnote>
  <w:endnote w:type="continuationSeparator" w:id="0">
    <w:p w:rsidR="00426846" w:rsidRDefault="00426846">
      <w:r>
        <w:continuationSeparator/>
      </w:r>
    </w:p>
  </w:endnote>
  <w:endnote w:type="continuationNotice" w:id="1">
    <w:p w:rsidR="00426846" w:rsidRDefault="00426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4530BD">
    <w:pPr>
      <w:pStyle w:val="a6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2E23BA" w:rsidRDefault="002E23BA" w:rsidP="005F72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846" w:rsidRDefault="00426846">
      <w:r>
        <w:separator/>
      </w:r>
    </w:p>
  </w:footnote>
  <w:footnote w:type="continuationSeparator" w:id="0">
    <w:p w:rsidR="00426846" w:rsidRDefault="00426846">
      <w:r>
        <w:continuationSeparator/>
      </w:r>
    </w:p>
  </w:footnote>
  <w:footnote w:type="continuationNotice" w:id="1">
    <w:p w:rsidR="00426846" w:rsidRDefault="00426846"/>
  </w:footnote>
  <w:footnote w:id="2">
    <w:p w:rsidR="002B4D96" w:rsidRPr="000A525E" w:rsidRDefault="002B4D96" w:rsidP="002B4D96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הסבר למושגים בלוח האינדיקטורים באתר - </w:t>
      </w:r>
      <w:hyperlink r:id="rId1" w:history="1">
        <w:r w:rsidRPr="00315B24">
          <w:rPr>
            <w:rStyle w:val="Hyperlink"/>
          </w:rPr>
          <w:t>https://www.boi.org.il/he/DataAndStatistics/Pages/MainPage.aspx?Level=3&amp;Sid=47&amp;SubjectType=2</w:t>
        </w:r>
      </w:hyperlink>
    </w:p>
  </w:footnote>
  <w:footnote w:id="3">
    <w:p w:rsidR="002E23BA" w:rsidRDefault="002E23B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ללא קרנות הנאמנות</w:t>
      </w:r>
    </w:p>
  </w:footnote>
  <w:footnote w:id="4">
    <w:p w:rsidR="002E23BA" w:rsidRDefault="002E23BA" w:rsidP="00377914">
      <w:pPr>
        <w:pStyle w:val="a3"/>
        <w:rPr>
          <w:rtl/>
        </w:rPr>
      </w:pPr>
      <w:r w:rsidRPr="00794343">
        <w:rPr>
          <w:rStyle w:val="a5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  <w:r w:rsidR="00377914">
        <w:rPr>
          <w:rFonts w:hint="cs"/>
          <w:rtl/>
        </w:rPr>
        <w:t xml:space="preserve"> </w:t>
      </w:r>
      <w:r w:rsidR="00377914" w:rsidRPr="00377914">
        <w:rPr>
          <w:rFonts w:hint="cs"/>
          <w:rtl/>
        </w:rPr>
        <w:t>לפירוט נוסף של הגדרות, מושגים והסברים, ראו את "מדידת החשיפות של המשקיעים המוסדיים למט"ח ולנכסים זרים" בפרסום 'מבט סטטיסטי 2016'.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057FBC">
    <w:pPr>
      <w:pStyle w:val="aa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A851AA4"/>
    <w:multiLevelType w:val="hybridMultilevel"/>
    <w:tmpl w:val="4F74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777FDE"/>
    <w:multiLevelType w:val="hybridMultilevel"/>
    <w:tmpl w:val="FDC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15"/>
  </w:num>
  <w:num w:numId="5">
    <w:abstractNumId w:val="11"/>
  </w:num>
  <w:num w:numId="6">
    <w:abstractNumId w:val="17"/>
  </w:num>
  <w:num w:numId="7">
    <w:abstractNumId w:val="13"/>
  </w:num>
  <w:num w:numId="8">
    <w:abstractNumId w:val="20"/>
  </w:num>
  <w:num w:numId="9">
    <w:abstractNumId w:val="2"/>
  </w:num>
  <w:num w:numId="10">
    <w:abstractNumId w:val="9"/>
  </w:num>
  <w:num w:numId="11">
    <w:abstractNumId w:val="22"/>
  </w:num>
  <w:num w:numId="12">
    <w:abstractNumId w:val="0"/>
  </w:num>
  <w:num w:numId="13">
    <w:abstractNumId w:val="16"/>
  </w:num>
  <w:num w:numId="14">
    <w:abstractNumId w:val="5"/>
  </w:num>
  <w:num w:numId="15">
    <w:abstractNumId w:val="18"/>
  </w:num>
  <w:num w:numId="16">
    <w:abstractNumId w:val="6"/>
  </w:num>
  <w:num w:numId="17">
    <w:abstractNumId w:val="10"/>
  </w:num>
  <w:num w:numId="18">
    <w:abstractNumId w:val="19"/>
  </w:num>
  <w:num w:numId="19">
    <w:abstractNumId w:val="4"/>
  </w:num>
  <w:num w:numId="20">
    <w:abstractNumId w:val="1"/>
  </w:num>
  <w:num w:numId="21">
    <w:abstractNumId w:val="7"/>
  </w:num>
  <w:num w:numId="22">
    <w:abstractNumId w:val="14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6"/>
    <w:rsid w:val="0000050F"/>
    <w:rsid w:val="00000F00"/>
    <w:rsid w:val="00001754"/>
    <w:rsid w:val="000017DF"/>
    <w:rsid w:val="00001C31"/>
    <w:rsid w:val="000020FA"/>
    <w:rsid w:val="000022B8"/>
    <w:rsid w:val="000026DB"/>
    <w:rsid w:val="00002A43"/>
    <w:rsid w:val="0000402C"/>
    <w:rsid w:val="000043D3"/>
    <w:rsid w:val="00005815"/>
    <w:rsid w:val="00005EA0"/>
    <w:rsid w:val="000060F2"/>
    <w:rsid w:val="00006D46"/>
    <w:rsid w:val="00007808"/>
    <w:rsid w:val="00010E95"/>
    <w:rsid w:val="000115E8"/>
    <w:rsid w:val="00011802"/>
    <w:rsid w:val="000119A8"/>
    <w:rsid w:val="00011A9F"/>
    <w:rsid w:val="00011ADC"/>
    <w:rsid w:val="00011D23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17C95"/>
    <w:rsid w:val="00017CED"/>
    <w:rsid w:val="0002118E"/>
    <w:rsid w:val="000217DC"/>
    <w:rsid w:val="00022355"/>
    <w:rsid w:val="000226B0"/>
    <w:rsid w:val="000232FA"/>
    <w:rsid w:val="00023EE3"/>
    <w:rsid w:val="00024D12"/>
    <w:rsid w:val="000257F0"/>
    <w:rsid w:val="000259E9"/>
    <w:rsid w:val="00026858"/>
    <w:rsid w:val="000269A7"/>
    <w:rsid w:val="00026B30"/>
    <w:rsid w:val="00027B8D"/>
    <w:rsid w:val="00031281"/>
    <w:rsid w:val="00031461"/>
    <w:rsid w:val="000334C7"/>
    <w:rsid w:val="00033B6E"/>
    <w:rsid w:val="000343D2"/>
    <w:rsid w:val="00035581"/>
    <w:rsid w:val="00035951"/>
    <w:rsid w:val="00035DA9"/>
    <w:rsid w:val="0003643B"/>
    <w:rsid w:val="0003655D"/>
    <w:rsid w:val="00037CA6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50E7"/>
    <w:rsid w:val="00045462"/>
    <w:rsid w:val="000458D4"/>
    <w:rsid w:val="00046F09"/>
    <w:rsid w:val="000471D2"/>
    <w:rsid w:val="00047E41"/>
    <w:rsid w:val="0005021A"/>
    <w:rsid w:val="00051250"/>
    <w:rsid w:val="00051E43"/>
    <w:rsid w:val="000526A0"/>
    <w:rsid w:val="00052A72"/>
    <w:rsid w:val="00053087"/>
    <w:rsid w:val="00053461"/>
    <w:rsid w:val="000536B9"/>
    <w:rsid w:val="00054020"/>
    <w:rsid w:val="00054513"/>
    <w:rsid w:val="000546A3"/>
    <w:rsid w:val="00054CF0"/>
    <w:rsid w:val="00055921"/>
    <w:rsid w:val="000559EC"/>
    <w:rsid w:val="00055A9E"/>
    <w:rsid w:val="000564D4"/>
    <w:rsid w:val="000564E4"/>
    <w:rsid w:val="00056736"/>
    <w:rsid w:val="00056C8C"/>
    <w:rsid w:val="00056FB0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20EE"/>
    <w:rsid w:val="00062277"/>
    <w:rsid w:val="0006250C"/>
    <w:rsid w:val="00062933"/>
    <w:rsid w:val="00063A3F"/>
    <w:rsid w:val="00063EA2"/>
    <w:rsid w:val="00064EC7"/>
    <w:rsid w:val="00065EE2"/>
    <w:rsid w:val="00066482"/>
    <w:rsid w:val="00067385"/>
    <w:rsid w:val="00067625"/>
    <w:rsid w:val="00067ADF"/>
    <w:rsid w:val="00070610"/>
    <w:rsid w:val="00071052"/>
    <w:rsid w:val="00072355"/>
    <w:rsid w:val="000723D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919"/>
    <w:rsid w:val="00080C91"/>
    <w:rsid w:val="00080C9F"/>
    <w:rsid w:val="0008142A"/>
    <w:rsid w:val="00081868"/>
    <w:rsid w:val="00081BD3"/>
    <w:rsid w:val="000820EA"/>
    <w:rsid w:val="00083BDF"/>
    <w:rsid w:val="000842B9"/>
    <w:rsid w:val="000857FF"/>
    <w:rsid w:val="00085961"/>
    <w:rsid w:val="00085EA2"/>
    <w:rsid w:val="00086B1C"/>
    <w:rsid w:val="00091353"/>
    <w:rsid w:val="0009142D"/>
    <w:rsid w:val="00091F3F"/>
    <w:rsid w:val="00092CA7"/>
    <w:rsid w:val="000932F3"/>
    <w:rsid w:val="00093351"/>
    <w:rsid w:val="000938AA"/>
    <w:rsid w:val="00093A9E"/>
    <w:rsid w:val="00093D73"/>
    <w:rsid w:val="00094759"/>
    <w:rsid w:val="00095076"/>
    <w:rsid w:val="00096A08"/>
    <w:rsid w:val="000970F0"/>
    <w:rsid w:val="00097969"/>
    <w:rsid w:val="00097EF9"/>
    <w:rsid w:val="000A09EC"/>
    <w:rsid w:val="000A103B"/>
    <w:rsid w:val="000A1425"/>
    <w:rsid w:val="000A23D5"/>
    <w:rsid w:val="000A2E03"/>
    <w:rsid w:val="000A3210"/>
    <w:rsid w:val="000A3314"/>
    <w:rsid w:val="000A369B"/>
    <w:rsid w:val="000A3DE0"/>
    <w:rsid w:val="000A4097"/>
    <w:rsid w:val="000A40CD"/>
    <w:rsid w:val="000A4194"/>
    <w:rsid w:val="000A48F4"/>
    <w:rsid w:val="000A4B2A"/>
    <w:rsid w:val="000A5014"/>
    <w:rsid w:val="000A51C9"/>
    <w:rsid w:val="000A525E"/>
    <w:rsid w:val="000A56C6"/>
    <w:rsid w:val="000A5D67"/>
    <w:rsid w:val="000A62F8"/>
    <w:rsid w:val="000A689F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436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87D"/>
    <w:rsid w:val="000C6588"/>
    <w:rsid w:val="000C6A74"/>
    <w:rsid w:val="000C6B67"/>
    <w:rsid w:val="000C6D4D"/>
    <w:rsid w:val="000C6FB6"/>
    <w:rsid w:val="000C7167"/>
    <w:rsid w:val="000C71D9"/>
    <w:rsid w:val="000C7DEF"/>
    <w:rsid w:val="000C7F6E"/>
    <w:rsid w:val="000C7FD1"/>
    <w:rsid w:val="000C7FF0"/>
    <w:rsid w:val="000D1209"/>
    <w:rsid w:val="000D17E1"/>
    <w:rsid w:val="000D22CB"/>
    <w:rsid w:val="000D26F6"/>
    <w:rsid w:val="000D2E97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E48"/>
    <w:rsid w:val="000D4F71"/>
    <w:rsid w:val="000D6B53"/>
    <w:rsid w:val="000D6BCE"/>
    <w:rsid w:val="000D6E59"/>
    <w:rsid w:val="000D6FF2"/>
    <w:rsid w:val="000D740E"/>
    <w:rsid w:val="000E1096"/>
    <w:rsid w:val="000E1501"/>
    <w:rsid w:val="000E2A02"/>
    <w:rsid w:val="000E2B66"/>
    <w:rsid w:val="000E3C52"/>
    <w:rsid w:val="000E4275"/>
    <w:rsid w:val="000E46C2"/>
    <w:rsid w:val="000E5137"/>
    <w:rsid w:val="000E53AB"/>
    <w:rsid w:val="000E5A26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2B48"/>
    <w:rsid w:val="000F2BA7"/>
    <w:rsid w:val="000F35DD"/>
    <w:rsid w:val="000F4780"/>
    <w:rsid w:val="000F5F96"/>
    <w:rsid w:val="000F6504"/>
    <w:rsid w:val="000F6CAC"/>
    <w:rsid w:val="000F7611"/>
    <w:rsid w:val="00100334"/>
    <w:rsid w:val="00100611"/>
    <w:rsid w:val="001006AD"/>
    <w:rsid w:val="00100FA0"/>
    <w:rsid w:val="00101362"/>
    <w:rsid w:val="00101E9A"/>
    <w:rsid w:val="00101EB2"/>
    <w:rsid w:val="00103128"/>
    <w:rsid w:val="00103942"/>
    <w:rsid w:val="00103C1F"/>
    <w:rsid w:val="00103EC2"/>
    <w:rsid w:val="00104AED"/>
    <w:rsid w:val="00104CDD"/>
    <w:rsid w:val="001056DE"/>
    <w:rsid w:val="0010593A"/>
    <w:rsid w:val="0010631E"/>
    <w:rsid w:val="0011075A"/>
    <w:rsid w:val="00110DFF"/>
    <w:rsid w:val="00110E4D"/>
    <w:rsid w:val="00111053"/>
    <w:rsid w:val="00111078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301EF"/>
    <w:rsid w:val="00130C8C"/>
    <w:rsid w:val="00131E7F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284"/>
    <w:rsid w:val="00136442"/>
    <w:rsid w:val="00136C0F"/>
    <w:rsid w:val="0013726C"/>
    <w:rsid w:val="001378C4"/>
    <w:rsid w:val="00140B27"/>
    <w:rsid w:val="00140F79"/>
    <w:rsid w:val="00141F2B"/>
    <w:rsid w:val="00142236"/>
    <w:rsid w:val="00142F75"/>
    <w:rsid w:val="00143E3B"/>
    <w:rsid w:val="00144B17"/>
    <w:rsid w:val="0014542F"/>
    <w:rsid w:val="001455EF"/>
    <w:rsid w:val="00145791"/>
    <w:rsid w:val="00146AF6"/>
    <w:rsid w:val="00146FCA"/>
    <w:rsid w:val="00147410"/>
    <w:rsid w:val="0014743C"/>
    <w:rsid w:val="00150373"/>
    <w:rsid w:val="00150AD5"/>
    <w:rsid w:val="00150BFB"/>
    <w:rsid w:val="00150E47"/>
    <w:rsid w:val="001510D5"/>
    <w:rsid w:val="00151D1D"/>
    <w:rsid w:val="0015236A"/>
    <w:rsid w:val="00152F2D"/>
    <w:rsid w:val="00154533"/>
    <w:rsid w:val="001553C3"/>
    <w:rsid w:val="001555E5"/>
    <w:rsid w:val="00155623"/>
    <w:rsid w:val="001558E4"/>
    <w:rsid w:val="0015662F"/>
    <w:rsid w:val="00156C5F"/>
    <w:rsid w:val="00156D03"/>
    <w:rsid w:val="001574CD"/>
    <w:rsid w:val="00157B5D"/>
    <w:rsid w:val="00157C66"/>
    <w:rsid w:val="00157E94"/>
    <w:rsid w:val="00160292"/>
    <w:rsid w:val="001602C1"/>
    <w:rsid w:val="0016073C"/>
    <w:rsid w:val="001607A3"/>
    <w:rsid w:val="00160CCF"/>
    <w:rsid w:val="001613B9"/>
    <w:rsid w:val="00161545"/>
    <w:rsid w:val="0016191B"/>
    <w:rsid w:val="00161BE9"/>
    <w:rsid w:val="00162774"/>
    <w:rsid w:val="00162F67"/>
    <w:rsid w:val="00163E3F"/>
    <w:rsid w:val="0016427F"/>
    <w:rsid w:val="00164788"/>
    <w:rsid w:val="00164A39"/>
    <w:rsid w:val="00165449"/>
    <w:rsid w:val="00166430"/>
    <w:rsid w:val="00167682"/>
    <w:rsid w:val="00167C6D"/>
    <w:rsid w:val="001707D5"/>
    <w:rsid w:val="00170A50"/>
    <w:rsid w:val="00171BAA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BE7"/>
    <w:rsid w:val="00176DA9"/>
    <w:rsid w:val="001776A3"/>
    <w:rsid w:val="00180284"/>
    <w:rsid w:val="00180446"/>
    <w:rsid w:val="001804EC"/>
    <w:rsid w:val="00180C9F"/>
    <w:rsid w:val="00180FBD"/>
    <w:rsid w:val="001816FC"/>
    <w:rsid w:val="00181977"/>
    <w:rsid w:val="00181A28"/>
    <w:rsid w:val="00182280"/>
    <w:rsid w:val="00182E73"/>
    <w:rsid w:val="001833A6"/>
    <w:rsid w:val="00183A6E"/>
    <w:rsid w:val="00183C5D"/>
    <w:rsid w:val="001840D3"/>
    <w:rsid w:val="00184396"/>
    <w:rsid w:val="00184453"/>
    <w:rsid w:val="001844D8"/>
    <w:rsid w:val="00184509"/>
    <w:rsid w:val="00184649"/>
    <w:rsid w:val="001857A4"/>
    <w:rsid w:val="001859DC"/>
    <w:rsid w:val="00185C55"/>
    <w:rsid w:val="00186B53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EA"/>
    <w:rsid w:val="00192E44"/>
    <w:rsid w:val="00194180"/>
    <w:rsid w:val="001949E8"/>
    <w:rsid w:val="00194CB7"/>
    <w:rsid w:val="0019565E"/>
    <w:rsid w:val="00196A7F"/>
    <w:rsid w:val="00197842"/>
    <w:rsid w:val="00197A7E"/>
    <w:rsid w:val="00197D0B"/>
    <w:rsid w:val="001A095A"/>
    <w:rsid w:val="001A0A07"/>
    <w:rsid w:val="001A0AAC"/>
    <w:rsid w:val="001A0CCC"/>
    <w:rsid w:val="001A176C"/>
    <w:rsid w:val="001A17E8"/>
    <w:rsid w:val="001A1A30"/>
    <w:rsid w:val="001A21B6"/>
    <w:rsid w:val="001A2D45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6333"/>
    <w:rsid w:val="001A70BD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C99"/>
    <w:rsid w:val="001B6E57"/>
    <w:rsid w:val="001B71BE"/>
    <w:rsid w:val="001B7370"/>
    <w:rsid w:val="001B7547"/>
    <w:rsid w:val="001B7675"/>
    <w:rsid w:val="001B7E7B"/>
    <w:rsid w:val="001C0856"/>
    <w:rsid w:val="001C1347"/>
    <w:rsid w:val="001C18C5"/>
    <w:rsid w:val="001C1CA1"/>
    <w:rsid w:val="001C264C"/>
    <w:rsid w:val="001C33AA"/>
    <w:rsid w:val="001C46CF"/>
    <w:rsid w:val="001C6A98"/>
    <w:rsid w:val="001C6F8F"/>
    <w:rsid w:val="001C7B52"/>
    <w:rsid w:val="001C7E12"/>
    <w:rsid w:val="001D08C2"/>
    <w:rsid w:val="001D109B"/>
    <w:rsid w:val="001D115C"/>
    <w:rsid w:val="001D15A4"/>
    <w:rsid w:val="001D15FD"/>
    <w:rsid w:val="001D1B66"/>
    <w:rsid w:val="001D23E6"/>
    <w:rsid w:val="001D301D"/>
    <w:rsid w:val="001D3185"/>
    <w:rsid w:val="001D333B"/>
    <w:rsid w:val="001D37CD"/>
    <w:rsid w:val="001D3E93"/>
    <w:rsid w:val="001D3EA3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781"/>
    <w:rsid w:val="001D6866"/>
    <w:rsid w:val="001D7439"/>
    <w:rsid w:val="001D76B2"/>
    <w:rsid w:val="001D7970"/>
    <w:rsid w:val="001E02E6"/>
    <w:rsid w:val="001E25EF"/>
    <w:rsid w:val="001E2E5B"/>
    <w:rsid w:val="001E2E95"/>
    <w:rsid w:val="001E31AC"/>
    <w:rsid w:val="001E42B4"/>
    <w:rsid w:val="001E47F2"/>
    <w:rsid w:val="001E4FB1"/>
    <w:rsid w:val="001E5746"/>
    <w:rsid w:val="001E5953"/>
    <w:rsid w:val="001E5B84"/>
    <w:rsid w:val="001E5D0A"/>
    <w:rsid w:val="001E5EF4"/>
    <w:rsid w:val="001E6A6C"/>
    <w:rsid w:val="001E7B49"/>
    <w:rsid w:val="001E7CD6"/>
    <w:rsid w:val="001F043C"/>
    <w:rsid w:val="001F0470"/>
    <w:rsid w:val="001F0485"/>
    <w:rsid w:val="001F0DF7"/>
    <w:rsid w:val="001F1C05"/>
    <w:rsid w:val="001F2087"/>
    <w:rsid w:val="001F2235"/>
    <w:rsid w:val="001F3308"/>
    <w:rsid w:val="001F3A15"/>
    <w:rsid w:val="001F4211"/>
    <w:rsid w:val="001F4BA3"/>
    <w:rsid w:val="001F4DAA"/>
    <w:rsid w:val="001F4DD2"/>
    <w:rsid w:val="001F56B7"/>
    <w:rsid w:val="001F5733"/>
    <w:rsid w:val="001F5796"/>
    <w:rsid w:val="001F5900"/>
    <w:rsid w:val="001F5E2D"/>
    <w:rsid w:val="001F65E3"/>
    <w:rsid w:val="001F775A"/>
    <w:rsid w:val="002002CD"/>
    <w:rsid w:val="002003C2"/>
    <w:rsid w:val="0020074A"/>
    <w:rsid w:val="002014EE"/>
    <w:rsid w:val="002022CD"/>
    <w:rsid w:val="00202AD2"/>
    <w:rsid w:val="00202D83"/>
    <w:rsid w:val="00202E28"/>
    <w:rsid w:val="00203066"/>
    <w:rsid w:val="002037F1"/>
    <w:rsid w:val="002041BE"/>
    <w:rsid w:val="00205697"/>
    <w:rsid w:val="00205C1F"/>
    <w:rsid w:val="00206954"/>
    <w:rsid w:val="00206CF4"/>
    <w:rsid w:val="00206F1A"/>
    <w:rsid w:val="0020778C"/>
    <w:rsid w:val="0020788C"/>
    <w:rsid w:val="00207B9F"/>
    <w:rsid w:val="002101CA"/>
    <w:rsid w:val="0021069F"/>
    <w:rsid w:val="00210AA3"/>
    <w:rsid w:val="00210E2B"/>
    <w:rsid w:val="002112EA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340"/>
    <w:rsid w:val="00217472"/>
    <w:rsid w:val="002204AB"/>
    <w:rsid w:val="0022173B"/>
    <w:rsid w:val="00221EB5"/>
    <w:rsid w:val="00222821"/>
    <w:rsid w:val="00222BD6"/>
    <w:rsid w:val="002237F8"/>
    <w:rsid w:val="00223C6E"/>
    <w:rsid w:val="00223E9A"/>
    <w:rsid w:val="002252E2"/>
    <w:rsid w:val="00225541"/>
    <w:rsid w:val="002257D7"/>
    <w:rsid w:val="00226017"/>
    <w:rsid w:val="00226B3C"/>
    <w:rsid w:val="00226B99"/>
    <w:rsid w:val="00226D8A"/>
    <w:rsid w:val="00227572"/>
    <w:rsid w:val="00230173"/>
    <w:rsid w:val="00230C10"/>
    <w:rsid w:val="00231761"/>
    <w:rsid w:val="002321B8"/>
    <w:rsid w:val="0023245E"/>
    <w:rsid w:val="0023245F"/>
    <w:rsid w:val="00232A5E"/>
    <w:rsid w:val="00232E06"/>
    <w:rsid w:val="0023327D"/>
    <w:rsid w:val="002339EB"/>
    <w:rsid w:val="00234179"/>
    <w:rsid w:val="0023440A"/>
    <w:rsid w:val="00235DCE"/>
    <w:rsid w:val="00235FBA"/>
    <w:rsid w:val="0023775E"/>
    <w:rsid w:val="002379EF"/>
    <w:rsid w:val="00237C45"/>
    <w:rsid w:val="002403B2"/>
    <w:rsid w:val="00240B61"/>
    <w:rsid w:val="00240D58"/>
    <w:rsid w:val="00241646"/>
    <w:rsid w:val="00241A25"/>
    <w:rsid w:val="00242714"/>
    <w:rsid w:val="002428E6"/>
    <w:rsid w:val="00242961"/>
    <w:rsid w:val="0024359D"/>
    <w:rsid w:val="002435A6"/>
    <w:rsid w:val="0024440A"/>
    <w:rsid w:val="00245554"/>
    <w:rsid w:val="00245655"/>
    <w:rsid w:val="00245A1A"/>
    <w:rsid w:val="0024602D"/>
    <w:rsid w:val="002467E1"/>
    <w:rsid w:val="00247D28"/>
    <w:rsid w:val="00247D86"/>
    <w:rsid w:val="00247E64"/>
    <w:rsid w:val="00247E9A"/>
    <w:rsid w:val="00247F73"/>
    <w:rsid w:val="002501CB"/>
    <w:rsid w:val="002502BC"/>
    <w:rsid w:val="00251056"/>
    <w:rsid w:val="002513AA"/>
    <w:rsid w:val="00251DB5"/>
    <w:rsid w:val="002520C1"/>
    <w:rsid w:val="00252115"/>
    <w:rsid w:val="00252AB5"/>
    <w:rsid w:val="00252F11"/>
    <w:rsid w:val="00253AF8"/>
    <w:rsid w:val="002545E3"/>
    <w:rsid w:val="0025558F"/>
    <w:rsid w:val="002558C4"/>
    <w:rsid w:val="00255C17"/>
    <w:rsid w:val="00256235"/>
    <w:rsid w:val="0025625E"/>
    <w:rsid w:val="00256719"/>
    <w:rsid w:val="002575D2"/>
    <w:rsid w:val="00257B08"/>
    <w:rsid w:val="00257BB1"/>
    <w:rsid w:val="002606CD"/>
    <w:rsid w:val="00260B31"/>
    <w:rsid w:val="00260F4B"/>
    <w:rsid w:val="00261156"/>
    <w:rsid w:val="0026130C"/>
    <w:rsid w:val="00261A2B"/>
    <w:rsid w:val="002627FE"/>
    <w:rsid w:val="0026343B"/>
    <w:rsid w:val="00263E21"/>
    <w:rsid w:val="00263FB2"/>
    <w:rsid w:val="0026446B"/>
    <w:rsid w:val="002645C6"/>
    <w:rsid w:val="002649BD"/>
    <w:rsid w:val="00264EA8"/>
    <w:rsid w:val="002653A0"/>
    <w:rsid w:val="0026547B"/>
    <w:rsid w:val="0026567C"/>
    <w:rsid w:val="00265D1C"/>
    <w:rsid w:val="002665AE"/>
    <w:rsid w:val="002670AD"/>
    <w:rsid w:val="00267453"/>
    <w:rsid w:val="00267A92"/>
    <w:rsid w:val="00270B18"/>
    <w:rsid w:val="002717B2"/>
    <w:rsid w:val="002726E1"/>
    <w:rsid w:val="00272A69"/>
    <w:rsid w:val="00272FF7"/>
    <w:rsid w:val="0027319D"/>
    <w:rsid w:val="002731B0"/>
    <w:rsid w:val="002732E7"/>
    <w:rsid w:val="00273AB3"/>
    <w:rsid w:val="00273AE5"/>
    <w:rsid w:val="002742CF"/>
    <w:rsid w:val="0027468F"/>
    <w:rsid w:val="00274984"/>
    <w:rsid w:val="002757B9"/>
    <w:rsid w:val="002763DF"/>
    <w:rsid w:val="00276480"/>
    <w:rsid w:val="0027678D"/>
    <w:rsid w:val="0027681B"/>
    <w:rsid w:val="002769EE"/>
    <w:rsid w:val="0027784E"/>
    <w:rsid w:val="00277C1E"/>
    <w:rsid w:val="0028096C"/>
    <w:rsid w:val="0028170D"/>
    <w:rsid w:val="00281C89"/>
    <w:rsid w:val="00282C20"/>
    <w:rsid w:val="00283B13"/>
    <w:rsid w:val="002847A5"/>
    <w:rsid w:val="00284BFA"/>
    <w:rsid w:val="00286F30"/>
    <w:rsid w:val="002873E4"/>
    <w:rsid w:val="00290659"/>
    <w:rsid w:val="00290EF0"/>
    <w:rsid w:val="00290FF3"/>
    <w:rsid w:val="0029141A"/>
    <w:rsid w:val="0029185D"/>
    <w:rsid w:val="002923D6"/>
    <w:rsid w:val="00292427"/>
    <w:rsid w:val="00292432"/>
    <w:rsid w:val="00293346"/>
    <w:rsid w:val="00293831"/>
    <w:rsid w:val="002941EA"/>
    <w:rsid w:val="0029432C"/>
    <w:rsid w:val="00295A41"/>
    <w:rsid w:val="00295B3F"/>
    <w:rsid w:val="0029682A"/>
    <w:rsid w:val="0029723C"/>
    <w:rsid w:val="00297583"/>
    <w:rsid w:val="00297B32"/>
    <w:rsid w:val="00297EF8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E4F"/>
    <w:rsid w:val="002B10E2"/>
    <w:rsid w:val="002B120D"/>
    <w:rsid w:val="002B3369"/>
    <w:rsid w:val="002B3BDD"/>
    <w:rsid w:val="002B4998"/>
    <w:rsid w:val="002B49E1"/>
    <w:rsid w:val="002B4D96"/>
    <w:rsid w:val="002B51DF"/>
    <w:rsid w:val="002B566E"/>
    <w:rsid w:val="002B594E"/>
    <w:rsid w:val="002B67EB"/>
    <w:rsid w:val="002B6CDE"/>
    <w:rsid w:val="002B7042"/>
    <w:rsid w:val="002B7732"/>
    <w:rsid w:val="002C08F6"/>
    <w:rsid w:val="002C0EAF"/>
    <w:rsid w:val="002C141D"/>
    <w:rsid w:val="002C14DC"/>
    <w:rsid w:val="002C311A"/>
    <w:rsid w:val="002C3F79"/>
    <w:rsid w:val="002C433B"/>
    <w:rsid w:val="002C47D1"/>
    <w:rsid w:val="002C576B"/>
    <w:rsid w:val="002C5795"/>
    <w:rsid w:val="002C5AD2"/>
    <w:rsid w:val="002C67BC"/>
    <w:rsid w:val="002C6D97"/>
    <w:rsid w:val="002C7B48"/>
    <w:rsid w:val="002D007F"/>
    <w:rsid w:val="002D0458"/>
    <w:rsid w:val="002D0A03"/>
    <w:rsid w:val="002D0C2E"/>
    <w:rsid w:val="002D1100"/>
    <w:rsid w:val="002D2470"/>
    <w:rsid w:val="002D24CA"/>
    <w:rsid w:val="002D2520"/>
    <w:rsid w:val="002D2B1F"/>
    <w:rsid w:val="002D2F52"/>
    <w:rsid w:val="002D35C5"/>
    <w:rsid w:val="002D5C52"/>
    <w:rsid w:val="002D5E9B"/>
    <w:rsid w:val="002D7A01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F00A9"/>
    <w:rsid w:val="002F010B"/>
    <w:rsid w:val="002F044A"/>
    <w:rsid w:val="002F0565"/>
    <w:rsid w:val="002F0602"/>
    <w:rsid w:val="002F0D7B"/>
    <w:rsid w:val="002F0DC3"/>
    <w:rsid w:val="002F1460"/>
    <w:rsid w:val="002F14EE"/>
    <w:rsid w:val="002F18CE"/>
    <w:rsid w:val="002F1A2D"/>
    <w:rsid w:val="002F1B65"/>
    <w:rsid w:val="002F2C4D"/>
    <w:rsid w:val="002F2F3D"/>
    <w:rsid w:val="002F3383"/>
    <w:rsid w:val="002F3B73"/>
    <w:rsid w:val="002F4179"/>
    <w:rsid w:val="002F4E60"/>
    <w:rsid w:val="002F5401"/>
    <w:rsid w:val="002F56BB"/>
    <w:rsid w:val="002F58E6"/>
    <w:rsid w:val="002F5E9B"/>
    <w:rsid w:val="002F6207"/>
    <w:rsid w:val="002F6225"/>
    <w:rsid w:val="002F73C5"/>
    <w:rsid w:val="002F7DA5"/>
    <w:rsid w:val="00300589"/>
    <w:rsid w:val="003006F0"/>
    <w:rsid w:val="00300ACC"/>
    <w:rsid w:val="00300D05"/>
    <w:rsid w:val="00300EBC"/>
    <w:rsid w:val="00300FCB"/>
    <w:rsid w:val="0030227E"/>
    <w:rsid w:val="0030251E"/>
    <w:rsid w:val="0030266C"/>
    <w:rsid w:val="003026F0"/>
    <w:rsid w:val="0030392B"/>
    <w:rsid w:val="00303A9A"/>
    <w:rsid w:val="00303B7F"/>
    <w:rsid w:val="00303E6F"/>
    <w:rsid w:val="00304565"/>
    <w:rsid w:val="00305E19"/>
    <w:rsid w:val="0030620E"/>
    <w:rsid w:val="00306329"/>
    <w:rsid w:val="00306E3F"/>
    <w:rsid w:val="00307811"/>
    <w:rsid w:val="00307A7D"/>
    <w:rsid w:val="00310060"/>
    <w:rsid w:val="00310D00"/>
    <w:rsid w:val="00310DC5"/>
    <w:rsid w:val="00310F6C"/>
    <w:rsid w:val="00311474"/>
    <w:rsid w:val="00311555"/>
    <w:rsid w:val="003125D3"/>
    <w:rsid w:val="00313125"/>
    <w:rsid w:val="0031320B"/>
    <w:rsid w:val="00313272"/>
    <w:rsid w:val="003132AA"/>
    <w:rsid w:val="003139F9"/>
    <w:rsid w:val="003141E6"/>
    <w:rsid w:val="00315E08"/>
    <w:rsid w:val="003160A4"/>
    <w:rsid w:val="00316B0E"/>
    <w:rsid w:val="0031732A"/>
    <w:rsid w:val="00317698"/>
    <w:rsid w:val="00317A35"/>
    <w:rsid w:val="00317AB0"/>
    <w:rsid w:val="00317FB2"/>
    <w:rsid w:val="003202EB"/>
    <w:rsid w:val="003221E0"/>
    <w:rsid w:val="00323EE6"/>
    <w:rsid w:val="00325387"/>
    <w:rsid w:val="003254F3"/>
    <w:rsid w:val="00325CAE"/>
    <w:rsid w:val="00326D9D"/>
    <w:rsid w:val="0032776F"/>
    <w:rsid w:val="00327E2A"/>
    <w:rsid w:val="00327E8E"/>
    <w:rsid w:val="00330BFD"/>
    <w:rsid w:val="0033163E"/>
    <w:rsid w:val="00331B80"/>
    <w:rsid w:val="0033294C"/>
    <w:rsid w:val="00333901"/>
    <w:rsid w:val="00333DA8"/>
    <w:rsid w:val="00333FE1"/>
    <w:rsid w:val="0033465F"/>
    <w:rsid w:val="003350AA"/>
    <w:rsid w:val="00335187"/>
    <w:rsid w:val="003352C5"/>
    <w:rsid w:val="00336423"/>
    <w:rsid w:val="003366F0"/>
    <w:rsid w:val="00337187"/>
    <w:rsid w:val="00337209"/>
    <w:rsid w:val="00337F74"/>
    <w:rsid w:val="003400BF"/>
    <w:rsid w:val="00340176"/>
    <w:rsid w:val="003404BC"/>
    <w:rsid w:val="003407F3"/>
    <w:rsid w:val="00340DB0"/>
    <w:rsid w:val="003410CC"/>
    <w:rsid w:val="00341B5D"/>
    <w:rsid w:val="00341CCF"/>
    <w:rsid w:val="00342128"/>
    <w:rsid w:val="003421EA"/>
    <w:rsid w:val="00342FC2"/>
    <w:rsid w:val="00343285"/>
    <w:rsid w:val="00343418"/>
    <w:rsid w:val="00343F19"/>
    <w:rsid w:val="00344A50"/>
    <w:rsid w:val="0034590D"/>
    <w:rsid w:val="00346595"/>
    <w:rsid w:val="0034683B"/>
    <w:rsid w:val="0034700B"/>
    <w:rsid w:val="00347124"/>
    <w:rsid w:val="00347299"/>
    <w:rsid w:val="003475AD"/>
    <w:rsid w:val="0034768C"/>
    <w:rsid w:val="0035002C"/>
    <w:rsid w:val="00350300"/>
    <w:rsid w:val="00351058"/>
    <w:rsid w:val="003516B6"/>
    <w:rsid w:val="003517D8"/>
    <w:rsid w:val="00351C10"/>
    <w:rsid w:val="0035212D"/>
    <w:rsid w:val="00352ABE"/>
    <w:rsid w:val="00352E75"/>
    <w:rsid w:val="00353174"/>
    <w:rsid w:val="00353A9A"/>
    <w:rsid w:val="00354058"/>
    <w:rsid w:val="00354E9E"/>
    <w:rsid w:val="00355B39"/>
    <w:rsid w:val="00355B3D"/>
    <w:rsid w:val="00355D57"/>
    <w:rsid w:val="0036019C"/>
    <w:rsid w:val="003606FD"/>
    <w:rsid w:val="0036090B"/>
    <w:rsid w:val="00360EE1"/>
    <w:rsid w:val="003624D0"/>
    <w:rsid w:val="00362C17"/>
    <w:rsid w:val="00363003"/>
    <w:rsid w:val="003637B1"/>
    <w:rsid w:val="00363E4A"/>
    <w:rsid w:val="00364258"/>
    <w:rsid w:val="0036442C"/>
    <w:rsid w:val="00364520"/>
    <w:rsid w:val="00364782"/>
    <w:rsid w:val="00364D25"/>
    <w:rsid w:val="00364EED"/>
    <w:rsid w:val="00365B98"/>
    <w:rsid w:val="003673A0"/>
    <w:rsid w:val="00367E60"/>
    <w:rsid w:val="00370832"/>
    <w:rsid w:val="00370B25"/>
    <w:rsid w:val="00371A4B"/>
    <w:rsid w:val="00372C74"/>
    <w:rsid w:val="00374650"/>
    <w:rsid w:val="003746CA"/>
    <w:rsid w:val="003752C4"/>
    <w:rsid w:val="00375341"/>
    <w:rsid w:val="00376947"/>
    <w:rsid w:val="0037722C"/>
    <w:rsid w:val="00377914"/>
    <w:rsid w:val="00377ADA"/>
    <w:rsid w:val="00380DA4"/>
    <w:rsid w:val="00380F38"/>
    <w:rsid w:val="0038110B"/>
    <w:rsid w:val="00381900"/>
    <w:rsid w:val="00382A96"/>
    <w:rsid w:val="0038352D"/>
    <w:rsid w:val="0038352E"/>
    <w:rsid w:val="003838F7"/>
    <w:rsid w:val="00384733"/>
    <w:rsid w:val="00384B1C"/>
    <w:rsid w:val="00384EEC"/>
    <w:rsid w:val="00386C83"/>
    <w:rsid w:val="0038704C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BC3"/>
    <w:rsid w:val="00395FE2"/>
    <w:rsid w:val="003960C5"/>
    <w:rsid w:val="00396787"/>
    <w:rsid w:val="00396B35"/>
    <w:rsid w:val="003971F2"/>
    <w:rsid w:val="00397921"/>
    <w:rsid w:val="003A09C0"/>
    <w:rsid w:val="003A0A0D"/>
    <w:rsid w:val="003A0BD1"/>
    <w:rsid w:val="003A0EA4"/>
    <w:rsid w:val="003A113D"/>
    <w:rsid w:val="003A17D9"/>
    <w:rsid w:val="003A1A1E"/>
    <w:rsid w:val="003A1FCC"/>
    <w:rsid w:val="003A2C39"/>
    <w:rsid w:val="003A353B"/>
    <w:rsid w:val="003A377F"/>
    <w:rsid w:val="003A43E6"/>
    <w:rsid w:val="003A4B9B"/>
    <w:rsid w:val="003A4DF9"/>
    <w:rsid w:val="003A50BB"/>
    <w:rsid w:val="003A624F"/>
    <w:rsid w:val="003A6452"/>
    <w:rsid w:val="003A70ED"/>
    <w:rsid w:val="003A75AC"/>
    <w:rsid w:val="003B0778"/>
    <w:rsid w:val="003B0875"/>
    <w:rsid w:val="003B091C"/>
    <w:rsid w:val="003B0B89"/>
    <w:rsid w:val="003B2263"/>
    <w:rsid w:val="003B24D1"/>
    <w:rsid w:val="003B264E"/>
    <w:rsid w:val="003B3ED7"/>
    <w:rsid w:val="003B437B"/>
    <w:rsid w:val="003B544B"/>
    <w:rsid w:val="003B5649"/>
    <w:rsid w:val="003B57D2"/>
    <w:rsid w:val="003B5B33"/>
    <w:rsid w:val="003B5C34"/>
    <w:rsid w:val="003B5FF2"/>
    <w:rsid w:val="003B64E0"/>
    <w:rsid w:val="003B7C04"/>
    <w:rsid w:val="003C0D88"/>
    <w:rsid w:val="003C12DF"/>
    <w:rsid w:val="003C1469"/>
    <w:rsid w:val="003C2140"/>
    <w:rsid w:val="003C2AEF"/>
    <w:rsid w:val="003C44FB"/>
    <w:rsid w:val="003C52F9"/>
    <w:rsid w:val="003C60AC"/>
    <w:rsid w:val="003C6456"/>
    <w:rsid w:val="003C65A0"/>
    <w:rsid w:val="003C666F"/>
    <w:rsid w:val="003C6B2E"/>
    <w:rsid w:val="003C6D7F"/>
    <w:rsid w:val="003C71DB"/>
    <w:rsid w:val="003C7296"/>
    <w:rsid w:val="003D00BD"/>
    <w:rsid w:val="003D18BB"/>
    <w:rsid w:val="003D236F"/>
    <w:rsid w:val="003D276A"/>
    <w:rsid w:val="003D28E4"/>
    <w:rsid w:val="003D326B"/>
    <w:rsid w:val="003D35E1"/>
    <w:rsid w:val="003D372B"/>
    <w:rsid w:val="003D4315"/>
    <w:rsid w:val="003D4455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B5"/>
    <w:rsid w:val="003D732E"/>
    <w:rsid w:val="003D794C"/>
    <w:rsid w:val="003D7DCE"/>
    <w:rsid w:val="003D7F9A"/>
    <w:rsid w:val="003E052C"/>
    <w:rsid w:val="003E1082"/>
    <w:rsid w:val="003E1856"/>
    <w:rsid w:val="003E2034"/>
    <w:rsid w:val="003E2D61"/>
    <w:rsid w:val="003E433E"/>
    <w:rsid w:val="003E4688"/>
    <w:rsid w:val="003E4E3F"/>
    <w:rsid w:val="003E5194"/>
    <w:rsid w:val="003E536B"/>
    <w:rsid w:val="003E5DA9"/>
    <w:rsid w:val="003E5EDA"/>
    <w:rsid w:val="003E616A"/>
    <w:rsid w:val="003E61C1"/>
    <w:rsid w:val="003E6D70"/>
    <w:rsid w:val="003E740C"/>
    <w:rsid w:val="003E7730"/>
    <w:rsid w:val="003E78C4"/>
    <w:rsid w:val="003F0413"/>
    <w:rsid w:val="003F0F09"/>
    <w:rsid w:val="003F1101"/>
    <w:rsid w:val="003F119B"/>
    <w:rsid w:val="003F193A"/>
    <w:rsid w:val="003F1FF4"/>
    <w:rsid w:val="003F25B5"/>
    <w:rsid w:val="003F276B"/>
    <w:rsid w:val="003F320F"/>
    <w:rsid w:val="003F39ED"/>
    <w:rsid w:val="003F3C90"/>
    <w:rsid w:val="003F4130"/>
    <w:rsid w:val="003F4B94"/>
    <w:rsid w:val="003F4FF9"/>
    <w:rsid w:val="003F56FE"/>
    <w:rsid w:val="003F6511"/>
    <w:rsid w:val="003F76A6"/>
    <w:rsid w:val="003F7C50"/>
    <w:rsid w:val="00400605"/>
    <w:rsid w:val="004011E9"/>
    <w:rsid w:val="004012D8"/>
    <w:rsid w:val="0040139E"/>
    <w:rsid w:val="004017A6"/>
    <w:rsid w:val="004021CE"/>
    <w:rsid w:val="004021D8"/>
    <w:rsid w:val="004031E8"/>
    <w:rsid w:val="004037B0"/>
    <w:rsid w:val="00403972"/>
    <w:rsid w:val="00403BFB"/>
    <w:rsid w:val="0040405E"/>
    <w:rsid w:val="0040499D"/>
    <w:rsid w:val="0040565B"/>
    <w:rsid w:val="004056F3"/>
    <w:rsid w:val="0040667A"/>
    <w:rsid w:val="00406F16"/>
    <w:rsid w:val="004077F7"/>
    <w:rsid w:val="00410237"/>
    <w:rsid w:val="004103EF"/>
    <w:rsid w:val="0041053D"/>
    <w:rsid w:val="0041081C"/>
    <w:rsid w:val="004117A1"/>
    <w:rsid w:val="0041231E"/>
    <w:rsid w:val="00413A2B"/>
    <w:rsid w:val="00413F0A"/>
    <w:rsid w:val="00414C0A"/>
    <w:rsid w:val="004161F0"/>
    <w:rsid w:val="00416525"/>
    <w:rsid w:val="00416F4B"/>
    <w:rsid w:val="00417A04"/>
    <w:rsid w:val="004207C3"/>
    <w:rsid w:val="004211E7"/>
    <w:rsid w:val="004211EB"/>
    <w:rsid w:val="00421A3C"/>
    <w:rsid w:val="00422508"/>
    <w:rsid w:val="00422C7E"/>
    <w:rsid w:val="00423E9F"/>
    <w:rsid w:val="00423FF4"/>
    <w:rsid w:val="004242EF"/>
    <w:rsid w:val="00424A00"/>
    <w:rsid w:val="00425589"/>
    <w:rsid w:val="0042573B"/>
    <w:rsid w:val="00425D74"/>
    <w:rsid w:val="00425E0E"/>
    <w:rsid w:val="004261B5"/>
    <w:rsid w:val="004267EF"/>
    <w:rsid w:val="00426846"/>
    <w:rsid w:val="0042718A"/>
    <w:rsid w:val="0042727F"/>
    <w:rsid w:val="004279A7"/>
    <w:rsid w:val="004279F8"/>
    <w:rsid w:val="00432302"/>
    <w:rsid w:val="004324AC"/>
    <w:rsid w:val="00432AAF"/>
    <w:rsid w:val="00433492"/>
    <w:rsid w:val="00433A8C"/>
    <w:rsid w:val="00433B9F"/>
    <w:rsid w:val="004340A2"/>
    <w:rsid w:val="0043465E"/>
    <w:rsid w:val="00434B2F"/>
    <w:rsid w:val="00434B61"/>
    <w:rsid w:val="00436800"/>
    <w:rsid w:val="00436816"/>
    <w:rsid w:val="004370D8"/>
    <w:rsid w:val="004376A1"/>
    <w:rsid w:val="00437961"/>
    <w:rsid w:val="00440928"/>
    <w:rsid w:val="00440BED"/>
    <w:rsid w:val="004411E9"/>
    <w:rsid w:val="00441BA1"/>
    <w:rsid w:val="004420AD"/>
    <w:rsid w:val="00443224"/>
    <w:rsid w:val="0044337F"/>
    <w:rsid w:val="004437C5"/>
    <w:rsid w:val="0044409B"/>
    <w:rsid w:val="004444F6"/>
    <w:rsid w:val="00444713"/>
    <w:rsid w:val="00444BA9"/>
    <w:rsid w:val="00444C51"/>
    <w:rsid w:val="00444CCE"/>
    <w:rsid w:val="0044534D"/>
    <w:rsid w:val="00446E0B"/>
    <w:rsid w:val="00446F44"/>
    <w:rsid w:val="00447086"/>
    <w:rsid w:val="004475B6"/>
    <w:rsid w:val="00447D54"/>
    <w:rsid w:val="00450711"/>
    <w:rsid w:val="00450CE8"/>
    <w:rsid w:val="004513DF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71F7"/>
    <w:rsid w:val="004573B7"/>
    <w:rsid w:val="0045777A"/>
    <w:rsid w:val="00457B83"/>
    <w:rsid w:val="0046008B"/>
    <w:rsid w:val="0046024D"/>
    <w:rsid w:val="00460297"/>
    <w:rsid w:val="0046112B"/>
    <w:rsid w:val="004617C1"/>
    <w:rsid w:val="004617DB"/>
    <w:rsid w:val="00461B16"/>
    <w:rsid w:val="00461B7F"/>
    <w:rsid w:val="00461D64"/>
    <w:rsid w:val="00462065"/>
    <w:rsid w:val="00462458"/>
    <w:rsid w:val="0046283A"/>
    <w:rsid w:val="004630C4"/>
    <w:rsid w:val="00463177"/>
    <w:rsid w:val="00463C99"/>
    <w:rsid w:val="00464BC6"/>
    <w:rsid w:val="00464FDC"/>
    <w:rsid w:val="00465236"/>
    <w:rsid w:val="004654D6"/>
    <w:rsid w:val="0046655F"/>
    <w:rsid w:val="004669A1"/>
    <w:rsid w:val="004674EA"/>
    <w:rsid w:val="00467542"/>
    <w:rsid w:val="00467AC0"/>
    <w:rsid w:val="00467F7D"/>
    <w:rsid w:val="0047034B"/>
    <w:rsid w:val="00471557"/>
    <w:rsid w:val="00471573"/>
    <w:rsid w:val="004719E2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0908"/>
    <w:rsid w:val="004816F5"/>
    <w:rsid w:val="00482248"/>
    <w:rsid w:val="00482F4E"/>
    <w:rsid w:val="004830F5"/>
    <w:rsid w:val="00483238"/>
    <w:rsid w:val="004837CA"/>
    <w:rsid w:val="004839C5"/>
    <w:rsid w:val="00483D20"/>
    <w:rsid w:val="00484482"/>
    <w:rsid w:val="00484774"/>
    <w:rsid w:val="004848EF"/>
    <w:rsid w:val="00485655"/>
    <w:rsid w:val="00485F4E"/>
    <w:rsid w:val="004860E6"/>
    <w:rsid w:val="00486F4F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595"/>
    <w:rsid w:val="00493A3A"/>
    <w:rsid w:val="00493C39"/>
    <w:rsid w:val="00493F84"/>
    <w:rsid w:val="004946BD"/>
    <w:rsid w:val="00495917"/>
    <w:rsid w:val="00495D7C"/>
    <w:rsid w:val="00496899"/>
    <w:rsid w:val="0049743C"/>
    <w:rsid w:val="0049781C"/>
    <w:rsid w:val="004A1529"/>
    <w:rsid w:val="004A1707"/>
    <w:rsid w:val="004A257E"/>
    <w:rsid w:val="004A378B"/>
    <w:rsid w:val="004A3D2E"/>
    <w:rsid w:val="004A425C"/>
    <w:rsid w:val="004A47C0"/>
    <w:rsid w:val="004A4B22"/>
    <w:rsid w:val="004A5764"/>
    <w:rsid w:val="004A5D5C"/>
    <w:rsid w:val="004A612B"/>
    <w:rsid w:val="004A6D6F"/>
    <w:rsid w:val="004A75C5"/>
    <w:rsid w:val="004A7BB6"/>
    <w:rsid w:val="004B0767"/>
    <w:rsid w:val="004B07C7"/>
    <w:rsid w:val="004B0B2A"/>
    <w:rsid w:val="004B0E9D"/>
    <w:rsid w:val="004B14F2"/>
    <w:rsid w:val="004B184A"/>
    <w:rsid w:val="004B24E8"/>
    <w:rsid w:val="004B2B22"/>
    <w:rsid w:val="004B325D"/>
    <w:rsid w:val="004B3ACE"/>
    <w:rsid w:val="004B40EF"/>
    <w:rsid w:val="004B5295"/>
    <w:rsid w:val="004B5433"/>
    <w:rsid w:val="004B5898"/>
    <w:rsid w:val="004B7112"/>
    <w:rsid w:val="004B7BE8"/>
    <w:rsid w:val="004C01C7"/>
    <w:rsid w:val="004C029C"/>
    <w:rsid w:val="004C0943"/>
    <w:rsid w:val="004C12F3"/>
    <w:rsid w:val="004C175D"/>
    <w:rsid w:val="004C1F81"/>
    <w:rsid w:val="004C2622"/>
    <w:rsid w:val="004C28BA"/>
    <w:rsid w:val="004C2A42"/>
    <w:rsid w:val="004C31BC"/>
    <w:rsid w:val="004C33BB"/>
    <w:rsid w:val="004C4E9A"/>
    <w:rsid w:val="004C4ECE"/>
    <w:rsid w:val="004C513E"/>
    <w:rsid w:val="004C5B0F"/>
    <w:rsid w:val="004C5C86"/>
    <w:rsid w:val="004C6117"/>
    <w:rsid w:val="004C630F"/>
    <w:rsid w:val="004C6DBB"/>
    <w:rsid w:val="004C7F8A"/>
    <w:rsid w:val="004D1B76"/>
    <w:rsid w:val="004D1BB9"/>
    <w:rsid w:val="004D211C"/>
    <w:rsid w:val="004D2132"/>
    <w:rsid w:val="004D2343"/>
    <w:rsid w:val="004D313E"/>
    <w:rsid w:val="004D33BB"/>
    <w:rsid w:val="004D3D72"/>
    <w:rsid w:val="004D4754"/>
    <w:rsid w:val="004D5904"/>
    <w:rsid w:val="004D5F39"/>
    <w:rsid w:val="004D64DB"/>
    <w:rsid w:val="004D6685"/>
    <w:rsid w:val="004D68FA"/>
    <w:rsid w:val="004D696A"/>
    <w:rsid w:val="004D7152"/>
    <w:rsid w:val="004D7632"/>
    <w:rsid w:val="004D7960"/>
    <w:rsid w:val="004D7AAA"/>
    <w:rsid w:val="004E0C2D"/>
    <w:rsid w:val="004E1046"/>
    <w:rsid w:val="004E12B4"/>
    <w:rsid w:val="004E1730"/>
    <w:rsid w:val="004E1854"/>
    <w:rsid w:val="004E1B0C"/>
    <w:rsid w:val="004E1CBD"/>
    <w:rsid w:val="004E1CC5"/>
    <w:rsid w:val="004E29FF"/>
    <w:rsid w:val="004E366A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B17"/>
    <w:rsid w:val="004E7F8C"/>
    <w:rsid w:val="004F11FF"/>
    <w:rsid w:val="004F1F22"/>
    <w:rsid w:val="004F2641"/>
    <w:rsid w:val="004F31D6"/>
    <w:rsid w:val="004F3D42"/>
    <w:rsid w:val="004F4131"/>
    <w:rsid w:val="004F43F0"/>
    <w:rsid w:val="004F4520"/>
    <w:rsid w:val="004F4558"/>
    <w:rsid w:val="004F53E7"/>
    <w:rsid w:val="004F57AD"/>
    <w:rsid w:val="004F63C0"/>
    <w:rsid w:val="004F6648"/>
    <w:rsid w:val="0050200C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831"/>
    <w:rsid w:val="005065AB"/>
    <w:rsid w:val="005067A7"/>
    <w:rsid w:val="00506A77"/>
    <w:rsid w:val="00506D22"/>
    <w:rsid w:val="0050774D"/>
    <w:rsid w:val="00507A39"/>
    <w:rsid w:val="00507C60"/>
    <w:rsid w:val="005105FC"/>
    <w:rsid w:val="005109DF"/>
    <w:rsid w:val="005122CD"/>
    <w:rsid w:val="00512723"/>
    <w:rsid w:val="00512E51"/>
    <w:rsid w:val="0051370C"/>
    <w:rsid w:val="00513B71"/>
    <w:rsid w:val="00513F91"/>
    <w:rsid w:val="00514C88"/>
    <w:rsid w:val="00515C2D"/>
    <w:rsid w:val="00516BA9"/>
    <w:rsid w:val="00516E2E"/>
    <w:rsid w:val="0052046F"/>
    <w:rsid w:val="005205BC"/>
    <w:rsid w:val="005208FE"/>
    <w:rsid w:val="005210A8"/>
    <w:rsid w:val="005213C3"/>
    <w:rsid w:val="005213E5"/>
    <w:rsid w:val="00521A60"/>
    <w:rsid w:val="00521E21"/>
    <w:rsid w:val="00522BA7"/>
    <w:rsid w:val="005234AF"/>
    <w:rsid w:val="00523693"/>
    <w:rsid w:val="00523927"/>
    <w:rsid w:val="00524143"/>
    <w:rsid w:val="005245D6"/>
    <w:rsid w:val="00524CB2"/>
    <w:rsid w:val="00526189"/>
    <w:rsid w:val="00526621"/>
    <w:rsid w:val="00526F17"/>
    <w:rsid w:val="00527785"/>
    <w:rsid w:val="00527BC9"/>
    <w:rsid w:val="00530CDE"/>
    <w:rsid w:val="00531339"/>
    <w:rsid w:val="005313B6"/>
    <w:rsid w:val="005315F7"/>
    <w:rsid w:val="0053162E"/>
    <w:rsid w:val="00531CCD"/>
    <w:rsid w:val="005327E7"/>
    <w:rsid w:val="00532DDE"/>
    <w:rsid w:val="0053481F"/>
    <w:rsid w:val="00534B6F"/>
    <w:rsid w:val="00534D5C"/>
    <w:rsid w:val="0053543D"/>
    <w:rsid w:val="005357A7"/>
    <w:rsid w:val="005359B8"/>
    <w:rsid w:val="00536030"/>
    <w:rsid w:val="00537319"/>
    <w:rsid w:val="00540790"/>
    <w:rsid w:val="005408C0"/>
    <w:rsid w:val="00540E7C"/>
    <w:rsid w:val="00541101"/>
    <w:rsid w:val="0054135A"/>
    <w:rsid w:val="0054204C"/>
    <w:rsid w:val="0054218E"/>
    <w:rsid w:val="00542666"/>
    <w:rsid w:val="00542B18"/>
    <w:rsid w:val="00543423"/>
    <w:rsid w:val="00543AA7"/>
    <w:rsid w:val="00544A33"/>
    <w:rsid w:val="00546DC4"/>
    <w:rsid w:val="00547A72"/>
    <w:rsid w:val="00547B5B"/>
    <w:rsid w:val="00547E18"/>
    <w:rsid w:val="00550AB4"/>
    <w:rsid w:val="00551177"/>
    <w:rsid w:val="0055128C"/>
    <w:rsid w:val="00551935"/>
    <w:rsid w:val="005524A0"/>
    <w:rsid w:val="00553019"/>
    <w:rsid w:val="005536D5"/>
    <w:rsid w:val="00553A28"/>
    <w:rsid w:val="00553C3E"/>
    <w:rsid w:val="00554024"/>
    <w:rsid w:val="00554B56"/>
    <w:rsid w:val="00555D9B"/>
    <w:rsid w:val="00556253"/>
    <w:rsid w:val="00556F6D"/>
    <w:rsid w:val="005572EC"/>
    <w:rsid w:val="00557374"/>
    <w:rsid w:val="00557537"/>
    <w:rsid w:val="005577E9"/>
    <w:rsid w:val="0056018C"/>
    <w:rsid w:val="0056031C"/>
    <w:rsid w:val="00560396"/>
    <w:rsid w:val="00561371"/>
    <w:rsid w:val="00561A36"/>
    <w:rsid w:val="00562708"/>
    <w:rsid w:val="00562999"/>
    <w:rsid w:val="00562C47"/>
    <w:rsid w:val="005632C4"/>
    <w:rsid w:val="00563362"/>
    <w:rsid w:val="00563389"/>
    <w:rsid w:val="00564C79"/>
    <w:rsid w:val="00564CDE"/>
    <w:rsid w:val="00565FA5"/>
    <w:rsid w:val="0056771E"/>
    <w:rsid w:val="0057001B"/>
    <w:rsid w:val="00570573"/>
    <w:rsid w:val="00570D25"/>
    <w:rsid w:val="005710A7"/>
    <w:rsid w:val="0057177B"/>
    <w:rsid w:val="00571C86"/>
    <w:rsid w:val="00572027"/>
    <w:rsid w:val="005729AD"/>
    <w:rsid w:val="00573331"/>
    <w:rsid w:val="00573BFE"/>
    <w:rsid w:val="005758BF"/>
    <w:rsid w:val="00575F2A"/>
    <w:rsid w:val="0058069E"/>
    <w:rsid w:val="00581EDA"/>
    <w:rsid w:val="0058250E"/>
    <w:rsid w:val="005827A7"/>
    <w:rsid w:val="005827E7"/>
    <w:rsid w:val="005829DC"/>
    <w:rsid w:val="005829E0"/>
    <w:rsid w:val="00584BA9"/>
    <w:rsid w:val="00586368"/>
    <w:rsid w:val="00587A0E"/>
    <w:rsid w:val="00587D2A"/>
    <w:rsid w:val="00590491"/>
    <w:rsid w:val="00590690"/>
    <w:rsid w:val="00591B56"/>
    <w:rsid w:val="005922B7"/>
    <w:rsid w:val="00592339"/>
    <w:rsid w:val="00592C53"/>
    <w:rsid w:val="00592C9A"/>
    <w:rsid w:val="00592FC4"/>
    <w:rsid w:val="0059310B"/>
    <w:rsid w:val="00594308"/>
    <w:rsid w:val="00594445"/>
    <w:rsid w:val="00594D93"/>
    <w:rsid w:val="00595646"/>
    <w:rsid w:val="00595EE0"/>
    <w:rsid w:val="00595F8E"/>
    <w:rsid w:val="00596201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5897"/>
    <w:rsid w:val="005A6A2F"/>
    <w:rsid w:val="005A6D4A"/>
    <w:rsid w:val="005A7343"/>
    <w:rsid w:val="005A7555"/>
    <w:rsid w:val="005A7DF4"/>
    <w:rsid w:val="005B0531"/>
    <w:rsid w:val="005B0598"/>
    <w:rsid w:val="005B083B"/>
    <w:rsid w:val="005B0912"/>
    <w:rsid w:val="005B17DC"/>
    <w:rsid w:val="005B39A3"/>
    <w:rsid w:val="005B3EB5"/>
    <w:rsid w:val="005B4B79"/>
    <w:rsid w:val="005B4ED8"/>
    <w:rsid w:val="005B5D14"/>
    <w:rsid w:val="005B6141"/>
    <w:rsid w:val="005B62C6"/>
    <w:rsid w:val="005B75A5"/>
    <w:rsid w:val="005C0464"/>
    <w:rsid w:val="005C0ADB"/>
    <w:rsid w:val="005C0C84"/>
    <w:rsid w:val="005C0DD9"/>
    <w:rsid w:val="005C0E71"/>
    <w:rsid w:val="005C0FDA"/>
    <w:rsid w:val="005C10AE"/>
    <w:rsid w:val="005C1596"/>
    <w:rsid w:val="005C22CA"/>
    <w:rsid w:val="005C26EF"/>
    <w:rsid w:val="005C307D"/>
    <w:rsid w:val="005C3274"/>
    <w:rsid w:val="005C354D"/>
    <w:rsid w:val="005C356B"/>
    <w:rsid w:val="005C4616"/>
    <w:rsid w:val="005C48D0"/>
    <w:rsid w:val="005C4D75"/>
    <w:rsid w:val="005C4F1D"/>
    <w:rsid w:val="005C561B"/>
    <w:rsid w:val="005C5CCB"/>
    <w:rsid w:val="005C6EE1"/>
    <w:rsid w:val="005C732A"/>
    <w:rsid w:val="005C76C4"/>
    <w:rsid w:val="005C76F9"/>
    <w:rsid w:val="005C7DF4"/>
    <w:rsid w:val="005C7ECF"/>
    <w:rsid w:val="005D0048"/>
    <w:rsid w:val="005D07E1"/>
    <w:rsid w:val="005D0C07"/>
    <w:rsid w:val="005D0E7B"/>
    <w:rsid w:val="005D119C"/>
    <w:rsid w:val="005D14DE"/>
    <w:rsid w:val="005D1706"/>
    <w:rsid w:val="005D2081"/>
    <w:rsid w:val="005D208D"/>
    <w:rsid w:val="005D2A73"/>
    <w:rsid w:val="005D2D46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E57A1"/>
    <w:rsid w:val="005F1EF0"/>
    <w:rsid w:val="005F2C4F"/>
    <w:rsid w:val="005F38CB"/>
    <w:rsid w:val="005F4C65"/>
    <w:rsid w:val="005F4C89"/>
    <w:rsid w:val="005F538C"/>
    <w:rsid w:val="005F62A5"/>
    <w:rsid w:val="005F7255"/>
    <w:rsid w:val="0060033E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F6E"/>
    <w:rsid w:val="00605280"/>
    <w:rsid w:val="0060541E"/>
    <w:rsid w:val="006068F5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9A9"/>
    <w:rsid w:val="00616B59"/>
    <w:rsid w:val="00616FE6"/>
    <w:rsid w:val="0061760A"/>
    <w:rsid w:val="00617941"/>
    <w:rsid w:val="0061797B"/>
    <w:rsid w:val="00617AC2"/>
    <w:rsid w:val="0062000C"/>
    <w:rsid w:val="0062039E"/>
    <w:rsid w:val="00620D7A"/>
    <w:rsid w:val="0062301A"/>
    <w:rsid w:val="00623185"/>
    <w:rsid w:val="006238E4"/>
    <w:rsid w:val="006238FB"/>
    <w:rsid w:val="00624992"/>
    <w:rsid w:val="006267D4"/>
    <w:rsid w:val="0063002D"/>
    <w:rsid w:val="006312DD"/>
    <w:rsid w:val="00631503"/>
    <w:rsid w:val="0063194D"/>
    <w:rsid w:val="00631E00"/>
    <w:rsid w:val="006328E1"/>
    <w:rsid w:val="00632A48"/>
    <w:rsid w:val="00632FEE"/>
    <w:rsid w:val="00634930"/>
    <w:rsid w:val="00635064"/>
    <w:rsid w:val="0063521B"/>
    <w:rsid w:val="006352A4"/>
    <w:rsid w:val="0063543C"/>
    <w:rsid w:val="0063699B"/>
    <w:rsid w:val="006374B0"/>
    <w:rsid w:val="006403E8"/>
    <w:rsid w:val="006406FF"/>
    <w:rsid w:val="00640F92"/>
    <w:rsid w:val="00641355"/>
    <w:rsid w:val="006423CF"/>
    <w:rsid w:val="006426FF"/>
    <w:rsid w:val="00642A98"/>
    <w:rsid w:val="00642EE5"/>
    <w:rsid w:val="00644304"/>
    <w:rsid w:val="00644CA0"/>
    <w:rsid w:val="006451DC"/>
    <w:rsid w:val="00645EF3"/>
    <w:rsid w:val="006475B1"/>
    <w:rsid w:val="0065052F"/>
    <w:rsid w:val="00650DE6"/>
    <w:rsid w:val="006517B1"/>
    <w:rsid w:val="0065202F"/>
    <w:rsid w:val="006524CD"/>
    <w:rsid w:val="00653A58"/>
    <w:rsid w:val="0065430A"/>
    <w:rsid w:val="006544A2"/>
    <w:rsid w:val="00654888"/>
    <w:rsid w:val="0065528C"/>
    <w:rsid w:val="006562AF"/>
    <w:rsid w:val="00656515"/>
    <w:rsid w:val="0065693D"/>
    <w:rsid w:val="00657533"/>
    <w:rsid w:val="006577C1"/>
    <w:rsid w:val="006578A4"/>
    <w:rsid w:val="00660503"/>
    <w:rsid w:val="006610C7"/>
    <w:rsid w:val="00661BE6"/>
    <w:rsid w:val="00662B29"/>
    <w:rsid w:val="00663349"/>
    <w:rsid w:val="00663F14"/>
    <w:rsid w:val="006640AF"/>
    <w:rsid w:val="00664695"/>
    <w:rsid w:val="00664DDD"/>
    <w:rsid w:val="006652E3"/>
    <w:rsid w:val="0066544D"/>
    <w:rsid w:val="00665C39"/>
    <w:rsid w:val="00665CBD"/>
    <w:rsid w:val="00670184"/>
    <w:rsid w:val="0067088C"/>
    <w:rsid w:val="00670985"/>
    <w:rsid w:val="00670A4E"/>
    <w:rsid w:val="00671C97"/>
    <w:rsid w:val="00671E95"/>
    <w:rsid w:val="006721A3"/>
    <w:rsid w:val="006726B2"/>
    <w:rsid w:val="00672799"/>
    <w:rsid w:val="0067283E"/>
    <w:rsid w:val="00672FD1"/>
    <w:rsid w:val="00673138"/>
    <w:rsid w:val="0067313B"/>
    <w:rsid w:val="00673679"/>
    <w:rsid w:val="00673753"/>
    <w:rsid w:val="00675295"/>
    <w:rsid w:val="00675E10"/>
    <w:rsid w:val="006769C7"/>
    <w:rsid w:val="00676AB8"/>
    <w:rsid w:val="00676C34"/>
    <w:rsid w:val="00677235"/>
    <w:rsid w:val="00680170"/>
    <w:rsid w:val="006808A6"/>
    <w:rsid w:val="00680EC7"/>
    <w:rsid w:val="00681356"/>
    <w:rsid w:val="00682194"/>
    <w:rsid w:val="006822D7"/>
    <w:rsid w:val="00682C31"/>
    <w:rsid w:val="00682D57"/>
    <w:rsid w:val="006840E0"/>
    <w:rsid w:val="00685747"/>
    <w:rsid w:val="0068589B"/>
    <w:rsid w:val="00685E9A"/>
    <w:rsid w:val="00686194"/>
    <w:rsid w:val="00687C5E"/>
    <w:rsid w:val="00687FDC"/>
    <w:rsid w:val="0069038C"/>
    <w:rsid w:val="006908F6"/>
    <w:rsid w:val="00690A5D"/>
    <w:rsid w:val="0069381D"/>
    <w:rsid w:val="006946B2"/>
    <w:rsid w:val="00694DBB"/>
    <w:rsid w:val="00694E99"/>
    <w:rsid w:val="00695BA6"/>
    <w:rsid w:val="00695D8B"/>
    <w:rsid w:val="0069676F"/>
    <w:rsid w:val="0069729F"/>
    <w:rsid w:val="00697C52"/>
    <w:rsid w:val="006A03CE"/>
    <w:rsid w:val="006A0A11"/>
    <w:rsid w:val="006A108F"/>
    <w:rsid w:val="006A3377"/>
    <w:rsid w:val="006A3AFA"/>
    <w:rsid w:val="006A3DDC"/>
    <w:rsid w:val="006A4E16"/>
    <w:rsid w:val="006A60FC"/>
    <w:rsid w:val="006A69F6"/>
    <w:rsid w:val="006A74F8"/>
    <w:rsid w:val="006B0167"/>
    <w:rsid w:val="006B0283"/>
    <w:rsid w:val="006B0A2D"/>
    <w:rsid w:val="006B2120"/>
    <w:rsid w:val="006B2423"/>
    <w:rsid w:val="006B2A0B"/>
    <w:rsid w:val="006B302E"/>
    <w:rsid w:val="006B340D"/>
    <w:rsid w:val="006B440B"/>
    <w:rsid w:val="006B5457"/>
    <w:rsid w:val="006B58F6"/>
    <w:rsid w:val="006B62E0"/>
    <w:rsid w:val="006B7816"/>
    <w:rsid w:val="006B7F4C"/>
    <w:rsid w:val="006C036F"/>
    <w:rsid w:val="006C0718"/>
    <w:rsid w:val="006C0D77"/>
    <w:rsid w:val="006C1676"/>
    <w:rsid w:val="006C1E0C"/>
    <w:rsid w:val="006C26E1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C7BC7"/>
    <w:rsid w:val="006D0AE4"/>
    <w:rsid w:val="006D0BBE"/>
    <w:rsid w:val="006D0CCA"/>
    <w:rsid w:val="006D1860"/>
    <w:rsid w:val="006D1DDA"/>
    <w:rsid w:val="006D202A"/>
    <w:rsid w:val="006D22AC"/>
    <w:rsid w:val="006D276A"/>
    <w:rsid w:val="006D3092"/>
    <w:rsid w:val="006D313A"/>
    <w:rsid w:val="006D3437"/>
    <w:rsid w:val="006D3724"/>
    <w:rsid w:val="006D3812"/>
    <w:rsid w:val="006D3F47"/>
    <w:rsid w:val="006D3F8C"/>
    <w:rsid w:val="006D5195"/>
    <w:rsid w:val="006D5AD8"/>
    <w:rsid w:val="006D63A8"/>
    <w:rsid w:val="006D67C1"/>
    <w:rsid w:val="006D69C8"/>
    <w:rsid w:val="006D6B90"/>
    <w:rsid w:val="006D6F44"/>
    <w:rsid w:val="006D6FF9"/>
    <w:rsid w:val="006D76CD"/>
    <w:rsid w:val="006D7923"/>
    <w:rsid w:val="006E01BA"/>
    <w:rsid w:val="006E047B"/>
    <w:rsid w:val="006E08C1"/>
    <w:rsid w:val="006E0A34"/>
    <w:rsid w:val="006E0D76"/>
    <w:rsid w:val="006E0FDB"/>
    <w:rsid w:val="006E153A"/>
    <w:rsid w:val="006E1BB8"/>
    <w:rsid w:val="006E1C2C"/>
    <w:rsid w:val="006E1FF1"/>
    <w:rsid w:val="006E277A"/>
    <w:rsid w:val="006E284A"/>
    <w:rsid w:val="006E2FA9"/>
    <w:rsid w:val="006E3347"/>
    <w:rsid w:val="006E38E0"/>
    <w:rsid w:val="006E3BA6"/>
    <w:rsid w:val="006E406F"/>
    <w:rsid w:val="006E48D1"/>
    <w:rsid w:val="006E4D58"/>
    <w:rsid w:val="006E6301"/>
    <w:rsid w:val="006E6E66"/>
    <w:rsid w:val="006E71E7"/>
    <w:rsid w:val="006E7526"/>
    <w:rsid w:val="006F02F7"/>
    <w:rsid w:val="006F057E"/>
    <w:rsid w:val="006F05E3"/>
    <w:rsid w:val="006F0781"/>
    <w:rsid w:val="006F09F8"/>
    <w:rsid w:val="006F126F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577D"/>
    <w:rsid w:val="006F58DB"/>
    <w:rsid w:val="006F5BFB"/>
    <w:rsid w:val="006F5C34"/>
    <w:rsid w:val="006F6E04"/>
    <w:rsid w:val="006F70AE"/>
    <w:rsid w:val="006F794E"/>
    <w:rsid w:val="006F7DB1"/>
    <w:rsid w:val="00700924"/>
    <w:rsid w:val="0070233A"/>
    <w:rsid w:val="00703335"/>
    <w:rsid w:val="00703E31"/>
    <w:rsid w:val="00703FAB"/>
    <w:rsid w:val="00704171"/>
    <w:rsid w:val="00704532"/>
    <w:rsid w:val="007053B0"/>
    <w:rsid w:val="007054DF"/>
    <w:rsid w:val="00705884"/>
    <w:rsid w:val="007058AC"/>
    <w:rsid w:val="00706187"/>
    <w:rsid w:val="00706329"/>
    <w:rsid w:val="0070667D"/>
    <w:rsid w:val="00710306"/>
    <w:rsid w:val="00711693"/>
    <w:rsid w:val="00711B8F"/>
    <w:rsid w:val="0071210C"/>
    <w:rsid w:val="0071241C"/>
    <w:rsid w:val="00712A1B"/>
    <w:rsid w:val="00714BAE"/>
    <w:rsid w:val="007153E0"/>
    <w:rsid w:val="0071567A"/>
    <w:rsid w:val="00715973"/>
    <w:rsid w:val="00715AD1"/>
    <w:rsid w:val="007162B9"/>
    <w:rsid w:val="00716534"/>
    <w:rsid w:val="00716904"/>
    <w:rsid w:val="00716B81"/>
    <w:rsid w:val="00717096"/>
    <w:rsid w:val="0072077A"/>
    <w:rsid w:val="00720BF1"/>
    <w:rsid w:val="00720C4A"/>
    <w:rsid w:val="007218AF"/>
    <w:rsid w:val="00721E93"/>
    <w:rsid w:val="0072306C"/>
    <w:rsid w:val="00723948"/>
    <w:rsid w:val="007244E4"/>
    <w:rsid w:val="00724DB6"/>
    <w:rsid w:val="0072531C"/>
    <w:rsid w:val="007253DD"/>
    <w:rsid w:val="00725B16"/>
    <w:rsid w:val="00725BE7"/>
    <w:rsid w:val="007261CF"/>
    <w:rsid w:val="007270AA"/>
    <w:rsid w:val="007273B9"/>
    <w:rsid w:val="00730F38"/>
    <w:rsid w:val="00731B8E"/>
    <w:rsid w:val="00731FAF"/>
    <w:rsid w:val="0073263C"/>
    <w:rsid w:val="007327DC"/>
    <w:rsid w:val="00733C1E"/>
    <w:rsid w:val="00734452"/>
    <w:rsid w:val="00734EB3"/>
    <w:rsid w:val="007358BD"/>
    <w:rsid w:val="00736775"/>
    <w:rsid w:val="007370F9"/>
    <w:rsid w:val="007409EF"/>
    <w:rsid w:val="00741000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665"/>
    <w:rsid w:val="00751716"/>
    <w:rsid w:val="007518AC"/>
    <w:rsid w:val="00752E3A"/>
    <w:rsid w:val="007540D6"/>
    <w:rsid w:val="00754AA0"/>
    <w:rsid w:val="00754EBA"/>
    <w:rsid w:val="00755471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CD"/>
    <w:rsid w:val="0076540B"/>
    <w:rsid w:val="0076566A"/>
    <w:rsid w:val="00765BFE"/>
    <w:rsid w:val="00766361"/>
    <w:rsid w:val="007663AE"/>
    <w:rsid w:val="00766C85"/>
    <w:rsid w:val="00766D35"/>
    <w:rsid w:val="00767CA2"/>
    <w:rsid w:val="00767D86"/>
    <w:rsid w:val="0077064B"/>
    <w:rsid w:val="0077125F"/>
    <w:rsid w:val="00772608"/>
    <w:rsid w:val="0077476D"/>
    <w:rsid w:val="00774A00"/>
    <w:rsid w:val="00774C01"/>
    <w:rsid w:val="00774CC6"/>
    <w:rsid w:val="00774DE7"/>
    <w:rsid w:val="007750D6"/>
    <w:rsid w:val="0077551D"/>
    <w:rsid w:val="00775CAB"/>
    <w:rsid w:val="00775D5E"/>
    <w:rsid w:val="007769CB"/>
    <w:rsid w:val="00776E53"/>
    <w:rsid w:val="00777279"/>
    <w:rsid w:val="00781063"/>
    <w:rsid w:val="0078179A"/>
    <w:rsid w:val="00781C63"/>
    <w:rsid w:val="007826D6"/>
    <w:rsid w:val="00782ACB"/>
    <w:rsid w:val="00782ECF"/>
    <w:rsid w:val="007831EE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8773D"/>
    <w:rsid w:val="0079059D"/>
    <w:rsid w:val="00792F53"/>
    <w:rsid w:val="00794288"/>
    <w:rsid w:val="00794343"/>
    <w:rsid w:val="00794658"/>
    <w:rsid w:val="00794AA2"/>
    <w:rsid w:val="00794CA1"/>
    <w:rsid w:val="00794F08"/>
    <w:rsid w:val="007955A4"/>
    <w:rsid w:val="00795879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C0F"/>
    <w:rsid w:val="007A179D"/>
    <w:rsid w:val="007A1BA8"/>
    <w:rsid w:val="007A220F"/>
    <w:rsid w:val="007A2844"/>
    <w:rsid w:val="007A2993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FD"/>
    <w:rsid w:val="007B5CD4"/>
    <w:rsid w:val="007B6861"/>
    <w:rsid w:val="007C0073"/>
    <w:rsid w:val="007C0B54"/>
    <w:rsid w:val="007C1030"/>
    <w:rsid w:val="007C161B"/>
    <w:rsid w:val="007C2805"/>
    <w:rsid w:val="007C2B07"/>
    <w:rsid w:val="007C3758"/>
    <w:rsid w:val="007C48A1"/>
    <w:rsid w:val="007C4AD3"/>
    <w:rsid w:val="007C4C86"/>
    <w:rsid w:val="007C4CE8"/>
    <w:rsid w:val="007C5255"/>
    <w:rsid w:val="007C57EE"/>
    <w:rsid w:val="007C6DD1"/>
    <w:rsid w:val="007C7313"/>
    <w:rsid w:val="007C7735"/>
    <w:rsid w:val="007C7ABB"/>
    <w:rsid w:val="007C7DC3"/>
    <w:rsid w:val="007C7E23"/>
    <w:rsid w:val="007D012C"/>
    <w:rsid w:val="007D02D9"/>
    <w:rsid w:val="007D044C"/>
    <w:rsid w:val="007D09A4"/>
    <w:rsid w:val="007D0EE4"/>
    <w:rsid w:val="007D19EB"/>
    <w:rsid w:val="007D1D1D"/>
    <w:rsid w:val="007D1E54"/>
    <w:rsid w:val="007D1F08"/>
    <w:rsid w:val="007D42ED"/>
    <w:rsid w:val="007D491A"/>
    <w:rsid w:val="007D4AE2"/>
    <w:rsid w:val="007D50AE"/>
    <w:rsid w:val="007D543E"/>
    <w:rsid w:val="007D55C2"/>
    <w:rsid w:val="007D5620"/>
    <w:rsid w:val="007D57F4"/>
    <w:rsid w:val="007D5BD6"/>
    <w:rsid w:val="007D5C9A"/>
    <w:rsid w:val="007D6E7B"/>
    <w:rsid w:val="007D72CD"/>
    <w:rsid w:val="007D78D0"/>
    <w:rsid w:val="007E0142"/>
    <w:rsid w:val="007E0DBE"/>
    <w:rsid w:val="007E113E"/>
    <w:rsid w:val="007E15CE"/>
    <w:rsid w:val="007E2494"/>
    <w:rsid w:val="007E24CD"/>
    <w:rsid w:val="007E2953"/>
    <w:rsid w:val="007E3487"/>
    <w:rsid w:val="007E34CA"/>
    <w:rsid w:val="007E38C2"/>
    <w:rsid w:val="007E390C"/>
    <w:rsid w:val="007E3917"/>
    <w:rsid w:val="007E3E92"/>
    <w:rsid w:val="007E3F41"/>
    <w:rsid w:val="007E3FCD"/>
    <w:rsid w:val="007E43E5"/>
    <w:rsid w:val="007E4EE4"/>
    <w:rsid w:val="007E5BA8"/>
    <w:rsid w:val="007E60C5"/>
    <w:rsid w:val="007E63B6"/>
    <w:rsid w:val="007E6EC9"/>
    <w:rsid w:val="007E7D2B"/>
    <w:rsid w:val="007F0312"/>
    <w:rsid w:val="007F052C"/>
    <w:rsid w:val="007F0B9E"/>
    <w:rsid w:val="007F0BA1"/>
    <w:rsid w:val="007F1F58"/>
    <w:rsid w:val="007F1FB1"/>
    <w:rsid w:val="007F4B36"/>
    <w:rsid w:val="007F4E83"/>
    <w:rsid w:val="007F5774"/>
    <w:rsid w:val="007F5AE0"/>
    <w:rsid w:val="007F5FEE"/>
    <w:rsid w:val="007F63DA"/>
    <w:rsid w:val="007F6602"/>
    <w:rsid w:val="007F6ABF"/>
    <w:rsid w:val="007F6FA6"/>
    <w:rsid w:val="007F709D"/>
    <w:rsid w:val="00800388"/>
    <w:rsid w:val="00800444"/>
    <w:rsid w:val="00800987"/>
    <w:rsid w:val="00801C55"/>
    <w:rsid w:val="00801E60"/>
    <w:rsid w:val="008028DC"/>
    <w:rsid w:val="0080331C"/>
    <w:rsid w:val="00803998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779D"/>
    <w:rsid w:val="008110AB"/>
    <w:rsid w:val="0081126A"/>
    <w:rsid w:val="00811536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488"/>
    <w:rsid w:val="0082075E"/>
    <w:rsid w:val="0082087F"/>
    <w:rsid w:val="00820DAF"/>
    <w:rsid w:val="00821181"/>
    <w:rsid w:val="008211F1"/>
    <w:rsid w:val="00821367"/>
    <w:rsid w:val="00821878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3C7"/>
    <w:rsid w:val="008276EF"/>
    <w:rsid w:val="00830328"/>
    <w:rsid w:val="0083079A"/>
    <w:rsid w:val="00830F9A"/>
    <w:rsid w:val="0083131E"/>
    <w:rsid w:val="00831BA6"/>
    <w:rsid w:val="008322CF"/>
    <w:rsid w:val="008324AA"/>
    <w:rsid w:val="008331C8"/>
    <w:rsid w:val="0083404D"/>
    <w:rsid w:val="00834689"/>
    <w:rsid w:val="0083500F"/>
    <w:rsid w:val="0083543B"/>
    <w:rsid w:val="00835A37"/>
    <w:rsid w:val="00835DAF"/>
    <w:rsid w:val="0083669F"/>
    <w:rsid w:val="00837154"/>
    <w:rsid w:val="00837615"/>
    <w:rsid w:val="008402A3"/>
    <w:rsid w:val="00840505"/>
    <w:rsid w:val="00840B17"/>
    <w:rsid w:val="008411FF"/>
    <w:rsid w:val="00842E88"/>
    <w:rsid w:val="008435DB"/>
    <w:rsid w:val="008444F3"/>
    <w:rsid w:val="008446CB"/>
    <w:rsid w:val="00844F9E"/>
    <w:rsid w:val="00845EAF"/>
    <w:rsid w:val="00846679"/>
    <w:rsid w:val="00846865"/>
    <w:rsid w:val="0084799D"/>
    <w:rsid w:val="008479E2"/>
    <w:rsid w:val="00847AD4"/>
    <w:rsid w:val="00847D19"/>
    <w:rsid w:val="00851C59"/>
    <w:rsid w:val="00851F82"/>
    <w:rsid w:val="008521CA"/>
    <w:rsid w:val="00852E41"/>
    <w:rsid w:val="00852E98"/>
    <w:rsid w:val="0085320F"/>
    <w:rsid w:val="00854C1A"/>
    <w:rsid w:val="00855771"/>
    <w:rsid w:val="00855B17"/>
    <w:rsid w:val="00855FEC"/>
    <w:rsid w:val="00857FC4"/>
    <w:rsid w:val="0086004E"/>
    <w:rsid w:val="00861524"/>
    <w:rsid w:val="008618B7"/>
    <w:rsid w:val="008619CC"/>
    <w:rsid w:val="00861B23"/>
    <w:rsid w:val="0086224C"/>
    <w:rsid w:val="008624F8"/>
    <w:rsid w:val="00862B40"/>
    <w:rsid w:val="00862E61"/>
    <w:rsid w:val="00864102"/>
    <w:rsid w:val="0086490E"/>
    <w:rsid w:val="00865C8F"/>
    <w:rsid w:val="00866417"/>
    <w:rsid w:val="00866E29"/>
    <w:rsid w:val="00867185"/>
    <w:rsid w:val="00867252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428E"/>
    <w:rsid w:val="00874FDB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12D"/>
    <w:rsid w:val="0088541F"/>
    <w:rsid w:val="00885C57"/>
    <w:rsid w:val="008860F3"/>
    <w:rsid w:val="0088628D"/>
    <w:rsid w:val="00886DD1"/>
    <w:rsid w:val="00887D4B"/>
    <w:rsid w:val="00890541"/>
    <w:rsid w:val="00890B3F"/>
    <w:rsid w:val="00890F94"/>
    <w:rsid w:val="0089138D"/>
    <w:rsid w:val="00891F12"/>
    <w:rsid w:val="00892672"/>
    <w:rsid w:val="00892CF6"/>
    <w:rsid w:val="00893201"/>
    <w:rsid w:val="00894927"/>
    <w:rsid w:val="00894C88"/>
    <w:rsid w:val="00894FBB"/>
    <w:rsid w:val="008953AC"/>
    <w:rsid w:val="00895BE4"/>
    <w:rsid w:val="008964F1"/>
    <w:rsid w:val="008967A8"/>
    <w:rsid w:val="00897587"/>
    <w:rsid w:val="00897C50"/>
    <w:rsid w:val="008A14F7"/>
    <w:rsid w:val="008A15C3"/>
    <w:rsid w:val="008A1A45"/>
    <w:rsid w:val="008A1B81"/>
    <w:rsid w:val="008A223E"/>
    <w:rsid w:val="008A23DA"/>
    <w:rsid w:val="008A548A"/>
    <w:rsid w:val="008A563D"/>
    <w:rsid w:val="008A5A5C"/>
    <w:rsid w:val="008A5BE6"/>
    <w:rsid w:val="008A5F84"/>
    <w:rsid w:val="008A6201"/>
    <w:rsid w:val="008A653B"/>
    <w:rsid w:val="008A693F"/>
    <w:rsid w:val="008A6CD6"/>
    <w:rsid w:val="008A73F3"/>
    <w:rsid w:val="008A763C"/>
    <w:rsid w:val="008A7C5D"/>
    <w:rsid w:val="008B028E"/>
    <w:rsid w:val="008B0BB6"/>
    <w:rsid w:val="008B195C"/>
    <w:rsid w:val="008B19E9"/>
    <w:rsid w:val="008B1A7C"/>
    <w:rsid w:val="008B28BD"/>
    <w:rsid w:val="008B28F3"/>
    <w:rsid w:val="008B2923"/>
    <w:rsid w:val="008B2ECA"/>
    <w:rsid w:val="008B358E"/>
    <w:rsid w:val="008B390F"/>
    <w:rsid w:val="008B3AFE"/>
    <w:rsid w:val="008B3C56"/>
    <w:rsid w:val="008B3FE7"/>
    <w:rsid w:val="008B4660"/>
    <w:rsid w:val="008B4ED2"/>
    <w:rsid w:val="008B55B4"/>
    <w:rsid w:val="008B5718"/>
    <w:rsid w:val="008B5E60"/>
    <w:rsid w:val="008B6BBD"/>
    <w:rsid w:val="008B6D53"/>
    <w:rsid w:val="008B7682"/>
    <w:rsid w:val="008B77BA"/>
    <w:rsid w:val="008B7B3B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603"/>
    <w:rsid w:val="008C36D6"/>
    <w:rsid w:val="008C3774"/>
    <w:rsid w:val="008C3C14"/>
    <w:rsid w:val="008C408B"/>
    <w:rsid w:val="008C48D1"/>
    <w:rsid w:val="008C4EAF"/>
    <w:rsid w:val="008C5388"/>
    <w:rsid w:val="008D08CE"/>
    <w:rsid w:val="008D09AE"/>
    <w:rsid w:val="008D09E7"/>
    <w:rsid w:val="008D0A34"/>
    <w:rsid w:val="008D130A"/>
    <w:rsid w:val="008D2453"/>
    <w:rsid w:val="008D28ED"/>
    <w:rsid w:val="008D46A9"/>
    <w:rsid w:val="008D6DD0"/>
    <w:rsid w:val="008D7517"/>
    <w:rsid w:val="008E03AF"/>
    <w:rsid w:val="008E0B70"/>
    <w:rsid w:val="008E0F12"/>
    <w:rsid w:val="008E127E"/>
    <w:rsid w:val="008E142E"/>
    <w:rsid w:val="008E284D"/>
    <w:rsid w:val="008E33D7"/>
    <w:rsid w:val="008E39C8"/>
    <w:rsid w:val="008E57AC"/>
    <w:rsid w:val="008E626E"/>
    <w:rsid w:val="008E6930"/>
    <w:rsid w:val="008E788F"/>
    <w:rsid w:val="008E7BE6"/>
    <w:rsid w:val="008E7DC9"/>
    <w:rsid w:val="008F22E6"/>
    <w:rsid w:val="008F2D5A"/>
    <w:rsid w:val="008F3576"/>
    <w:rsid w:val="008F3D19"/>
    <w:rsid w:val="008F3F68"/>
    <w:rsid w:val="008F4C5E"/>
    <w:rsid w:val="008F52D5"/>
    <w:rsid w:val="008F626C"/>
    <w:rsid w:val="008F6E2B"/>
    <w:rsid w:val="008F6E4B"/>
    <w:rsid w:val="008F6EAB"/>
    <w:rsid w:val="008F7702"/>
    <w:rsid w:val="00900B16"/>
    <w:rsid w:val="00900FD2"/>
    <w:rsid w:val="0090129E"/>
    <w:rsid w:val="00901848"/>
    <w:rsid w:val="00901DB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572C"/>
    <w:rsid w:val="009069AE"/>
    <w:rsid w:val="0090733A"/>
    <w:rsid w:val="009076D4"/>
    <w:rsid w:val="00910672"/>
    <w:rsid w:val="00910DDF"/>
    <w:rsid w:val="0091110A"/>
    <w:rsid w:val="009118D4"/>
    <w:rsid w:val="0091197E"/>
    <w:rsid w:val="00912287"/>
    <w:rsid w:val="00912ACD"/>
    <w:rsid w:val="009131B0"/>
    <w:rsid w:val="00913760"/>
    <w:rsid w:val="00913786"/>
    <w:rsid w:val="00913AAF"/>
    <w:rsid w:val="00914662"/>
    <w:rsid w:val="00914A9F"/>
    <w:rsid w:val="00914BA9"/>
    <w:rsid w:val="009152BE"/>
    <w:rsid w:val="00915BBE"/>
    <w:rsid w:val="009161E4"/>
    <w:rsid w:val="0091696F"/>
    <w:rsid w:val="00916D75"/>
    <w:rsid w:val="00920260"/>
    <w:rsid w:val="00920A52"/>
    <w:rsid w:val="009218E0"/>
    <w:rsid w:val="00922CCB"/>
    <w:rsid w:val="009233DD"/>
    <w:rsid w:val="009237DB"/>
    <w:rsid w:val="00923B12"/>
    <w:rsid w:val="0092430A"/>
    <w:rsid w:val="0092433A"/>
    <w:rsid w:val="0092527C"/>
    <w:rsid w:val="009264FD"/>
    <w:rsid w:val="00927424"/>
    <w:rsid w:val="0092750F"/>
    <w:rsid w:val="00927B8E"/>
    <w:rsid w:val="00930531"/>
    <w:rsid w:val="00931154"/>
    <w:rsid w:val="009322E4"/>
    <w:rsid w:val="00932F32"/>
    <w:rsid w:val="00933191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067"/>
    <w:rsid w:val="00937391"/>
    <w:rsid w:val="00937433"/>
    <w:rsid w:val="00940BB4"/>
    <w:rsid w:val="00940C2E"/>
    <w:rsid w:val="00940D96"/>
    <w:rsid w:val="009412E9"/>
    <w:rsid w:val="009413FA"/>
    <w:rsid w:val="00942595"/>
    <w:rsid w:val="00943026"/>
    <w:rsid w:val="0094307F"/>
    <w:rsid w:val="0094399B"/>
    <w:rsid w:val="00943F2A"/>
    <w:rsid w:val="00944459"/>
    <w:rsid w:val="009444D3"/>
    <w:rsid w:val="009447A5"/>
    <w:rsid w:val="00944A3C"/>
    <w:rsid w:val="00945C1E"/>
    <w:rsid w:val="00945CDE"/>
    <w:rsid w:val="00946F25"/>
    <w:rsid w:val="00947532"/>
    <w:rsid w:val="009476A1"/>
    <w:rsid w:val="00947ADA"/>
    <w:rsid w:val="00947CEB"/>
    <w:rsid w:val="00951235"/>
    <w:rsid w:val="00951504"/>
    <w:rsid w:val="00951A6A"/>
    <w:rsid w:val="009524A9"/>
    <w:rsid w:val="0095253D"/>
    <w:rsid w:val="009530C6"/>
    <w:rsid w:val="009532DE"/>
    <w:rsid w:val="00953E2B"/>
    <w:rsid w:val="00954D48"/>
    <w:rsid w:val="00954FF8"/>
    <w:rsid w:val="00956118"/>
    <w:rsid w:val="00956494"/>
    <w:rsid w:val="009569DD"/>
    <w:rsid w:val="00957499"/>
    <w:rsid w:val="00957510"/>
    <w:rsid w:val="00957A3E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6E8A"/>
    <w:rsid w:val="00967C05"/>
    <w:rsid w:val="009709E0"/>
    <w:rsid w:val="009713B7"/>
    <w:rsid w:val="00971778"/>
    <w:rsid w:val="00971A77"/>
    <w:rsid w:val="00971C6B"/>
    <w:rsid w:val="00971E06"/>
    <w:rsid w:val="00971FF4"/>
    <w:rsid w:val="0097234F"/>
    <w:rsid w:val="009725B8"/>
    <w:rsid w:val="0097316B"/>
    <w:rsid w:val="00973512"/>
    <w:rsid w:val="009736A1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A67"/>
    <w:rsid w:val="00981166"/>
    <w:rsid w:val="00981B93"/>
    <w:rsid w:val="00982BEB"/>
    <w:rsid w:val="00983F8E"/>
    <w:rsid w:val="00984453"/>
    <w:rsid w:val="00985634"/>
    <w:rsid w:val="00985AAA"/>
    <w:rsid w:val="009863F5"/>
    <w:rsid w:val="009866DB"/>
    <w:rsid w:val="009868D3"/>
    <w:rsid w:val="00986E50"/>
    <w:rsid w:val="00987364"/>
    <w:rsid w:val="00990047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404"/>
    <w:rsid w:val="009947FE"/>
    <w:rsid w:val="00994A4F"/>
    <w:rsid w:val="00994D4A"/>
    <w:rsid w:val="00994E15"/>
    <w:rsid w:val="009954BF"/>
    <w:rsid w:val="0099579F"/>
    <w:rsid w:val="00995988"/>
    <w:rsid w:val="00996E50"/>
    <w:rsid w:val="0099709A"/>
    <w:rsid w:val="009972C3"/>
    <w:rsid w:val="0099737F"/>
    <w:rsid w:val="009A0294"/>
    <w:rsid w:val="009A1775"/>
    <w:rsid w:val="009A298F"/>
    <w:rsid w:val="009A2B88"/>
    <w:rsid w:val="009A339E"/>
    <w:rsid w:val="009A35A4"/>
    <w:rsid w:val="009A394F"/>
    <w:rsid w:val="009A4389"/>
    <w:rsid w:val="009A4456"/>
    <w:rsid w:val="009A47C1"/>
    <w:rsid w:val="009A5F9B"/>
    <w:rsid w:val="009A75C8"/>
    <w:rsid w:val="009A7C54"/>
    <w:rsid w:val="009B08E9"/>
    <w:rsid w:val="009B0BA1"/>
    <w:rsid w:val="009B234E"/>
    <w:rsid w:val="009B253E"/>
    <w:rsid w:val="009B2782"/>
    <w:rsid w:val="009B2E23"/>
    <w:rsid w:val="009B3333"/>
    <w:rsid w:val="009B4D55"/>
    <w:rsid w:val="009B50B0"/>
    <w:rsid w:val="009B51E4"/>
    <w:rsid w:val="009B5211"/>
    <w:rsid w:val="009B58C2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54"/>
    <w:rsid w:val="009C30B2"/>
    <w:rsid w:val="009C40BA"/>
    <w:rsid w:val="009C4338"/>
    <w:rsid w:val="009C437E"/>
    <w:rsid w:val="009C57D7"/>
    <w:rsid w:val="009C5AEF"/>
    <w:rsid w:val="009C5E5D"/>
    <w:rsid w:val="009C5FFB"/>
    <w:rsid w:val="009C6F90"/>
    <w:rsid w:val="009C7643"/>
    <w:rsid w:val="009D0477"/>
    <w:rsid w:val="009D0634"/>
    <w:rsid w:val="009D0994"/>
    <w:rsid w:val="009D0A51"/>
    <w:rsid w:val="009D1786"/>
    <w:rsid w:val="009D1DCD"/>
    <w:rsid w:val="009D2B71"/>
    <w:rsid w:val="009D327A"/>
    <w:rsid w:val="009D336C"/>
    <w:rsid w:val="009D3745"/>
    <w:rsid w:val="009D3A49"/>
    <w:rsid w:val="009D416A"/>
    <w:rsid w:val="009D4A0F"/>
    <w:rsid w:val="009D6206"/>
    <w:rsid w:val="009D76DF"/>
    <w:rsid w:val="009D77E0"/>
    <w:rsid w:val="009D7F70"/>
    <w:rsid w:val="009E1EF0"/>
    <w:rsid w:val="009E2223"/>
    <w:rsid w:val="009E2556"/>
    <w:rsid w:val="009E29AB"/>
    <w:rsid w:val="009E29E3"/>
    <w:rsid w:val="009E2A1D"/>
    <w:rsid w:val="009E2A9B"/>
    <w:rsid w:val="009E4898"/>
    <w:rsid w:val="009E503D"/>
    <w:rsid w:val="009E52B7"/>
    <w:rsid w:val="009E5464"/>
    <w:rsid w:val="009E57C2"/>
    <w:rsid w:val="009E5958"/>
    <w:rsid w:val="009E5AF4"/>
    <w:rsid w:val="009E5FF7"/>
    <w:rsid w:val="009E61F7"/>
    <w:rsid w:val="009E6953"/>
    <w:rsid w:val="009E6EE5"/>
    <w:rsid w:val="009F0162"/>
    <w:rsid w:val="009F26BB"/>
    <w:rsid w:val="009F28D1"/>
    <w:rsid w:val="009F28FC"/>
    <w:rsid w:val="009F2CD7"/>
    <w:rsid w:val="009F3323"/>
    <w:rsid w:val="009F3451"/>
    <w:rsid w:val="009F3982"/>
    <w:rsid w:val="009F486B"/>
    <w:rsid w:val="009F499C"/>
    <w:rsid w:val="009F5869"/>
    <w:rsid w:val="009F63C4"/>
    <w:rsid w:val="009F64A1"/>
    <w:rsid w:val="009F6A0E"/>
    <w:rsid w:val="009F7082"/>
    <w:rsid w:val="009F776D"/>
    <w:rsid w:val="009F791A"/>
    <w:rsid w:val="009F7DF6"/>
    <w:rsid w:val="00A019AE"/>
    <w:rsid w:val="00A02489"/>
    <w:rsid w:val="00A0262E"/>
    <w:rsid w:val="00A0280D"/>
    <w:rsid w:val="00A03104"/>
    <w:rsid w:val="00A0325F"/>
    <w:rsid w:val="00A035CD"/>
    <w:rsid w:val="00A037FD"/>
    <w:rsid w:val="00A03A19"/>
    <w:rsid w:val="00A04868"/>
    <w:rsid w:val="00A050F7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23A"/>
    <w:rsid w:val="00A16A71"/>
    <w:rsid w:val="00A16E50"/>
    <w:rsid w:val="00A16E95"/>
    <w:rsid w:val="00A17251"/>
    <w:rsid w:val="00A1737E"/>
    <w:rsid w:val="00A1737F"/>
    <w:rsid w:val="00A219A4"/>
    <w:rsid w:val="00A21D66"/>
    <w:rsid w:val="00A21ECF"/>
    <w:rsid w:val="00A22967"/>
    <w:rsid w:val="00A22D8E"/>
    <w:rsid w:val="00A23B39"/>
    <w:rsid w:val="00A23B42"/>
    <w:rsid w:val="00A24556"/>
    <w:rsid w:val="00A25343"/>
    <w:rsid w:val="00A253DD"/>
    <w:rsid w:val="00A25713"/>
    <w:rsid w:val="00A257D3"/>
    <w:rsid w:val="00A257E8"/>
    <w:rsid w:val="00A25812"/>
    <w:rsid w:val="00A25C86"/>
    <w:rsid w:val="00A25D2E"/>
    <w:rsid w:val="00A25ECC"/>
    <w:rsid w:val="00A2644B"/>
    <w:rsid w:val="00A26D06"/>
    <w:rsid w:val="00A26E5E"/>
    <w:rsid w:val="00A27E46"/>
    <w:rsid w:val="00A27ECC"/>
    <w:rsid w:val="00A31098"/>
    <w:rsid w:val="00A31867"/>
    <w:rsid w:val="00A31A74"/>
    <w:rsid w:val="00A31AD5"/>
    <w:rsid w:val="00A3201C"/>
    <w:rsid w:val="00A32464"/>
    <w:rsid w:val="00A32D28"/>
    <w:rsid w:val="00A332E3"/>
    <w:rsid w:val="00A33605"/>
    <w:rsid w:val="00A339FF"/>
    <w:rsid w:val="00A35C25"/>
    <w:rsid w:val="00A35E6E"/>
    <w:rsid w:val="00A36DFB"/>
    <w:rsid w:val="00A40CE0"/>
    <w:rsid w:val="00A41E06"/>
    <w:rsid w:val="00A41FE4"/>
    <w:rsid w:val="00A42A14"/>
    <w:rsid w:val="00A42C01"/>
    <w:rsid w:val="00A42E4B"/>
    <w:rsid w:val="00A42EF3"/>
    <w:rsid w:val="00A43F4D"/>
    <w:rsid w:val="00A4475C"/>
    <w:rsid w:val="00A44891"/>
    <w:rsid w:val="00A44C00"/>
    <w:rsid w:val="00A44FF0"/>
    <w:rsid w:val="00A4538F"/>
    <w:rsid w:val="00A45772"/>
    <w:rsid w:val="00A45819"/>
    <w:rsid w:val="00A4584C"/>
    <w:rsid w:val="00A45D46"/>
    <w:rsid w:val="00A45E71"/>
    <w:rsid w:val="00A45F09"/>
    <w:rsid w:val="00A45F9A"/>
    <w:rsid w:val="00A470A6"/>
    <w:rsid w:val="00A47A5E"/>
    <w:rsid w:val="00A511FC"/>
    <w:rsid w:val="00A51521"/>
    <w:rsid w:val="00A51DD3"/>
    <w:rsid w:val="00A51EFC"/>
    <w:rsid w:val="00A52359"/>
    <w:rsid w:val="00A52587"/>
    <w:rsid w:val="00A525A8"/>
    <w:rsid w:val="00A5289A"/>
    <w:rsid w:val="00A52BD4"/>
    <w:rsid w:val="00A52E79"/>
    <w:rsid w:val="00A53860"/>
    <w:rsid w:val="00A54009"/>
    <w:rsid w:val="00A544D3"/>
    <w:rsid w:val="00A54D01"/>
    <w:rsid w:val="00A564F6"/>
    <w:rsid w:val="00A57429"/>
    <w:rsid w:val="00A60199"/>
    <w:rsid w:val="00A6106A"/>
    <w:rsid w:val="00A61844"/>
    <w:rsid w:val="00A61AF6"/>
    <w:rsid w:val="00A61EB4"/>
    <w:rsid w:val="00A62A3D"/>
    <w:rsid w:val="00A63B8F"/>
    <w:rsid w:val="00A64F73"/>
    <w:rsid w:val="00A65765"/>
    <w:rsid w:val="00A65F0D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E53"/>
    <w:rsid w:val="00A734C0"/>
    <w:rsid w:val="00A73B1C"/>
    <w:rsid w:val="00A74380"/>
    <w:rsid w:val="00A74565"/>
    <w:rsid w:val="00A74D39"/>
    <w:rsid w:val="00A75655"/>
    <w:rsid w:val="00A756EC"/>
    <w:rsid w:val="00A774F2"/>
    <w:rsid w:val="00A77C0F"/>
    <w:rsid w:val="00A77C3F"/>
    <w:rsid w:val="00A80C73"/>
    <w:rsid w:val="00A80D8B"/>
    <w:rsid w:val="00A81ABF"/>
    <w:rsid w:val="00A81E20"/>
    <w:rsid w:val="00A829E2"/>
    <w:rsid w:val="00A82E79"/>
    <w:rsid w:val="00A83356"/>
    <w:rsid w:val="00A83370"/>
    <w:rsid w:val="00A83792"/>
    <w:rsid w:val="00A83A23"/>
    <w:rsid w:val="00A845A6"/>
    <w:rsid w:val="00A851DB"/>
    <w:rsid w:val="00A854E1"/>
    <w:rsid w:val="00A868C3"/>
    <w:rsid w:val="00A869EC"/>
    <w:rsid w:val="00A86B3D"/>
    <w:rsid w:val="00A87353"/>
    <w:rsid w:val="00A876FF"/>
    <w:rsid w:val="00A90BF8"/>
    <w:rsid w:val="00A913EE"/>
    <w:rsid w:val="00A914D6"/>
    <w:rsid w:val="00A91698"/>
    <w:rsid w:val="00A91B8B"/>
    <w:rsid w:val="00A92882"/>
    <w:rsid w:val="00A92D55"/>
    <w:rsid w:val="00A93938"/>
    <w:rsid w:val="00A945C9"/>
    <w:rsid w:val="00A94847"/>
    <w:rsid w:val="00A95094"/>
    <w:rsid w:val="00A951DB"/>
    <w:rsid w:val="00A95EC0"/>
    <w:rsid w:val="00A95FB3"/>
    <w:rsid w:val="00A9689C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33BE"/>
    <w:rsid w:val="00AA4603"/>
    <w:rsid w:val="00AA5016"/>
    <w:rsid w:val="00AA517F"/>
    <w:rsid w:val="00AA5A74"/>
    <w:rsid w:val="00AA5ADB"/>
    <w:rsid w:val="00AA5BDE"/>
    <w:rsid w:val="00AB0646"/>
    <w:rsid w:val="00AB0AC4"/>
    <w:rsid w:val="00AB10FC"/>
    <w:rsid w:val="00AB1795"/>
    <w:rsid w:val="00AB192D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EE0"/>
    <w:rsid w:val="00AB6FCB"/>
    <w:rsid w:val="00AC07A2"/>
    <w:rsid w:val="00AC1CB6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7016"/>
    <w:rsid w:val="00AC71C5"/>
    <w:rsid w:val="00AC73DD"/>
    <w:rsid w:val="00AC78A4"/>
    <w:rsid w:val="00AD018C"/>
    <w:rsid w:val="00AD01F1"/>
    <w:rsid w:val="00AD0706"/>
    <w:rsid w:val="00AD0E86"/>
    <w:rsid w:val="00AD137C"/>
    <w:rsid w:val="00AD18E8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C19"/>
    <w:rsid w:val="00AD69C3"/>
    <w:rsid w:val="00AD70F9"/>
    <w:rsid w:val="00AD7A37"/>
    <w:rsid w:val="00AE002D"/>
    <w:rsid w:val="00AE0F69"/>
    <w:rsid w:val="00AE101F"/>
    <w:rsid w:val="00AE16EA"/>
    <w:rsid w:val="00AE186B"/>
    <w:rsid w:val="00AE1E98"/>
    <w:rsid w:val="00AE45BB"/>
    <w:rsid w:val="00AE49AB"/>
    <w:rsid w:val="00AE4DD7"/>
    <w:rsid w:val="00AE4F89"/>
    <w:rsid w:val="00AE5FAE"/>
    <w:rsid w:val="00AE6E0F"/>
    <w:rsid w:val="00AE6EF5"/>
    <w:rsid w:val="00AE6FF6"/>
    <w:rsid w:val="00AE7AD6"/>
    <w:rsid w:val="00AF0027"/>
    <w:rsid w:val="00AF003D"/>
    <w:rsid w:val="00AF05A7"/>
    <w:rsid w:val="00AF07E0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3AF5"/>
    <w:rsid w:val="00AF4FB0"/>
    <w:rsid w:val="00AF5358"/>
    <w:rsid w:val="00AF574B"/>
    <w:rsid w:val="00AF5910"/>
    <w:rsid w:val="00AF632B"/>
    <w:rsid w:val="00AF6E96"/>
    <w:rsid w:val="00B004B2"/>
    <w:rsid w:val="00B00930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2B2E"/>
    <w:rsid w:val="00B03678"/>
    <w:rsid w:val="00B03A87"/>
    <w:rsid w:val="00B03F23"/>
    <w:rsid w:val="00B048EB"/>
    <w:rsid w:val="00B049D8"/>
    <w:rsid w:val="00B050ED"/>
    <w:rsid w:val="00B05323"/>
    <w:rsid w:val="00B059E5"/>
    <w:rsid w:val="00B06933"/>
    <w:rsid w:val="00B06E8A"/>
    <w:rsid w:val="00B07016"/>
    <w:rsid w:val="00B0728F"/>
    <w:rsid w:val="00B07CDB"/>
    <w:rsid w:val="00B07D0D"/>
    <w:rsid w:val="00B106C5"/>
    <w:rsid w:val="00B110B8"/>
    <w:rsid w:val="00B112CF"/>
    <w:rsid w:val="00B11AD9"/>
    <w:rsid w:val="00B11D5B"/>
    <w:rsid w:val="00B1203C"/>
    <w:rsid w:val="00B12F73"/>
    <w:rsid w:val="00B14990"/>
    <w:rsid w:val="00B14E4D"/>
    <w:rsid w:val="00B15589"/>
    <w:rsid w:val="00B17A06"/>
    <w:rsid w:val="00B17C8E"/>
    <w:rsid w:val="00B20BA3"/>
    <w:rsid w:val="00B20FFD"/>
    <w:rsid w:val="00B21510"/>
    <w:rsid w:val="00B21CF4"/>
    <w:rsid w:val="00B2205B"/>
    <w:rsid w:val="00B22074"/>
    <w:rsid w:val="00B22252"/>
    <w:rsid w:val="00B2245B"/>
    <w:rsid w:val="00B22EEA"/>
    <w:rsid w:val="00B2354D"/>
    <w:rsid w:val="00B236F2"/>
    <w:rsid w:val="00B23AF3"/>
    <w:rsid w:val="00B243B6"/>
    <w:rsid w:val="00B244AE"/>
    <w:rsid w:val="00B24873"/>
    <w:rsid w:val="00B253BE"/>
    <w:rsid w:val="00B26123"/>
    <w:rsid w:val="00B26236"/>
    <w:rsid w:val="00B26662"/>
    <w:rsid w:val="00B26714"/>
    <w:rsid w:val="00B26F1D"/>
    <w:rsid w:val="00B275C1"/>
    <w:rsid w:val="00B27BA8"/>
    <w:rsid w:val="00B30057"/>
    <w:rsid w:val="00B30591"/>
    <w:rsid w:val="00B318C7"/>
    <w:rsid w:val="00B31E78"/>
    <w:rsid w:val="00B322D9"/>
    <w:rsid w:val="00B33431"/>
    <w:rsid w:val="00B33A93"/>
    <w:rsid w:val="00B33C7D"/>
    <w:rsid w:val="00B357C6"/>
    <w:rsid w:val="00B35B70"/>
    <w:rsid w:val="00B36EF8"/>
    <w:rsid w:val="00B3733C"/>
    <w:rsid w:val="00B4033F"/>
    <w:rsid w:val="00B40CA6"/>
    <w:rsid w:val="00B41088"/>
    <w:rsid w:val="00B42E29"/>
    <w:rsid w:val="00B430AC"/>
    <w:rsid w:val="00B433F1"/>
    <w:rsid w:val="00B4484F"/>
    <w:rsid w:val="00B449D7"/>
    <w:rsid w:val="00B44E8A"/>
    <w:rsid w:val="00B44FFA"/>
    <w:rsid w:val="00B45743"/>
    <w:rsid w:val="00B46D68"/>
    <w:rsid w:val="00B46E80"/>
    <w:rsid w:val="00B50595"/>
    <w:rsid w:val="00B50AC7"/>
    <w:rsid w:val="00B50F70"/>
    <w:rsid w:val="00B5166B"/>
    <w:rsid w:val="00B51D64"/>
    <w:rsid w:val="00B521D4"/>
    <w:rsid w:val="00B529D4"/>
    <w:rsid w:val="00B53357"/>
    <w:rsid w:val="00B535BB"/>
    <w:rsid w:val="00B54C43"/>
    <w:rsid w:val="00B54CCB"/>
    <w:rsid w:val="00B554A6"/>
    <w:rsid w:val="00B555B8"/>
    <w:rsid w:val="00B55685"/>
    <w:rsid w:val="00B55833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396"/>
    <w:rsid w:val="00B676FA"/>
    <w:rsid w:val="00B677D6"/>
    <w:rsid w:val="00B67B06"/>
    <w:rsid w:val="00B7045E"/>
    <w:rsid w:val="00B70A64"/>
    <w:rsid w:val="00B70D32"/>
    <w:rsid w:val="00B71170"/>
    <w:rsid w:val="00B71F91"/>
    <w:rsid w:val="00B71FA3"/>
    <w:rsid w:val="00B72310"/>
    <w:rsid w:val="00B72C94"/>
    <w:rsid w:val="00B72F06"/>
    <w:rsid w:val="00B743C5"/>
    <w:rsid w:val="00B74898"/>
    <w:rsid w:val="00B749E2"/>
    <w:rsid w:val="00B751BE"/>
    <w:rsid w:val="00B76768"/>
    <w:rsid w:val="00B77BD3"/>
    <w:rsid w:val="00B77D0B"/>
    <w:rsid w:val="00B811C5"/>
    <w:rsid w:val="00B811FD"/>
    <w:rsid w:val="00B81428"/>
    <w:rsid w:val="00B81589"/>
    <w:rsid w:val="00B82A42"/>
    <w:rsid w:val="00B8390E"/>
    <w:rsid w:val="00B83D24"/>
    <w:rsid w:val="00B84017"/>
    <w:rsid w:val="00B8405F"/>
    <w:rsid w:val="00B84126"/>
    <w:rsid w:val="00B841CC"/>
    <w:rsid w:val="00B84457"/>
    <w:rsid w:val="00B84F4F"/>
    <w:rsid w:val="00B85476"/>
    <w:rsid w:val="00B8580E"/>
    <w:rsid w:val="00B86324"/>
    <w:rsid w:val="00B8695E"/>
    <w:rsid w:val="00B86F71"/>
    <w:rsid w:val="00B908E4"/>
    <w:rsid w:val="00B90FEA"/>
    <w:rsid w:val="00B91BB6"/>
    <w:rsid w:val="00B91D8F"/>
    <w:rsid w:val="00B921B8"/>
    <w:rsid w:val="00B93812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26F"/>
    <w:rsid w:val="00BB0E52"/>
    <w:rsid w:val="00BB1148"/>
    <w:rsid w:val="00BB14CC"/>
    <w:rsid w:val="00BB2294"/>
    <w:rsid w:val="00BB2E3E"/>
    <w:rsid w:val="00BB2F7A"/>
    <w:rsid w:val="00BB344D"/>
    <w:rsid w:val="00BB35CB"/>
    <w:rsid w:val="00BB3D35"/>
    <w:rsid w:val="00BB47C3"/>
    <w:rsid w:val="00BB5A50"/>
    <w:rsid w:val="00BB5DFF"/>
    <w:rsid w:val="00BB69E2"/>
    <w:rsid w:val="00BB765A"/>
    <w:rsid w:val="00BC0829"/>
    <w:rsid w:val="00BC13AB"/>
    <w:rsid w:val="00BC3927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EEB"/>
    <w:rsid w:val="00BD752E"/>
    <w:rsid w:val="00BD795C"/>
    <w:rsid w:val="00BE1076"/>
    <w:rsid w:val="00BE13E0"/>
    <w:rsid w:val="00BE1545"/>
    <w:rsid w:val="00BE17E9"/>
    <w:rsid w:val="00BE27F3"/>
    <w:rsid w:val="00BE2BD1"/>
    <w:rsid w:val="00BE2D01"/>
    <w:rsid w:val="00BE34FF"/>
    <w:rsid w:val="00BE3E8F"/>
    <w:rsid w:val="00BE3F24"/>
    <w:rsid w:val="00BE4F12"/>
    <w:rsid w:val="00BE509C"/>
    <w:rsid w:val="00BE582C"/>
    <w:rsid w:val="00BE74E0"/>
    <w:rsid w:val="00BE774D"/>
    <w:rsid w:val="00BE7B9A"/>
    <w:rsid w:val="00BF0A57"/>
    <w:rsid w:val="00BF127F"/>
    <w:rsid w:val="00BF1775"/>
    <w:rsid w:val="00BF23E2"/>
    <w:rsid w:val="00BF2787"/>
    <w:rsid w:val="00BF30FF"/>
    <w:rsid w:val="00BF349D"/>
    <w:rsid w:val="00BF34ED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1B7"/>
    <w:rsid w:val="00C0318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10507"/>
    <w:rsid w:val="00C110D4"/>
    <w:rsid w:val="00C113FD"/>
    <w:rsid w:val="00C1256D"/>
    <w:rsid w:val="00C1283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2080B"/>
    <w:rsid w:val="00C20BC5"/>
    <w:rsid w:val="00C20ED8"/>
    <w:rsid w:val="00C20F2D"/>
    <w:rsid w:val="00C2285C"/>
    <w:rsid w:val="00C22B87"/>
    <w:rsid w:val="00C232F1"/>
    <w:rsid w:val="00C23417"/>
    <w:rsid w:val="00C23A3D"/>
    <w:rsid w:val="00C23B02"/>
    <w:rsid w:val="00C23B24"/>
    <w:rsid w:val="00C23E04"/>
    <w:rsid w:val="00C2404F"/>
    <w:rsid w:val="00C243A4"/>
    <w:rsid w:val="00C24AD9"/>
    <w:rsid w:val="00C25497"/>
    <w:rsid w:val="00C26CCE"/>
    <w:rsid w:val="00C271BE"/>
    <w:rsid w:val="00C27D1A"/>
    <w:rsid w:val="00C302B6"/>
    <w:rsid w:val="00C306C0"/>
    <w:rsid w:val="00C31341"/>
    <w:rsid w:val="00C313E3"/>
    <w:rsid w:val="00C31AD4"/>
    <w:rsid w:val="00C31D33"/>
    <w:rsid w:val="00C32786"/>
    <w:rsid w:val="00C32C00"/>
    <w:rsid w:val="00C34E9B"/>
    <w:rsid w:val="00C3514E"/>
    <w:rsid w:val="00C35A6F"/>
    <w:rsid w:val="00C36B5B"/>
    <w:rsid w:val="00C378CB"/>
    <w:rsid w:val="00C402A4"/>
    <w:rsid w:val="00C40919"/>
    <w:rsid w:val="00C40969"/>
    <w:rsid w:val="00C41FF8"/>
    <w:rsid w:val="00C4231B"/>
    <w:rsid w:val="00C42B39"/>
    <w:rsid w:val="00C42E56"/>
    <w:rsid w:val="00C4316F"/>
    <w:rsid w:val="00C43209"/>
    <w:rsid w:val="00C442ED"/>
    <w:rsid w:val="00C4519F"/>
    <w:rsid w:val="00C45766"/>
    <w:rsid w:val="00C46A0A"/>
    <w:rsid w:val="00C46ABC"/>
    <w:rsid w:val="00C479BB"/>
    <w:rsid w:val="00C47FDC"/>
    <w:rsid w:val="00C5030C"/>
    <w:rsid w:val="00C50361"/>
    <w:rsid w:val="00C5077B"/>
    <w:rsid w:val="00C50E5F"/>
    <w:rsid w:val="00C524D9"/>
    <w:rsid w:val="00C527A7"/>
    <w:rsid w:val="00C5305C"/>
    <w:rsid w:val="00C53119"/>
    <w:rsid w:val="00C54FE6"/>
    <w:rsid w:val="00C55405"/>
    <w:rsid w:val="00C55629"/>
    <w:rsid w:val="00C558BC"/>
    <w:rsid w:val="00C558D1"/>
    <w:rsid w:val="00C56FCB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5D"/>
    <w:rsid w:val="00C662D3"/>
    <w:rsid w:val="00C67242"/>
    <w:rsid w:val="00C67898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85D"/>
    <w:rsid w:val="00C739C4"/>
    <w:rsid w:val="00C75242"/>
    <w:rsid w:val="00C7577B"/>
    <w:rsid w:val="00C75BF9"/>
    <w:rsid w:val="00C77624"/>
    <w:rsid w:val="00C77B5B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F2E"/>
    <w:rsid w:val="00C84136"/>
    <w:rsid w:val="00C8515C"/>
    <w:rsid w:val="00C8520B"/>
    <w:rsid w:val="00C87A21"/>
    <w:rsid w:val="00C87B02"/>
    <w:rsid w:val="00C87E1B"/>
    <w:rsid w:val="00C87F31"/>
    <w:rsid w:val="00C90138"/>
    <w:rsid w:val="00C917D9"/>
    <w:rsid w:val="00C91B9F"/>
    <w:rsid w:val="00C91D56"/>
    <w:rsid w:val="00C92BC6"/>
    <w:rsid w:val="00C935F5"/>
    <w:rsid w:val="00C93889"/>
    <w:rsid w:val="00C93C8D"/>
    <w:rsid w:val="00C94373"/>
    <w:rsid w:val="00C94387"/>
    <w:rsid w:val="00C9438E"/>
    <w:rsid w:val="00C94431"/>
    <w:rsid w:val="00C94D2C"/>
    <w:rsid w:val="00C95059"/>
    <w:rsid w:val="00C967E0"/>
    <w:rsid w:val="00C96E76"/>
    <w:rsid w:val="00CA017A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5659"/>
    <w:rsid w:val="00CA6239"/>
    <w:rsid w:val="00CA6C6E"/>
    <w:rsid w:val="00CA7571"/>
    <w:rsid w:val="00CA7D40"/>
    <w:rsid w:val="00CB028C"/>
    <w:rsid w:val="00CB0693"/>
    <w:rsid w:val="00CB0B59"/>
    <w:rsid w:val="00CB18EF"/>
    <w:rsid w:val="00CB2174"/>
    <w:rsid w:val="00CB27CA"/>
    <w:rsid w:val="00CB3167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6699"/>
    <w:rsid w:val="00CB669E"/>
    <w:rsid w:val="00CB6802"/>
    <w:rsid w:val="00CB6A1B"/>
    <w:rsid w:val="00CB776F"/>
    <w:rsid w:val="00CC0269"/>
    <w:rsid w:val="00CC041C"/>
    <w:rsid w:val="00CC0824"/>
    <w:rsid w:val="00CC0C1C"/>
    <w:rsid w:val="00CC17EC"/>
    <w:rsid w:val="00CC1A57"/>
    <w:rsid w:val="00CC1D2B"/>
    <w:rsid w:val="00CC2A55"/>
    <w:rsid w:val="00CC2C1A"/>
    <w:rsid w:val="00CC3E2C"/>
    <w:rsid w:val="00CC438F"/>
    <w:rsid w:val="00CC56B9"/>
    <w:rsid w:val="00CC5F86"/>
    <w:rsid w:val="00CC7989"/>
    <w:rsid w:val="00CC7D5A"/>
    <w:rsid w:val="00CD0E85"/>
    <w:rsid w:val="00CD13D3"/>
    <w:rsid w:val="00CD13EC"/>
    <w:rsid w:val="00CD1E38"/>
    <w:rsid w:val="00CD209F"/>
    <w:rsid w:val="00CD2B89"/>
    <w:rsid w:val="00CD388A"/>
    <w:rsid w:val="00CD3D12"/>
    <w:rsid w:val="00CD4996"/>
    <w:rsid w:val="00CD50AF"/>
    <w:rsid w:val="00CD5480"/>
    <w:rsid w:val="00CD696E"/>
    <w:rsid w:val="00CD6D7B"/>
    <w:rsid w:val="00CD6F40"/>
    <w:rsid w:val="00CD7A33"/>
    <w:rsid w:val="00CE006A"/>
    <w:rsid w:val="00CE05EE"/>
    <w:rsid w:val="00CE05F3"/>
    <w:rsid w:val="00CE1708"/>
    <w:rsid w:val="00CE1969"/>
    <w:rsid w:val="00CE1C36"/>
    <w:rsid w:val="00CE1E89"/>
    <w:rsid w:val="00CE2D8C"/>
    <w:rsid w:val="00CE37AF"/>
    <w:rsid w:val="00CE3EF6"/>
    <w:rsid w:val="00CE3F5B"/>
    <w:rsid w:val="00CE46D3"/>
    <w:rsid w:val="00CE4998"/>
    <w:rsid w:val="00CE5CFA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C03"/>
    <w:rsid w:val="00CF7F58"/>
    <w:rsid w:val="00D0339D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A55"/>
    <w:rsid w:val="00D06879"/>
    <w:rsid w:val="00D06FF3"/>
    <w:rsid w:val="00D07CC5"/>
    <w:rsid w:val="00D07CDE"/>
    <w:rsid w:val="00D1009A"/>
    <w:rsid w:val="00D10351"/>
    <w:rsid w:val="00D10907"/>
    <w:rsid w:val="00D11409"/>
    <w:rsid w:val="00D11430"/>
    <w:rsid w:val="00D11995"/>
    <w:rsid w:val="00D11F1E"/>
    <w:rsid w:val="00D11F67"/>
    <w:rsid w:val="00D12313"/>
    <w:rsid w:val="00D12CE3"/>
    <w:rsid w:val="00D1316B"/>
    <w:rsid w:val="00D133E9"/>
    <w:rsid w:val="00D14B62"/>
    <w:rsid w:val="00D15571"/>
    <w:rsid w:val="00D1588F"/>
    <w:rsid w:val="00D15C91"/>
    <w:rsid w:val="00D16592"/>
    <w:rsid w:val="00D167AD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1F1"/>
    <w:rsid w:val="00D25381"/>
    <w:rsid w:val="00D257C2"/>
    <w:rsid w:val="00D2698F"/>
    <w:rsid w:val="00D269DB"/>
    <w:rsid w:val="00D26B26"/>
    <w:rsid w:val="00D26DC4"/>
    <w:rsid w:val="00D27A33"/>
    <w:rsid w:val="00D30917"/>
    <w:rsid w:val="00D30B0F"/>
    <w:rsid w:val="00D31175"/>
    <w:rsid w:val="00D3251F"/>
    <w:rsid w:val="00D32FEF"/>
    <w:rsid w:val="00D334B7"/>
    <w:rsid w:val="00D33A02"/>
    <w:rsid w:val="00D33E0C"/>
    <w:rsid w:val="00D34293"/>
    <w:rsid w:val="00D349FD"/>
    <w:rsid w:val="00D351AA"/>
    <w:rsid w:val="00D352AA"/>
    <w:rsid w:val="00D35887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746"/>
    <w:rsid w:val="00D43807"/>
    <w:rsid w:val="00D4431C"/>
    <w:rsid w:val="00D44C6D"/>
    <w:rsid w:val="00D44DC9"/>
    <w:rsid w:val="00D46BC2"/>
    <w:rsid w:val="00D46D7B"/>
    <w:rsid w:val="00D47115"/>
    <w:rsid w:val="00D471B4"/>
    <w:rsid w:val="00D47518"/>
    <w:rsid w:val="00D47EC2"/>
    <w:rsid w:val="00D50557"/>
    <w:rsid w:val="00D508CE"/>
    <w:rsid w:val="00D50C0D"/>
    <w:rsid w:val="00D50D06"/>
    <w:rsid w:val="00D50FAB"/>
    <w:rsid w:val="00D51B6C"/>
    <w:rsid w:val="00D51F50"/>
    <w:rsid w:val="00D522B4"/>
    <w:rsid w:val="00D53AE0"/>
    <w:rsid w:val="00D54D59"/>
    <w:rsid w:val="00D55475"/>
    <w:rsid w:val="00D5617E"/>
    <w:rsid w:val="00D57014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653A"/>
    <w:rsid w:val="00D6692C"/>
    <w:rsid w:val="00D66AA7"/>
    <w:rsid w:val="00D6713F"/>
    <w:rsid w:val="00D677FC"/>
    <w:rsid w:val="00D67D5E"/>
    <w:rsid w:val="00D67FCF"/>
    <w:rsid w:val="00D70709"/>
    <w:rsid w:val="00D70C1F"/>
    <w:rsid w:val="00D7185F"/>
    <w:rsid w:val="00D719DE"/>
    <w:rsid w:val="00D720F2"/>
    <w:rsid w:val="00D723CD"/>
    <w:rsid w:val="00D72F0D"/>
    <w:rsid w:val="00D73171"/>
    <w:rsid w:val="00D7328E"/>
    <w:rsid w:val="00D73733"/>
    <w:rsid w:val="00D75FD8"/>
    <w:rsid w:val="00D761AA"/>
    <w:rsid w:val="00D76515"/>
    <w:rsid w:val="00D775B7"/>
    <w:rsid w:val="00D77974"/>
    <w:rsid w:val="00D7797D"/>
    <w:rsid w:val="00D8000E"/>
    <w:rsid w:val="00D80990"/>
    <w:rsid w:val="00D81598"/>
    <w:rsid w:val="00D81725"/>
    <w:rsid w:val="00D8195C"/>
    <w:rsid w:val="00D81AFB"/>
    <w:rsid w:val="00D81DC9"/>
    <w:rsid w:val="00D81EE5"/>
    <w:rsid w:val="00D820C7"/>
    <w:rsid w:val="00D8239C"/>
    <w:rsid w:val="00D82456"/>
    <w:rsid w:val="00D82901"/>
    <w:rsid w:val="00D82BD4"/>
    <w:rsid w:val="00D82C17"/>
    <w:rsid w:val="00D82E76"/>
    <w:rsid w:val="00D832B5"/>
    <w:rsid w:val="00D83902"/>
    <w:rsid w:val="00D84164"/>
    <w:rsid w:val="00D84418"/>
    <w:rsid w:val="00D84F8F"/>
    <w:rsid w:val="00D858A0"/>
    <w:rsid w:val="00D8672E"/>
    <w:rsid w:val="00D86B23"/>
    <w:rsid w:val="00D86EA4"/>
    <w:rsid w:val="00D90F9D"/>
    <w:rsid w:val="00D91E39"/>
    <w:rsid w:val="00D921A2"/>
    <w:rsid w:val="00D922CE"/>
    <w:rsid w:val="00D92B68"/>
    <w:rsid w:val="00D937AD"/>
    <w:rsid w:val="00D947C2"/>
    <w:rsid w:val="00D94AB4"/>
    <w:rsid w:val="00D94E2C"/>
    <w:rsid w:val="00D951F3"/>
    <w:rsid w:val="00D95F7F"/>
    <w:rsid w:val="00D962F2"/>
    <w:rsid w:val="00D96916"/>
    <w:rsid w:val="00D96E9E"/>
    <w:rsid w:val="00DA0083"/>
    <w:rsid w:val="00DA008F"/>
    <w:rsid w:val="00DA014D"/>
    <w:rsid w:val="00DA0B81"/>
    <w:rsid w:val="00DA1295"/>
    <w:rsid w:val="00DA27C9"/>
    <w:rsid w:val="00DA294A"/>
    <w:rsid w:val="00DA357C"/>
    <w:rsid w:val="00DA3910"/>
    <w:rsid w:val="00DA4739"/>
    <w:rsid w:val="00DA478C"/>
    <w:rsid w:val="00DA4A3C"/>
    <w:rsid w:val="00DA5ACC"/>
    <w:rsid w:val="00DA5D2F"/>
    <w:rsid w:val="00DA5D79"/>
    <w:rsid w:val="00DA5E3D"/>
    <w:rsid w:val="00DA6BEC"/>
    <w:rsid w:val="00DA75FE"/>
    <w:rsid w:val="00DA7877"/>
    <w:rsid w:val="00DA7B5F"/>
    <w:rsid w:val="00DB05A6"/>
    <w:rsid w:val="00DB0A62"/>
    <w:rsid w:val="00DB12CA"/>
    <w:rsid w:val="00DB1BF9"/>
    <w:rsid w:val="00DB223D"/>
    <w:rsid w:val="00DB2F69"/>
    <w:rsid w:val="00DB43A7"/>
    <w:rsid w:val="00DB4650"/>
    <w:rsid w:val="00DB51D7"/>
    <w:rsid w:val="00DB53CF"/>
    <w:rsid w:val="00DB5435"/>
    <w:rsid w:val="00DB5577"/>
    <w:rsid w:val="00DB5A8B"/>
    <w:rsid w:val="00DB7120"/>
    <w:rsid w:val="00DB7541"/>
    <w:rsid w:val="00DB792B"/>
    <w:rsid w:val="00DC066E"/>
    <w:rsid w:val="00DC077A"/>
    <w:rsid w:val="00DC13C0"/>
    <w:rsid w:val="00DC1B18"/>
    <w:rsid w:val="00DC1BD5"/>
    <w:rsid w:val="00DC1D95"/>
    <w:rsid w:val="00DC1ED0"/>
    <w:rsid w:val="00DC21B4"/>
    <w:rsid w:val="00DC37CE"/>
    <w:rsid w:val="00DC3EB3"/>
    <w:rsid w:val="00DC3EC5"/>
    <w:rsid w:val="00DC4A35"/>
    <w:rsid w:val="00DC4AC0"/>
    <w:rsid w:val="00DC4DDF"/>
    <w:rsid w:val="00DC5C31"/>
    <w:rsid w:val="00DC6553"/>
    <w:rsid w:val="00DC66CD"/>
    <w:rsid w:val="00DC686A"/>
    <w:rsid w:val="00DC698C"/>
    <w:rsid w:val="00DC6EF1"/>
    <w:rsid w:val="00DC7524"/>
    <w:rsid w:val="00DD00E3"/>
    <w:rsid w:val="00DD05F7"/>
    <w:rsid w:val="00DD0711"/>
    <w:rsid w:val="00DD0D01"/>
    <w:rsid w:val="00DD0FA1"/>
    <w:rsid w:val="00DD12B4"/>
    <w:rsid w:val="00DD20BE"/>
    <w:rsid w:val="00DD2647"/>
    <w:rsid w:val="00DD26C4"/>
    <w:rsid w:val="00DD28B0"/>
    <w:rsid w:val="00DD3284"/>
    <w:rsid w:val="00DD36B4"/>
    <w:rsid w:val="00DD3B25"/>
    <w:rsid w:val="00DD4952"/>
    <w:rsid w:val="00DD5DE9"/>
    <w:rsid w:val="00DD6014"/>
    <w:rsid w:val="00DD612E"/>
    <w:rsid w:val="00DD6C5F"/>
    <w:rsid w:val="00DD70A6"/>
    <w:rsid w:val="00DD769F"/>
    <w:rsid w:val="00DD7959"/>
    <w:rsid w:val="00DD7962"/>
    <w:rsid w:val="00DD7AE1"/>
    <w:rsid w:val="00DD7FCF"/>
    <w:rsid w:val="00DE236D"/>
    <w:rsid w:val="00DE3704"/>
    <w:rsid w:val="00DE3CCE"/>
    <w:rsid w:val="00DE4046"/>
    <w:rsid w:val="00DE4B1A"/>
    <w:rsid w:val="00DE553B"/>
    <w:rsid w:val="00DE5AF5"/>
    <w:rsid w:val="00DE6FC1"/>
    <w:rsid w:val="00DE7047"/>
    <w:rsid w:val="00DE7A04"/>
    <w:rsid w:val="00DE7DD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30DD"/>
    <w:rsid w:val="00DF3C9D"/>
    <w:rsid w:val="00DF3DBB"/>
    <w:rsid w:val="00DF40CC"/>
    <w:rsid w:val="00DF451C"/>
    <w:rsid w:val="00DF4BA5"/>
    <w:rsid w:val="00DF514F"/>
    <w:rsid w:val="00DF6043"/>
    <w:rsid w:val="00DF6158"/>
    <w:rsid w:val="00DF7121"/>
    <w:rsid w:val="00DF71ED"/>
    <w:rsid w:val="00DF739B"/>
    <w:rsid w:val="00DF75A8"/>
    <w:rsid w:val="00DF75EF"/>
    <w:rsid w:val="00DF7651"/>
    <w:rsid w:val="00DF76F7"/>
    <w:rsid w:val="00DF7BC0"/>
    <w:rsid w:val="00E002CE"/>
    <w:rsid w:val="00E014CE"/>
    <w:rsid w:val="00E026C7"/>
    <w:rsid w:val="00E02E88"/>
    <w:rsid w:val="00E03533"/>
    <w:rsid w:val="00E04F18"/>
    <w:rsid w:val="00E05752"/>
    <w:rsid w:val="00E05957"/>
    <w:rsid w:val="00E05EED"/>
    <w:rsid w:val="00E0622F"/>
    <w:rsid w:val="00E06B25"/>
    <w:rsid w:val="00E10039"/>
    <w:rsid w:val="00E102DB"/>
    <w:rsid w:val="00E10A51"/>
    <w:rsid w:val="00E11DC4"/>
    <w:rsid w:val="00E12064"/>
    <w:rsid w:val="00E122B8"/>
    <w:rsid w:val="00E12E3D"/>
    <w:rsid w:val="00E12F87"/>
    <w:rsid w:val="00E12F9A"/>
    <w:rsid w:val="00E131C1"/>
    <w:rsid w:val="00E13C72"/>
    <w:rsid w:val="00E13C98"/>
    <w:rsid w:val="00E14BCB"/>
    <w:rsid w:val="00E14FF2"/>
    <w:rsid w:val="00E1512C"/>
    <w:rsid w:val="00E15875"/>
    <w:rsid w:val="00E15A77"/>
    <w:rsid w:val="00E15A91"/>
    <w:rsid w:val="00E1648C"/>
    <w:rsid w:val="00E16623"/>
    <w:rsid w:val="00E16A49"/>
    <w:rsid w:val="00E1704A"/>
    <w:rsid w:val="00E17A60"/>
    <w:rsid w:val="00E2025A"/>
    <w:rsid w:val="00E20551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839"/>
    <w:rsid w:val="00E248CF"/>
    <w:rsid w:val="00E24EA8"/>
    <w:rsid w:val="00E251E1"/>
    <w:rsid w:val="00E25535"/>
    <w:rsid w:val="00E25A23"/>
    <w:rsid w:val="00E25A92"/>
    <w:rsid w:val="00E25E27"/>
    <w:rsid w:val="00E26756"/>
    <w:rsid w:val="00E26C78"/>
    <w:rsid w:val="00E26CF2"/>
    <w:rsid w:val="00E26F55"/>
    <w:rsid w:val="00E26F80"/>
    <w:rsid w:val="00E27742"/>
    <w:rsid w:val="00E27C22"/>
    <w:rsid w:val="00E304A4"/>
    <w:rsid w:val="00E30692"/>
    <w:rsid w:val="00E317EA"/>
    <w:rsid w:val="00E32587"/>
    <w:rsid w:val="00E32723"/>
    <w:rsid w:val="00E32B7A"/>
    <w:rsid w:val="00E32E8A"/>
    <w:rsid w:val="00E3302E"/>
    <w:rsid w:val="00E3348F"/>
    <w:rsid w:val="00E33931"/>
    <w:rsid w:val="00E339D5"/>
    <w:rsid w:val="00E33C57"/>
    <w:rsid w:val="00E34506"/>
    <w:rsid w:val="00E34ADB"/>
    <w:rsid w:val="00E34B71"/>
    <w:rsid w:val="00E3560A"/>
    <w:rsid w:val="00E3572C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1A31"/>
    <w:rsid w:val="00E426B1"/>
    <w:rsid w:val="00E428E1"/>
    <w:rsid w:val="00E42B15"/>
    <w:rsid w:val="00E43C5C"/>
    <w:rsid w:val="00E462EC"/>
    <w:rsid w:val="00E46A5E"/>
    <w:rsid w:val="00E47A26"/>
    <w:rsid w:val="00E47B36"/>
    <w:rsid w:val="00E47C7D"/>
    <w:rsid w:val="00E51BBD"/>
    <w:rsid w:val="00E51FDC"/>
    <w:rsid w:val="00E52CF3"/>
    <w:rsid w:val="00E53409"/>
    <w:rsid w:val="00E5362B"/>
    <w:rsid w:val="00E536D2"/>
    <w:rsid w:val="00E53746"/>
    <w:rsid w:val="00E53C01"/>
    <w:rsid w:val="00E53DD6"/>
    <w:rsid w:val="00E53E87"/>
    <w:rsid w:val="00E5508B"/>
    <w:rsid w:val="00E5531A"/>
    <w:rsid w:val="00E5543B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7079B"/>
    <w:rsid w:val="00E708C3"/>
    <w:rsid w:val="00E724A2"/>
    <w:rsid w:val="00E726FF"/>
    <w:rsid w:val="00E72A6E"/>
    <w:rsid w:val="00E72B87"/>
    <w:rsid w:val="00E72DA9"/>
    <w:rsid w:val="00E73EBD"/>
    <w:rsid w:val="00E7445E"/>
    <w:rsid w:val="00E747C4"/>
    <w:rsid w:val="00E74E38"/>
    <w:rsid w:val="00E757B4"/>
    <w:rsid w:val="00E76124"/>
    <w:rsid w:val="00E7615D"/>
    <w:rsid w:val="00E76682"/>
    <w:rsid w:val="00E77099"/>
    <w:rsid w:val="00E7783A"/>
    <w:rsid w:val="00E77C0F"/>
    <w:rsid w:val="00E77E06"/>
    <w:rsid w:val="00E81415"/>
    <w:rsid w:val="00E815A8"/>
    <w:rsid w:val="00E81BDF"/>
    <w:rsid w:val="00E81D1D"/>
    <w:rsid w:val="00E82168"/>
    <w:rsid w:val="00E82FDA"/>
    <w:rsid w:val="00E846DD"/>
    <w:rsid w:val="00E8554D"/>
    <w:rsid w:val="00E85B18"/>
    <w:rsid w:val="00E871FA"/>
    <w:rsid w:val="00E874F5"/>
    <w:rsid w:val="00E876D2"/>
    <w:rsid w:val="00E91078"/>
    <w:rsid w:val="00E9110C"/>
    <w:rsid w:val="00E923F7"/>
    <w:rsid w:val="00E92FCA"/>
    <w:rsid w:val="00E936FD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781C"/>
    <w:rsid w:val="00EA025E"/>
    <w:rsid w:val="00EA14BE"/>
    <w:rsid w:val="00EA204C"/>
    <w:rsid w:val="00EA2316"/>
    <w:rsid w:val="00EA23F2"/>
    <w:rsid w:val="00EA256E"/>
    <w:rsid w:val="00EA343B"/>
    <w:rsid w:val="00EA3535"/>
    <w:rsid w:val="00EA382D"/>
    <w:rsid w:val="00EA3D04"/>
    <w:rsid w:val="00EA3D5E"/>
    <w:rsid w:val="00EA3FFA"/>
    <w:rsid w:val="00EA4162"/>
    <w:rsid w:val="00EA491F"/>
    <w:rsid w:val="00EA4CE0"/>
    <w:rsid w:val="00EA51B2"/>
    <w:rsid w:val="00EA5E26"/>
    <w:rsid w:val="00EA6AD4"/>
    <w:rsid w:val="00EA7227"/>
    <w:rsid w:val="00EA7D18"/>
    <w:rsid w:val="00EB00DE"/>
    <w:rsid w:val="00EB0B0F"/>
    <w:rsid w:val="00EB0B67"/>
    <w:rsid w:val="00EB0C79"/>
    <w:rsid w:val="00EB24D4"/>
    <w:rsid w:val="00EB2557"/>
    <w:rsid w:val="00EB25C3"/>
    <w:rsid w:val="00EB3067"/>
    <w:rsid w:val="00EB3110"/>
    <w:rsid w:val="00EB38EE"/>
    <w:rsid w:val="00EB49C6"/>
    <w:rsid w:val="00EB5A69"/>
    <w:rsid w:val="00EB6AE9"/>
    <w:rsid w:val="00EB76C3"/>
    <w:rsid w:val="00EB7B33"/>
    <w:rsid w:val="00EB7FFA"/>
    <w:rsid w:val="00EC0384"/>
    <w:rsid w:val="00EC0436"/>
    <w:rsid w:val="00EC18AE"/>
    <w:rsid w:val="00EC18EA"/>
    <w:rsid w:val="00EC1E2E"/>
    <w:rsid w:val="00EC1EA7"/>
    <w:rsid w:val="00EC356C"/>
    <w:rsid w:val="00EC3A69"/>
    <w:rsid w:val="00EC3DC6"/>
    <w:rsid w:val="00EC487E"/>
    <w:rsid w:val="00EC66C2"/>
    <w:rsid w:val="00EC698F"/>
    <w:rsid w:val="00EC6E5F"/>
    <w:rsid w:val="00ED1E4A"/>
    <w:rsid w:val="00ED2035"/>
    <w:rsid w:val="00ED2FCB"/>
    <w:rsid w:val="00ED35C8"/>
    <w:rsid w:val="00ED3DF1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EA9"/>
    <w:rsid w:val="00EE0F2E"/>
    <w:rsid w:val="00EE10BB"/>
    <w:rsid w:val="00EE22F1"/>
    <w:rsid w:val="00EE2386"/>
    <w:rsid w:val="00EE3200"/>
    <w:rsid w:val="00EE381D"/>
    <w:rsid w:val="00EE3BDA"/>
    <w:rsid w:val="00EE40ED"/>
    <w:rsid w:val="00EE4C6D"/>
    <w:rsid w:val="00EE5AC1"/>
    <w:rsid w:val="00EE6262"/>
    <w:rsid w:val="00EE6489"/>
    <w:rsid w:val="00EE683C"/>
    <w:rsid w:val="00EE6FF1"/>
    <w:rsid w:val="00EE7382"/>
    <w:rsid w:val="00EE74C0"/>
    <w:rsid w:val="00EF08D7"/>
    <w:rsid w:val="00EF0CA1"/>
    <w:rsid w:val="00EF0F56"/>
    <w:rsid w:val="00EF120C"/>
    <w:rsid w:val="00EF1615"/>
    <w:rsid w:val="00EF22B5"/>
    <w:rsid w:val="00EF2382"/>
    <w:rsid w:val="00EF23EC"/>
    <w:rsid w:val="00EF250F"/>
    <w:rsid w:val="00EF264E"/>
    <w:rsid w:val="00EF2CCD"/>
    <w:rsid w:val="00EF3553"/>
    <w:rsid w:val="00EF39CC"/>
    <w:rsid w:val="00EF3B77"/>
    <w:rsid w:val="00EF3F85"/>
    <w:rsid w:val="00EF40E0"/>
    <w:rsid w:val="00EF4781"/>
    <w:rsid w:val="00EF4B1E"/>
    <w:rsid w:val="00EF547B"/>
    <w:rsid w:val="00EF6491"/>
    <w:rsid w:val="00EF6B22"/>
    <w:rsid w:val="00EF7302"/>
    <w:rsid w:val="00EF7428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6342"/>
    <w:rsid w:val="00F064D4"/>
    <w:rsid w:val="00F07156"/>
    <w:rsid w:val="00F07897"/>
    <w:rsid w:val="00F104D8"/>
    <w:rsid w:val="00F1101F"/>
    <w:rsid w:val="00F11371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213A6"/>
    <w:rsid w:val="00F218D1"/>
    <w:rsid w:val="00F21D3E"/>
    <w:rsid w:val="00F21E16"/>
    <w:rsid w:val="00F22A73"/>
    <w:rsid w:val="00F2324C"/>
    <w:rsid w:val="00F23466"/>
    <w:rsid w:val="00F23CF2"/>
    <w:rsid w:val="00F258C5"/>
    <w:rsid w:val="00F25E63"/>
    <w:rsid w:val="00F26049"/>
    <w:rsid w:val="00F26A50"/>
    <w:rsid w:val="00F27AD8"/>
    <w:rsid w:val="00F30323"/>
    <w:rsid w:val="00F30DEA"/>
    <w:rsid w:val="00F30E40"/>
    <w:rsid w:val="00F32117"/>
    <w:rsid w:val="00F324DE"/>
    <w:rsid w:val="00F33318"/>
    <w:rsid w:val="00F33A4A"/>
    <w:rsid w:val="00F33FF6"/>
    <w:rsid w:val="00F348CA"/>
    <w:rsid w:val="00F34CB1"/>
    <w:rsid w:val="00F34E61"/>
    <w:rsid w:val="00F35673"/>
    <w:rsid w:val="00F35BEC"/>
    <w:rsid w:val="00F36A26"/>
    <w:rsid w:val="00F37E97"/>
    <w:rsid w:val="00F4053D"/>
    <w:rsid w:val="00F415E0"/>
    <w:rsid w:val="00F42595"/>
    <w:rsid w:val="00F4264D"/>
    <w:rsid w:val="00F43A2D"/>
    <w:rsid w:val="00F43A81"/>
    <w:rsid w:val="00F44137"/>
    <w:rsid w:val="00F449E4"/>
    <w:rsid w:val="00F45150"/>
    <w:rsid w:val="00F46F06"/>
    <w:rsid w:val="00F46FEF"/>
    <w:rsid w:val="00F4764E"/>
    <w:rsid w:val="00F47E1E"/>
    <w:rsid w:val="00F47FA4"/>
    <w:rsid w:val="00F502DF"/>
    <w:rsid w:val="00F50972"/>
    <w:rsid w:val="00F50B26"/>
    <w:rsid w:val="00F510AA"/>
    <w:rsid w:val="00F517E7"/>
    <w:rsid w:val="00F51B25"/>
    <w:rsid w:val="00F51F3A"/>
    <w:rsid w:val="00F535ED"/>
    <w:rsid w:val="00F54038"/>
    <w:rsid w:val="00F542CD"/>
    <w:rsid w:val="00F54A71"/>
    <w:rsid w:val="00F54F1B"/>
    <w:rsid w:val="00F5609A"/>
    <w:rsid w:val="00F56381"/>
    <w:rsid w:val="00F6001C"/>
    <w:rsid w:val="00F60629"/>
    <w:rsid w:val="00F6082A"/>
    <w:rsid w:val="00F608FC"/>
    <w:rsid w:val="00F60DA3"/>
    <w:rsid w:val="00F611CF"/>
    <w:rsid w:val="00F61214"/>
    <w:rsid w:val="00F61ECE"/>
    <w:rsid w:val="00F61FA4"/>
    <w:rsid w:val="00F627F5"/>
    <w:rsid w:val="00F63FB3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450B"/>
    <w:rsid w:val="00F74701"/>
    <w:rsid w:val="00F7477C"/>
    <w:rsid w:val="00F7491B"/>
    <w:rsid w:val="00F75242"/>
    <w:rsid w:val="00F764D2"/>
    <w:rsid w:val="00F76758"/>
    <w:rsid w:val="00F77CF5"/>
    <w:rsid w:val="00F80D49"/>
    <w:rsid w:val="00F8100D"/>
    <w:rsid w:val="00F816BE"/>
    <w:rsid w:val="00F819B8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87212"/>
    <w:rsid w:val="00F90F98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A221A"/>
    <w:rsid w:val="00FA2B69"/>
    <w:rsid w:val="00FA2DCB"/>
    <w:rsid w:val="00FA3EEF"/>
    <w:rsid w:val="00FA4303"/>
    <w:rsid w:val="00FA4801"/>
    <w:rsid w:val="00FA4BBE"/>
    <w:rsid w:val="00FA5838"/>
    <w:rsid w:val="00FA5E2C"/>
    <w:rsid w:val="00FA60D7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42C"/>
    <w:rsid w:val="00FB28BB"/>
    <w:rsid w:val="00FB2F2A"/>
    <w:rsid w:val="00FB43F4"/>
    <w:rsid w:val="00FB4877"/>
    <w:rsid w:val="00FB4CE3"/>
    <w:rsid w:val="00FB5131"/>
    <w:rsid w:val="00FB6943"/>
    <w:rsid w:val="00FB6F1E"/>
    <w:rsid w:val="00FB7685"/>
    <w:rsid w:val="00FB7A29"/>
    <w:rsid w:val="00FC04C1"/>
    <w:rsid w:val="00FC1356"/>
    <w:rsid w:val="00FC1514"/>
    <w:rsid w:val="00FC277A"/>
    <w:rsid w:val="00FC2BC0"/>
    <w:rsid w:val="00FC2E48"/>
    <w:rsid w:val="00FC332C"/>
    <w:rsid w:val="00FC34E8"/>
    <w:rsid w:val="00FC3A2E"/>
    <w:rsid w:val="00FC3B5E"/>
    <w:rsid w:val="00FC4719"/>
    <w:rsid w:val="00FC474A"/>
    <w:rsid w:val="00FC5152"/>
    <w:rsid w:val="00FC55A0"/>
    <w:rsid w:val="00FC5A11"/>
    <w:rsid w:val="00FC64E3"/>
    <w:rsid w:val="00FC6800"/>
    <w:rsid w:val="00FD0DAF"/>
    <w:rsid w:val="00FD0FB7"/>
    <w:rsid w:val="00FD20C3"/>
    <w:rsid w:val="00FD22C6"/>
    <w:rsid w:val="00FD293C"/>
    <w:rsid w:val="00FD3890"/>
    <w:rsid w:val="00FD3E2A"/>
    <w:rsid w:val="00FD4813"/>
    <w:rsid w:val="00FD4C4E"/>
    <w:rsid w:val="00FD5904"/>
    <w:rsid w:val="00FD6210"/>
    <w:rsid w:val="00FD6BF1"/>
    <w:rsid w:val="00FD70D6"/>
    <w:rsid w:val="00FD7565"/>
    <w:rsid w:val="00FD78F2"/>
    <w:rsid w:val="00FE0101"/>
    <w:rsid w:val="00FE023D"/>
    <w:rsid w:val="00FE03A8"/>
    <w:rsid w:val="00FE10A2"/>
    <w:rsid w:val="00FE126F"/>
    <w:rsid w:val="00FE146A"/>
    <w:rsid w:val="00FE2600"/>
    <w:rsid w:val="00FE2825"/>
    <w:rsid w:val="00FE2A46"/>
    <w:rsid w:val="00FE2DA5"/>
    <w:rsid w:val="00FE3495"/>
    <w:rsid w:val="00FE3DF1"/>
    <w:rsid w:val="00FE3FD3"/>
    <w:rsid w:val="00FE41FA"/>
    <w:rsid w:val="00FE4369"/>
    <w:rsid w:val="00FE4C61"/>
    <w:rsid w:val="00FE575C"/>
    <w:rsid w:val="00FE595A"/>
    <w:rsid w:val="00FE698D"/>
    <w:rsid w:val="00FE7D6D"/>
    <w:rsid w:val="00FE7E72"/>
    <w:rsid w:val="00FE7FB9"/>
    <w:rsid w:val="00FE7FE0"/>
    <w:rsid w:val="00FF1330"/>
    <w:rsid w:val="00FF16F7"/>
    <w:rsid w:val="00FF1E74"/>
    <w:rsid w:val="00FF20AA"/>
    <w:rsid w:val="00FF21A5"/>
    <w:rsid w:val="00FF2B95"/>
    <w:rsid w:val="00FF2FA1"/>
    <w:rsid w:val="00FF4B6B"/>
    <w:rsid w:val="00FF5928"/>
    <w:rsid w:val="00FF5B90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E142E"/>
    <w:rPr>
      <w:sz w:val="20"/>
      <w:szCs w:val="20"/>
    </w:rPr>
  </w:style>
  <w:style w:type="character" w:styleId="a5">
    <w:name w:val="footnote reference"/>
    <w:uiPriority w:val="99"/>
    <w:semiHidden/>
    <w:rsid w:val="008E142E"/>
    <w:rPr>
      <w:vertAlign w:val="superscript"/>
    </w:rPr>
  </w:style>
  <w:style w:type="paragraph" w:styleId="a6">
    <w:name w:val="footer"/>
    <w:basedOn w:val="a"/>
    <w:link w:val="a7"/>
    <w:uiPriority w:val="99"/>
    <w:rsid w:val="005F725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F7255"/>
  </w:style>
  <w:style w:type="paragraph" w:styleId="a9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3606FD"/>
    <w:rPr>
      <w:sz w:val="16"/>
      <w:szCs w:val="16"/>
    </w:rPr>
  </w:style>
  <w:style w:type="paragraph" w:styleId="ac">
    <w:name w:val="annotation text"/>
    <w:basedOn w:val="a"/>
    <w:semiHidden/>
    <w:rsid w:val="003606FD"/>
    <w:rPr>
      <w:sz w:val="20"/>
      <w:szCs w:val="20"/>
    </w:rPr>
  </w:style>
  <w:style w:type="paragraph" w:styleId="ad">
    <w:name w:val="annotation subject"/>
    <w:basedOn w:val="ac"/>
    <w:next w:val="ac"/>
    <w:semiHidden/>
    <w:rsid w:val="003606FD"/>
    <w:rPr>
      <w:b/>
      <w:bCs/>
    </w:rPr>
  </w:style>
  <w:style w:type="table" w:styleId="ae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a7">
    <w:name w:val="כותרת תחתונה תו"/>
    <w:link w:val="a6"/>
    <w:uiPriority w:val="99"/>
    <w:rsid w:val="00D921A2"/>
    <w:rPr>
      <w:rFonts w:cs="David"/>
      <w:sz w:val="24"/>
      <w:szCs w:val="24"/>
      <w:lang w:eastAsia="he-IL"/>
    </w:rPr>
  </w:style>
  <w:style w:type="paragraph" w:styleId="af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טקסט רגיל תו"/>
    <w:basedOn w:val="a0"/>
    <w:link w:val="af0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2">
    <w:name w:val="Title"/>
    <w:basedOn w:val="a"/>
    <w:next w:val="a"/>
    <w:link w:val="af3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3">
    <w:name w:val="כותרת טקסט תו"/>
    <w:basedOn w:val="a0"/>
    <w:link w:val="af2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character" w:customStyle="1" w:styleId="a4">
    <w:name w:val="טקסט הערת שוליים תו"/>
    <w:basedOn w:val="a0"/>
    <w:link w:val="a3"/>
    <w:uiPriority w:val="99"/>
    <w:semiHidden/>
    <w:rsid w:val="007831EE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boi.org.il/he/DataAndStatistics/Pages/MainPage.aspx?Level=3&amp;Sid=47&amp;SubjectType=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://www.boi.org.il/he/DataAndStatistics/Pages/MainPage.aspx?Level=3&amp;Sid=53&amp;SubjectType=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boi.org.il/he/DataAndStatistics/Pages/MainPage.aspx?Level=3&amp;Sid=49&amp;SubjectType=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he/DataAndStatistics/Pages/MainPage.aspx?Level=3&amp;Sid=47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0A96B-8021-44C4-AF1E-1C83D553CA8D}"/>
</file>

<file path=customXml/itemProps2.xml><?xml version="1.0" encoding="utf-8"?>
<ds:datastoreItem xmlns:ds="http://schemas.openxmlformats.org/officeDocument/2006/customXml" ds:itemID="{81A3EC7C-E8D8-4F74-B97B-8E2C6FAFF44E}"/>
</file>

<file path=customXml/itemProps3.xml><?xml version="1.0" encoding="utf-8"?>
<ds:datastoreItem xmlns:ds="http://schemas.openxmlformats.org/officeDocument/2006/customXml" ds:itemID="{AE8055C8-D1BF-4E13-82B4-B1BFDF07C64A}"/>
</file>

<file path=customXml/itemProps4.xml><?xml version="1.0" encoding="utf-8"?>
<ds:datastoreItem xmlns:ds="http://schemas.openxmlformats.org/officeDocument/2006/customXml" ds:itemID="{DB1BF357-61C7-4755-98AF-D407B8AE85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3995</Characters>
  <Application>Microsoft Office Word</Application>
  <DocSecurity>4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4668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2020-03-22T11:13:00Z</dcterms:created>
  <dcterms:modified xsi:type="dcterms:W3CDTF">2020-03-22T11:13:00Z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  <property fmtid="{D5CDD505-2E9C-101B-9397-08002B2CF9AE}" pid="3" name="displayDestination">
    <vt:lpwstr/>
  </property>
</Properties>
</file>