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135B7A" w:rsidRPr="00F02EFF" w14:paraId="204BDE81" w14:textId="77777777" w:rsidTr="00F74024">
        <w:trPr>
          <w:cantSplit/>
        </w:trPr>
        <w:tc>
          <w:tcPr>
            <w:tcW w:w="3392" w:type="dxa"/>
            <w:tcBorders>
              <w:top w:val="nil"/>
              <w:left w:val="nil"/>
              <w:bottom w:val="nil"/>
              <w:right w:val="nil"/>
            </w:tcBorders>
            <w:vAlign w:val="center"/>
          </w:tcPr>
          <w:p w14:paraId="6E43489C" w14:textId="77777777" w:rsidR="00135B7A" w:rsidRPr="00F02EFF" w:rsidRDefault="00135B7A" w:rsidP="00F74024">
            <w:pPr>
              <w:spacing w:line="360" w:lineRule="auto"/>
              <w:jc w:val="center"/>
              <w:rPr>
                <w:rFonts w:ascii="David" w:hAnsi="David" w:cs="David"/>
                <w:b/>
                <w:bCs/>
                <w:sz w:val="24"/>
                <w:szCs w:val="24"/>
              </w:rPr>
            </w:pPr>
            <w:bookmarkStart w:id="0" w:name="_GoBack"/>
            <w:bookmarkEnd w:id="0"/>
            <w:r w:rsidRPr="00F02EFF">
              <w:rPr>
                <w:rFonts w:ascii="David" w:hAnsi="David" w:cs="David"/>
                <w:b/>
                <w:bCs/>
                <w:sz w:val="24"/>
                <w:szCs w:val="24"/>
                <w:rtl/>
              </w:rPr>
              <w:t>בנק ישראל</w:t>
            </w:r>
          </w:p>
          <w:p w14:paraId="26457997" w14:textId="77777777" w:rsidR="00135B7A" w:rsidRPr="00F02EFF" w:rsidRDefault="00135B7A" w:rsidP="00F74024">
            <w:pPr>
              <w:spacing w:line="360" w:lineRule="auto"/>
              <w:ind w:right="-101"/>
              <w:jc w:val="center"/>
              <w:rPr>
                <w:rFonts w:ascii="David" w:hAnsi="David" w:cs="David"/>
                <w:sz w:val="24"/>
                <w:szCs w:val="24"/>
              </w:rPr>
            </w:pPr>
            <w:r w:rsidRPr="00F02EFF">
              <w:rPr>
                <w:rFonts w:ascii="David" w:hAnsi="David" w:cs="David"/>
                <w:sz w:val="24"/>
                <w:szCs w:val="24"/>
                <w:rtl/>
              </w:rPr>
              <w:t>דוברות והסברה כלכלית</w:t>
            </w:r>
          </w:p>
        </w:tc>
        <w:tc>
          <w:tcPr>
            <w:tcW w:w="2596" w:type="dxa"/>
            <w:tcBorders>
              <w:top w:val="nil"/>
              <w:left w:val="nil"/>
              <w:bottom w:val="nil"/>
              <w:right w:val="nil"/>
            </w:tcBorders>
          </w:tcPr>
          <w:p w14:paraId="52566581" w14:textId="77777777" w:rsidR="00135B7A" w:rsidRPr="00F02EFF" w:rsidRDefault="00135B7A" w:rsidP="00F74024">
            <w:pPr>
              <w:jc w:val="center"/>
              <w:rPr>
                <w:rFonts w:ascii="David" w:hAnsi="David" w:cs="David"/>
                <w:sz w:val="24"/>
                <w:szCs w:val="24"/>
              </w:rPr>
            </w:pPr>
            <w:r w:rsidRPr="00F02EFF">
              <w:rPr>
                <w:rFonts w:ascii="David" w:hAnsi="David" w:cs="David"/>
                <w:noProof/>
              </w:rPr>
              <w:drawing>
                <wp:inline distT="0" distB="0" distL="0" distR="0" wp14:anchorId="0085C6EE" wp14:editId="272D4EDC">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5780E2EC" w14:textId="77777777" w:rsidR="00135B7A" w:rsidRPr="00F02EFF" w:rsidRDefault="00135B7A" w:rsidP="00C6104D">
            <w:pPr>
              <w:spacing w:line="480" w:lineRule="auto"/>
              <w:jc w:val="right"/>
              <w:rPr>
                <w:rFonts w:ascii="David" w:hAnsi="David" w:cs="David"/>
                <w:sz w:val="24"/>
                <w:szCs w:val="24"/>
                <w:rtl/>
              </w:rPr>
            </w:pPr>
            <w:r w:rsidRPr="00F02EFF">
              <w:rPr>
                <w:rFonts w:ascii="David" w:hAnsi="David" w:cs="David"/>
                <w:sz w:val="24"/>
                <w:szCs w:val="24"/>
                <w:rtl/>
              </w:rPr>
              <w:t xml:space="preserve">‏ירושלים, </w:t>
            </w:r>
            <w:r w:rsidR="00C6104D" w:rsidRPr="00F02EFF">
              <w:rPr>
                <w:rFonts w:ascii="David" w:hAnsi="David" w:cs="David"/>
                <w:sz w:val="24"/>
                <w:szCs w:val="24"/>
                <w:rtl/>
              </w:rPr>
              <w:t>ג'</w:t>
            </w:r>
            <w:r w:rsidRPr="00F02EFF">
              <w:rPr>
                <w:rFonts w:ascii="David" w:hAnsi="David" w:cs="David"/>
                <w:sz w:val="24"/>
                <w:szCs w:val="24"/>
                <w:rtl/>
              </w:rPr>
              <w:t xml:space="preserve"> </w:t>
            </w:r>
            <w:r w:rsidR="00C6104D" w:rsidRPr="00F02EFF">
              <w:rPr>
                <w:rFonts w:ascii="David" w:hAnsi="David" w:cs="David"/>
                <w:sz w:val="24"/>
                <w:szCs w:val="24"/>
                <w:rtl/>
              </w:rPr>
              <w:t xml:space="preserve">בתשרי </w:t>
            </w:r>
            <w:r w:rsidRPr="00F02EFF">
              <w:rPr>
                <w:rFonts w:ascii="David" w:hAnsi="David" w:cs="David"/>
                <w:sz w:val="24"/>
                <w:szCs w:val="24"/>
                <w:rtl/>
              </w:rPr>
              <w:t>תשפ"</w:t>
            </w:r>
            <w:r w:rsidR="00C6104D" w:rsidRPr="00F02EFF">
              <w:rPr>
                <w:rFonts w:ascii="David" w:hAnsi="David" w:cs="David"/>
                <w:sz w:val="24"/>
                <w:szCs w:val="24"/>
                <w:rtl/>
              </w:rPr>
              <w:t>ג</w:t>
            </w:r>
          </w:p>
          <w:p w14:paraId="068E6881" w14:textId="77777777" w:rsidR="00135B7A" w:rsidRPr="00F02EFF" w:rsidRDefault="00135B7A" w:rsidP="00C6104D">
            <w:pPr>
              <w:spacing w:line="480" w:lineRule="auto"/>
              <w:jc w:val="right"/>
              <w:rPr>
                <w:rFonts w:ascii="David" w:hAnsi="David" w:cs="David"/>
                <w:sz w:val="24"/>
                <w:szCs w:val="24"/>
              </w:rPr>
            </w:pPr>
            <w:r w:rsidRPr="00F02EFF">
              <w:rPr>
                <w:rFonts w:ascii="David" w:hAnsi="David" w:cs="David"/>
                <w:sz w:val="24"/>
                <w:szCs w:val="24"/>
                <w:rtl/>
              </w:rPr>
              <w:t>‏‏‏‏‏</w:t>
            </w:r>
            <w:r w:rsidR="00C6104D" w:rsidRPr="00F02EFF">
              <w:rPr>
                <w:rFonts w:ascii="David" w:hAnsi="David" w:cs="David"/>
                <w:sz w:val="24"/>
                <w:szCs w:val="24"/>
                <w:rtl/>
              </w:rPr>
              <w:t xml:space="preserve">28 בספטמבר </w:t>
            </w:r>
            <w:r w:rsidRPr="00F02EFF">
              <w:rPr>
                <w:rFonts w:ascii="David" w:hAnsi="David" w:cs="David"/>
                <w:sz w:val="24"/>
                <w:szCs w:val="24"/>
                <w:rtl/>
              </w:rPr>
              <w:t>, 2022</w:t>
            </w:r>
          </w:p>
        </w:tc>
      </w:tr>
    </w:tbl>
    <w:p w14:paraId="19A3B2D6" w14:textId="77777777" w:rsidR="00135B7A" w:rsidRPr="00F02EFF" w:rsidRDefault="00135B7A" w:rsidP="00135B7A">
      <w:pPr>
        <w:bidi/>
        <w:spacing w:after="200" w:line="360" w:lineRule="auto"/>
        <w:rPr>
          <w:rFonts w:ascii="David" w:eastAsia="Calibri" w:hAnsi="David" w:cs="David"/>
          <w:sz w:val="24"/>
          <w:szCs w:val="24"/>
          <w:rtl/>
        </w:rPr>
      </w:pPr>
    </w:p>
    <w:p w14:paraId="38108985" w14:textId="77777777" w:rsidR="00135B7A" w:rsidRPr="00F02EFF" w:rsidRDefault="00135B7A" w:rsidP="00F02EFF">
      <w:pPr>
        <w:bidi/>
        <w:spacing w:after="200" w:line="360" w:lineRule="auto"/>
        <w:rPr>
          <w:rFonts w:ascii="David" w:eastAsia="Calibri" w:hAnsi="David" w:cs="David"/>
          <w:sz w:val="24"/>
          <w:szCs w:val="24"/>
          <w:rtl/>
        </w:rPr>
      </w:pPr>
      <w:r w:rsidRPr="00F02EFF">
        <w:rPr>
          <w:rFonts w:ascii="David" w:eastAsia="Calibri" w:hAnsi="David" w:cs="David"/>
          <w:sz w:val="24"/>
          <w:szCs w:val="24"/>
          <w:rtl/>
        </w:rPr>
        <w:t>הודעה לעיתונות:</w:t>
      </w:r>
      <w:r w:rsidRPr="00F02EFF">
        <w:rPr>
          <w:rFonts w:ascii="David" w:eastAsia="Calibri" w:hAnsi="David" w:cs="David"/>
          <w:sz w:val="24"/>
          <w:szCs w:val="24"/>
          <w:rtl/>
        </w:rPr>
        <w:tab/>
      </w:r>
      <w:r w:rsidRPr="00F02EFF">
        <w:rPr>
          <w:rFonts w:ascii="David" w:eastAsia="Calibri" w:hAnsi="David" w:cs="David"/>
          <w:sz w:val="24"/>
          <w:szCs w:val="24"/>
          <w:rtl/>
        </w:rPr>
        <w:tab/>
      </w:r>
      <w:r w:rsidRPr="00F02EFF">
        <w:rPr>
          <w:rFonts w:ascii="David" w:eastAsia="Calibri" w:hAnsi="David" w:cs="David"/>
          <w:sz w:val="24"/>
          <w:szCs w:val="24"/>
          <w:rtl/>
        </w:rPr>
        <w:tab/>
      </w:r>
    </w:p>
    <w:p w14:paraId="6D787B9F" w14:textId="77777777" w:rsidR="00DB0078" w:rsidRPr="00F02EFF" w:rsidRDefault="000B4210" w:rsidP="00F02EFF">
      <w:pPr>
        <w:tabs>
          <w:tab w:val="left" w:pos="2315"/>
        </w:tabs>
        <w:bidi/>
        <w:spacing w:after="200" w:line="360" w:lineRule="auto"/>
        <w:jc w:val="center"/>
        <w:rPr>
          <w:rFonts w:ascii="David" w:eastAsia="Calibri" w:hAnsi="David" w:cs="David"/>
          <w:b/>
          <w:bCs/>
          <w:sz w:val="28"/>
          <w:szCs w:val="28"/>
        </w:rPr>
      </w:pPr>
      <w:r w:rsidRPr="00F02EFF">
        <w:rPr>
          <w:rFonts w:ascii="David" w:eastAsia="Calibri" w:hAnsi="David" w:cs="David"/>
          <w:b/>
          <w:bCs/>
          <w:sz w:val="28"/>
          <w:szCs w:val="28"/>
          <w:rtl/>
        </w:rPr>
        <w:t xml:space="preserve">פרוייקט משותף של בנק ישראל עם הבנקים המרכזיים של נורבגיה ושבדיה והבנק הבינלאומי לסילוקין יבחן שימוש במטבעות דיגיטליים של בנקים מרכזיים לתשלומים חוצי גבולות. </w:t>
      </w:r>
    </w:p>
    <w:p w14:paraId="422B6777" w14:textId="77777777" w:rsidR="00DB0078" w:rsidRPr="00F02EFF" w:rsidRDefault="00DB0078" w:rsidP="00F02EFF">
      <w:pPr>
        <w:bidi/>
        <w:spacing w:line="360" w:lineRule="auto"/>
        <w:rPr>
          <w:rFonts w:ascii="David" w:hAnsi="David" w:cs="David"/>
        </w:rPr>
      </w:pPr>
    </w:p>
    <w:p w14:paraId="162D1EDE" w14:textId="77777777" w:rsidR="00DB0078" w:rsidRPr="00F02EFF" w:rsidRDefault="000B4210" w:rsidP="00F02EFF">
      <w:pPr>
        <w:bidi/>
        <w:spacing w:line="360" w:lineRule="auto"/>
        <w:rPr>
          <w:rFonts w:ascii="David" w:hAnsi="David" w:cs="David"/>
          <w:sz w:val="24"/>
          <w:szCs w:val="24"/>
        </w:rPr>
      </w:pPr>
      <w:r w:rsidRPr="00F02EFF">
        <w:rPr>
          <w:rFonts w:ascii="David" w:hAnsi="David" w:cs="David"/>
          <w:sz w:val="24"/>
          <w:szCs w:val="24"/>
          <w:rtl/>
        </w:rPr>
        <w:t>הבנק הבינלאומי לסילוקין (</w:t>
      </w:r>
      <w:r w:rsidRPr="00F02EFF">
        <w:rPr>
          <w:rFonts w:ascii="David" w:hAnsi="David" w:cs="David"/>
          <w:sz w:val="24"/>
          <w:szCs w:val="24"/>
        </w:rPr>
        <w:t>Bank for International Settlements - BIS</w:t>
      </w:r>
      <w:r w:rsidRPr="00F02EFF">
        <w:rPr>
          <w:rFonts w:ascii="David" w:hAnsi="David" w:cs="David"/>
          <w:sz w:val="24"/>
          <w:szCs w:val="24"/>
          <w:rtl/>
        </w:rPr>
        <w:t xml:space="preserve">) והבנקים המרכזיים של </w:t>
      </w:r>
      <w:r w:rsidR="009B1B3B" w:rsidRPr="00F02EFF">
        <w:rPr>
          <w:rFonts w:ascii="David" w:hAnsi="David" w:cs="David"/>
          <w:sz w:val="24"/>
          <w:szCs w:val="24"/>
          <w:rtl/>
        </w:rPr>
        <w:t>נורבגיה ושבדיה</w:t>
      </w:r>
      <w:r w:rsidRPr="00F02EFF">
        <w:rPr>
          <w:rFonts w:ascii="David" w:hAnsi="David" w:cs="David"/>
          <w:sz w:val="24"/>
          <w:szCs w:val="24"/>
          <w:rtl/>
        </w:rPr>
        <w:t>, משיקים</w:t>
      </w:r>
      <w:r w:rsidR="009B1B3B" w:rsidRPr="00F02EFF">
        <w:rPr>
          <w:rFonts w:ascii="David" w:hAnsi="David" w:cs="David"/>
          <w:sz w:val="24"/>
          <w:szCs w:val="24"/>
          <w:rtl/>
        </w:rPr>
        <w:t xml:space="preserve"> יחד עם בנק ישראל</w:t>
      </w:r>
      <w:r w:rsidRPr="00F02EFF">
        <w:rPr>
          <w:rFonts w:ascii="David" w:hAnsi="David" w:cs="David"/>
          <w:sz w:val="24"/>
          <w:szCs w:val="24"/>
          <w:rtl/>
        </w:rPr>
        <w:t xml:space="preserve"> את פרוייקט "</w:t>
      </w:r>
      <w:r w:rsidRPr="00F02EFF">
        <w:rPr>
          <w:rFonts w:ascii="David" w:hAnsi="David" w:cs="David"/>
          <w:sz w:val="24"/>
          <w:szCs w:val="24"/>
        </w:rPr>
        <w:t>Icebreaker</w:t>
      </w:r>
      <w:r w:rsidRPr="00F02EFF">
        <w:rPr>
          <w:rFonts w:ascii="David" w:hAnsi="David" w:cs="David"/>
          <w:sz w:val="24"/>
          <w:szCs w:val="24"/>
          <w:rtl/>
        </w:rPr>
        <w:t xml:space="preserve">" - ניסוי </w:t>
      </w:r>
      <w:r w:rsidR="009B1B3B" w:rsidRPr="00F02EFF">
        <w:rPr>
          <w:rFonts w:ascii="David" w:hAnsi="David" w:cs="David"/>
          <w:sz w:val="24"/>
          <w:szCs w:val="24"/>
          <w:rtl/>
        </w:rPr>
        <w:t xml:space="preserve">בינ"ל </w:t>
      </w:r>
      <w:r w:rsidRPr="00F02EFF">
        <w:rPr>
          <w:rFonts w:ascii="David" w:hAnsi="David" w:cs="David"/>
          <w:sz w:val="24"/>
          <w:szCs w:val="24"/>
          <w:rtl/>
        </w:rPr>
        <w:t>משותף שיבחן כיצד ניתן יהיה להשתמש במטבעות דיגיטליים של בנקים מרכזיים (</w:t>
      </w:r>
      <w:r w:rsidRPr="00F02EFF">
        <w:rPr>
          <w:rFonts w:ascii="David" w:hAnsi="David" w:cs="David"/>
          <w:sz w:val="24"/>
          <w:szCs w:val="24"/>
        </w:rPr>
        <w:t>Central Bank Digital Currencies - CBDCs</w:t>
      </w:r>
      <w:r w:rsidRPr="00F02EFF">
        <w:rPr>
          <w:rFonts w:ascii="David" w:hAnsi="David" w:cs="David"/>
          <w:sz w:val="24"/>
          <w:szCs w:val="24"/>
          <w:rtl/>
        </w:rPr>
        <w:t xml:space="preserve">) לצורך ביצוע תשלומים חוצי גבולות על ידי משקי בית ובתי עסק. </w:t>
      </w:r>
    </w:p>
    <w:p w14:paraId="5C05EDEF" w14:textId="77777777" w:rsidR="00DB0078" w:rsidRPr="00F02EFF" w:rsidRDefault="00DB0078" w:rsidP="00F02EFF">
      <w:pPr>
        <w:bidi/>
        <w:spacing w:line="360" w:lineRule="auto"/>
        <w:rPr>
          <w:rFonts w:ascii="David" w:hAnsi="David" w:cs="David"/>
          <w:sz w:val="24"/>
          <w:szCs w:val="24"/>
        </w:rPr>
      </w:pPr>
    </w:p>
    <w:p w14:paraId="6A85C802" w14:textId="1F53C001" w:rsidR="00DB0078" w:rsidRPr="00F02EFF" w:rsidRDefault="000B4210" w:rsidP="00F02EFF">
      <w:pPr>
        <w:bidi/>
        <w:spacing w:line="360" w:lineRule="auto"/>
        <w:rPr>
          <w:rFonts w:ascii="David" w:hAnsi="David" w:cs="David"/>
          <w:sz w:val="24"/>
          <w:szCs w:val="24"/>
          <w:rtl/>
        </w:rPr>
      </w:pPr>
      <w:r w:rsidRPr="00F02EFF">
        <w:rPr>
          <w:rFonts w:ascii="David" w:hAnsi="David" w:cs="David"/>
          <w:sz w:val="24"/>
          <w:szCs w:val="24"/>
          <w:rtl/>
        </w:rPr>
        <w:t xml:space="preserve">תשלומים קמעונאיים חוצי גבולות מתאפיינים </w:t>
      </w:r>
      <w:r w:rsidR="009B1B3B" w:rsidRPr="00F02EFF">
        <w:rPr>
          <w:rFonts w:ascii="David" w:hAnsi="David" w:cs="David"/>
          <w:sz w:val="24"/>
          <w:szCs w:val="24"/>
          <w:rtl/>
        </w:rPr>
        <w:t>בדרך-</w:t>
      </w:r>
      <w:r w:rsidRPr="00F02EFF">
        <w:rPr>
          <w:rFonts w:ascii="David" w:hAnsi="David" w:cs="David"/>
          <w:sz w:val="24"/>
          <w:szCs w:val="24"/>
          <w:rtl/>
        </w:rPr>
        <w:t>כלל בכך שהם יקרים, איטיים, ואינם שקופים במידה מספקת עבור הלקוחות. ארגון ה-</w:t>
      </w:r>
      <w:r w:rsidR="00004E34" w:rsidRPr="00F02EFF">
        <w:rPr>
          <w:rFonts w:ascii="David" w:hAnsi="David" w:cs="David"/>
          <w:sz w:val="24"/>
          <w:szCs w:val="24"/>
        </w:rPr>
        <w:t>G20</w:t>
      </w:r>
      <w:r w:rsidR="00004E34" w:rsidRPr="00F02EFF">
        <w:rPr>
          <w:rFonts w:ascii="David" w:hAnsi="David" w:cs="David"/>
          <w:sz w:val="24"/>
          <w:szCs w:val="24"/>
          <w:rtl/>
        </w:rPr>
        <w:t>, שמאגד את קבוצת המדינות בעלות הכלכלות המובילות בעולם,</w:t>
      </w:r>
      <w:r w:rsidRPr="00F02EFF">
        <w:rPr>
          <w:rFonts w:ascii="David" w:hAnsi="David" w:cs="David"/>
          <w:sz w:val="24"/>
          <w:szCs w:val="24"/>
          <w:rtl/>
        </w:rPr>
        <w:t xml:space="preserve"> השיק תכנית שאפתנית, שמטרתה להביא לכך שתשלומים אלו יהיו מהירים יותר, זולים יותר, שקופים יותר ונגישים יותר ללקוחות הקמעונאיים. אחד הנדבכים של תכנית זו בוחן איזה תפקיד יוכלו המטבעות הדיגיטליים של הבנקים המרכזיים למלא בהשגת יעדים אלו. מרכז החדשנות של הבנק הבינלאומי לסילוקין (</w:t>
      </w:r>
      <w:r w:rsidRPr="00F02EFF">
        <w:rPr>
          <w:rFonts w:ascii="David" w:hAnsi="David" w:cs="David"/>
          <w:sz w:val="24"/>
          <w:szCs w:val="24"/>
        </w:rPr>
        <w:t>BISIH</w:t>
      </w:r>
      <w:r w:rsidRPr="00F02EFF">
        <w:rPr>
          <w:rFonts w:ascii="David" w:hAnsi="David" w:cs="David"/>
          <w:sz w:val="24"/>
          <w:szCs w:val="24"/>
          <w:rtl/>
        </w:rPr>
        <w:t xml:space="preserve">) ומוסדות בינלאומיים אחרים פועלים בשיתוף פעולה כדי לחקור נושא זה, </w:t>
      </w:r>
      <w:hyperlink r:id="rId7">
        <w:r w:rsidRPr="00F02EFF">
          <w:rPr>
            <w:rFonts w:ascii="David" w:hAnsi="David" w:cs="David"/>
            <w:color w:val="1155CC"/>
            <w:sz w:val="24"/>
            <w:szCs w:val="24"/>
            <w:u w:val="single"/>
            <w:rtl/>
          </w:rPr>
          <w:t>ופרסמו</w:t>
        </w:r>
      </w:hyperlink>
      <w:hyperlink r:id="rId8">
        <w:r w:rsidRPr="00F02EFF">
          <w:rPr>
            <w:rFonts w:ascii="David" w:hAnsi="David" w:cs="David"/>
            <w:color w:val="1155CC"/>
            <w:sz w:val="24"/>
            <w:szCs w:val="24"/>
            <w:u w:val="single"/>
            <w:rtl/>
          </w:rPr>
          <w:t xml:space="preserve"> </w:t>
        </w:r>
      </w:hyperlink>
      <w:hyperlink r:id="rId9">
        <w:r w:rsidRPr="00F02EFF">
          <w:rPr>
            <w:rFonts w:ascii="David" w:hAnsi="David" w:cs="David"/>
            <w:color w:val="1155CC"/>
            <w:sz w:val="24"/>
            <w:szCs w:val="24"/>
            <w:u w:val="single"/>
            <w:rtl/>
          </w:rPr>
          <w:t>דוח</w:t>
        </w:r>
      </w:hyperlink>
      <w:hyperlink r:id="rId10">
        <w:r w:rsidRPr="00F02EFF">
          <w:rPr>
            <w:rFonts w:ascii="David" w:hAnsi="David" w:cs="David"/>
            <w:color w:val="1155CC"/>
            <w:sz w:val="24"/>
            <w:szCs w:val="24"/>
            <w:u w:val="single"/>
            <w:rtl/>
          </w:rPr>
          <w:t xml:space="preserve"> </w:t>
        </w:r>
      </w:hyperlink>
      <w:hyperlink r:id="rId11">
        <w:r w:rsidRPr="00F02EFF">
          <w:rPr>
            <w:rFonts w:ascii="David" w:hAnsi="David" w:cs="David"/>
            <w:color w:val="1155CC"/>
            <w:sz w:val="24"/>
            <w:szCs w:val="24"/>
            <w:u w:val="single"/>
            <w:rtl/>
          </w:rPr>
          <w:t>בנושא</w:t>
        </w:r>
      </w:hyperlink>
      <w:hyperlink r:id="rId12">
        <w:r w:rsidRPr="00F02EFF">
          <w:rPr>
            <w:rFonts w:ascii="David" w:hAnsi="David" w:cs="David"/>
            <w:color w:val="1155CC"/>
            <w:sz w:val="24"/>
            <w:szCs w:val="24"/>
            <w:u w:val="single"/>
            <w:rtl/>
          </w:rPr>
          <w:t xml:space="preserve"> </w:t>
        </w:r>
      </w:hyperlink>
      <w:hyperlink r:id="rId13">
        <w:r w:rsidRPr="00F02EFF">
          <w:rPr>
            <w:rFonts w:ascii="David" w:hAnsi="David" w:cs="David"/>
            <w:color w:val="1155CC"/>
            <w:sz w:val="24"/>
            <w:szCs w:val="24"/>
            <w:u w:val="single"/>
            <w:rtl/>
          </w:rPr>
          <w:t>בחודש</w:t>
        </w:r>
      </w:hyperlink>
      <w:hyperlink r:id="rId14">
        <w:r w:rsidRPr="00F02EFF">
          <w:rPr>
            <w:rFonts w:ascii="David" w:hAnsi="David" w:cs="David"/>
            <w:color w:val="1155CC"/>
            <w:sz w:val="24"/>
            <w:szCs w:val="24"/>
            <w:u w:val="single"/>
            <w:rtl/>
          </w:rPr>
          <w:t xml:space="preserve"> </w:t>
        </w:r>
      </w:hyperlink>
      <w:r w:rsidRPr="00F02EFF">
        <w:rPr>
          <w:rFonts w:ascii="David" w:hAnsi="David" w:cs="David"/>
          <w:color w:val="1155CC"/>
          <w:sz w:val="24"/>
          <w:szCs w:val="24"/>
          <w:u w:val="single"/>
          <w:rtl/>
        </w:rPr>
        <w:t>יולי</w:t>
      </w:r>
      <w:r w:rsidR="009B1B3B" w:rsidRPr="00F02EFF">
        <w:rPr>
          <w:rFonts w:ascii="David" w:hAnsi="David" w:cs="David"/>
          <w:sz w:val="24"/>
          <w:szCs w:val="24"/>
        </w:rPr>
        <w:t>.</w:t>
      </w:r>
    </w:p>
    <w:p w14:paraId="2956DAEE" w14:textId="77777777" w:rsidR="00DB0078" w:rsidRPr="00F02EFF" w:rsidRDefault="00DB0078" w:rsidP="00F02EFF">
      <w:pPr>
        <w:bidi/>
        <w:spacing w:line="360" w:lineRule="auto"/>
        <w:rPr>
          <w:rFonts w:ascii="David" w:hAnsi="David" w:cs="David"/>
          <w:sz w:val="24"/>
          <w:szCs w:val="24"/>
        </w:rPr>
      </w:pPr>
    </w:p>
    <w:p w14:paraId="0419AD03" w14:textId="3F46F488" w:rsidR="00DB0078" w:rsidRPr="00F02EFF" w:rsidRDefault="000B4210" w:rsidP="00F02EFF">
      <w:pPr>
        <w:bidi/>
        <w:spacing w:line="360" w:lineRule="auto"/>
        <w:rPr>
          <w:rFonts w:ascii="David" w:hAnsi="David" w:cs="David"/>
          <w:sz w:val="24"/>
          <w:szCs w:val="24"/>
        </w:rPr>
      </w:pPr>
      <w:r w:rsidRPr="00F02EFF">
        <w:rPr>
          <w:rFonts w:ascii="David" w:hAnsi="David" w:cs="David"/>
          <w:sz w:val="24"/>
          <w:szCs w:val="24"/>
          <w:rtl/>
        </w:rPr>
        <w:t xml:space="preserve">בפרוייקט </w:t>
      </w:r>
      <w:r w:rsidR="009B1B3B" w:rsidRPr="00F02EFF">
        <w:rPr>
          <w:rFonts w:ascii="David" w:hAnsi="David" w:cs="David"/>
          <w:sz w:val="24"/>
          <w:szCs w:val="24"/>
          <w:rtl/>
        </w:rPr>
        <w:t>"</w:t>
      </w:r>
      <w:r w:rsidRPr="00F02EFF">
        <w:rPr>
          <w:rFonts w:ascii="David" w:hAnsi="David" w:cs="David"/>
          <w:sz w:val="24"/>
          <w:szCs w:val="24"/>
        </w:rPr>
        <w:t>Icebreaker</w:t>
      </w:r>
      <w:r w:rsidR="009B1B3B" w:rsidRPr="00F02EFF">
        <w:rPr>
          <w:rFonts w:ascii="David" w:hAnsi="David" w:cs="David"/>
          <w:sz w:val="24"/>
          <w:szCs w:val="24"/>
          <w:rtl/>
        </w:rPr>
        <w:t>"</w:t>
      </w:r>
      <w:r w:rsidRPr="00F02EFF">
        <w:rPr>
          <w:rFonts w:ascii="David" w:hAnsi="David" w:cs="David"/>
          <w:sz w:val="24"/>
          <w:szCs w:val="24"/>
          <w:rtl/>
        </w:rPr>
        <w:t xml:space="preserve"> משתפים פעולה בנק ישראל, הבנקים המרכזיים של נורבגיה ושבדיה, והשלוחה הנורדית של -</w:t>
      </w:r>
      <w:r w:rsidRPr="00F02EFF">
        <w:rPr>
          <w:rFonts w:ascii="David" w:hAnsi="David" w:cs="David"/>
          <w:sz w:val="24"/>
          <w:szCs w:val="24"/>
        </w:rPr>
        <w:t>BISIH</w:t>
      </w:r>
      <w:r w:rsidRPr="00F02EFF">
        <w:rPr>
          <w:rFonts w:ascii="David" w:hAnsi="David" w:cs="David"/>
          <w:sz w:val="24"/>
          <w:szCs w:val="24"/>
          <w:rtl/>
        </w:rPr>
        <w:t xml:space="preserve"> כדי לפתח</w:t>
      </w:r>
      <w:r w:rsidR="009B1B3B" w:rsidRPr="00F02EFF">
        <w:rPr>
          <w:rFonts w:ascii="David" w:hAnsi="David" w:cs="David"/>
          <w:sz w:val="24"/>
          <w:szCs w:val="24"/>
          <w:rtl/>
        </w:rPr>
        <w:t xml:space="preserve"> מרכז</w:t>
      </w:r>
      <w:r w:rsidRPr="00F02EFF">
        <w:rPr>
          <w:rFonts w:ascii="David" w:hAnsi="David" w:cs="David"/>
          <w:sz w:val="24"/>
          <w:szCs w:val="24"/>
          <w:rtl/>
        </w:rPr>
        <w:t xml:space="preserve"> </w:t>
      </w:r>
      <w:r w:rsidR="009B1B3B" w:rsidRPr="00F02EFF">
        <w:rPr>
          <w:rFonts w:ascii="David" w:hAnsi="David" w:cs="David"/>
          <w:sz w:val="24"/>
          <w:szCs w:val="24"/>
          <w:rtl/>
        </w:rPr>
        <w:t>(</w:t>
      </w:r>
      <w:r w:rsidRPr="00F02EFF">
        <w:rPr>
          <w:rFonts w:ascii="David" w:hAnsi="David" w:cs="David"/>
          <w:sz w:val="24"/>
          <w:szCs w:val="24"/>
          <w:rtl/>
        </w:rPr>
        <w:t>"</w:t>
      </w:r>
      <w:r w:rsidRPr="00F02EFF">
        <w:rPr>
          <w:rFonts w:ascii="David" w:hAnsi="David" w:cs="David"/>
          <w:sz w:val="24"/>
          <w:szCs w:val="24"/>
        </w:rPr>
        <w:t>Hub</w:t>
      </w:r>
      <w:r w:rsidRPr="00F02EFF">
        <w:rPr>
          <w:rFonts w:ascii="David" w:hAnsi="David" w:cs="David"/>
          <w:sz w:val="24"/>
          <w:szCs w:val="24"/>
          <w:rtl/>
        </w:rPr>
        <w:t>"</w:t>
      </w:r>
      <w:r w:rsidR="009B1B3B" w:rsidRPr="00F02EFF">
        <w:rPr>
          <w:rFonts w:ascii="David" w:hAnsi="David" w:cs="David"/>
          <w:sz w:val="24"/>
          <w:szCs w:val="24"/>
          <w:rtl/>
        </w:rPr>
        <w:t>)</w:t>
      </w:r>
      <w:r w:rsidRPr="00F02EFF">
        <w:rPr>
          <w:rFonts w:ascii="David" w:hAnsi="David" w:cs="David"/>
          <w:sz w:val="24"/>
          <w:szCs w:val="24"/>
          <w:rtl/>
        </w:rPr>
        <w:t xml:space="preserve"> שאליו יחברו הבנקים המרכזיים את המערכות הניסיוניות של </w:t>
      </w:r>
      <w:r w:rsidR="005F56EA" w:rsidRPr="00F02EFF">
        <w:rPr>
          <w:rFonts w:ascii="David" w:hAnsi="David" w:cs="David"/>
          <w:sz w:val="24"/>
          <w:szCs w:val="24"/>
          <w:rtl/>
        </w:rPr>
        <w:t>המטבעות הדיגיטליים (</w:t>
      </w:r>
      <w:r w:rsidR="005F56EA" w:rsidRPr="00F02EFF">
        <w:rPr>
          <w:rFonts w:ascii="David" w:hAnsi="David" w:cs="David"/>
          <w:sz w:val="24"/>
          <w:szCs w:val="24"/>
        </w:rPr>
        <w:t>CBDC</w:t>
      </w:r>
      <w:r w:rsidR="005F56EA" w:rsidRPr="00F02EFF">
        <w:rPr>
          <w:rFonts w:ascii="David" w:hAnsi="David" w:cs="David"/>
          <w:sz w:val="24"/>
          <w:szCs w:val="24"/>
          <w:rtl/>
        </w:rPr>
        <w:t xml:space="preserve">) </w:t>
      </w:r>
      <w:r w:rsidRPr="00F02EFF">
        <w:rPr>
          <w:rFonts w:ascii="David" w:hAnsi="David" w:cs="David"/>
          <w:sz w:val="24"/>
          <w:szCs w:val="24"/>
          <w:rtl/>
        </w:rPr>
        <w:t xml:space="preserve">שהם </w:t>
      </w:r>
      <w:r w:rsidR="009B1B3B" w:rsidRPr="00F02EFF">
        <w:rPr>
          <w:rFonts w:ascii="David" w:hAnsi="David" w:cs="David"/>
          <w:sz w:val="24"/>
          <w:szCs w:val="24"/>
          <w:rtl/>
        </w:rPr>
        <w:t xml:space="preserve">מפתחים </w:t>
      </w:r>
      <w:r w:rsidRPr="00F02EFF">
        <w:rPr>
          <w:rFonts w:ascii="David" w:hAnsi="David" w:cs="David"/>
          <w:sz w:val="24"/>
          <w:szCs w:val="24"/>
          <w:rtl/>
        </w:rPr>
        <w:t>בשנים האחרונות</w:t>
      </w:r>
      <w:r w:rsidRPr="00F02EFF">
        <w:rPr>
          <w:rFonts w:ascii="David" w:hAnsi="David" w:cs="David"/>
          <w:sz w:val="24"/>
          <w:szCs w:val="24"/>
          <w:vertAlign w:val="superscript"/>
        </w:rPr>
        <w:footnoteReference w:id="1"/>
      </w:r>
      <w:r w:rsidRPr="00F02EFF">
        <w:rPr>
          <w:rFonts w:ascii="David" w:hAnsi="David" w:cs="David"/>
          <w:sz w:val="24"/>
          <w:szCs w:val="24"/>
          <w:rtl/>
        </w:rPr>
        <w:t xml:space="preserve">. המטרה היא לבחון תרחישים ספציפיים ואת ההיתכנות הטכנולוגית של חיבור בין מערכות </w:t>
      </w:r>
      <w:r w:rsidRPr="00F02EFF">
        <w:rPr>
          <w:rFonts w:ascii="David" w:hAnsi="David" w:cs="David"/>
          <w:sz w:val="24"/>
          <w:szCs w:val="24"/>
        </w:rPr>
        <w:t>CBDC</w:t>
      </w:r>
      <w:r w:rsidRPr="00F02EFF">
        <w:rPr>
          <w:rFonts w:ascii="David" w:hAnsi="David" w:cs="David"/>
          <w:sz w:val="24"/>
          <w:szCs w:val="24"/>
          <w:rtl/>
        </w:rPr>
        <w:t xml:space="preserve"> ממדינות שונות. הארכיטקטורה תאפשר לבצע תשלומים חוצי גבולות </w:t>
      </w:r>
      <w:r w:rsidR="00004E34" w:rsidRPr="00F02EFF">
        <w:rPr>
          <w:rFonts w:ascii="David" w:hAnsi="David" w:cs="David"/>
          <w:sz w:val="24"/>
          <w:szCs w:val="24"/>
          <w:rtl/>
        </w:rPr>
        <w:t xml:space="preserve">קמעונאיים </w:t>
      </w:r>
      <w:r w:rsidR="00BE37FD" w:rsidRPr="00F02EFF">
        <w:rPr>
          <w:rFonts w:ascii="David" w:hAnsi="David" w:cs="David"/>
          <w:sz w:val="24"/>
          <w:szCs w:val="24"/>
          <w:rtl/>
        </w:rPr>
        <w:t>מידיים</w:t>
      </w:r>
      <w:r w:rsidRPr="00F02EFF">
        <w:rPr>
          <w:rFonts w:ascii="David" w:hAnsi="David" w:cs="David"/>
          <w:sz w:val="24"/>
          <w:szCs w:val="24"/>
          <w:rtl/>
        </w:rPr>
        <w:t>, בהם העלויות צפויות להיות נמוכות במידה משמעותית בהשוואה למערכות התשלומים הבינלאומיות הקיימות, שבדרך כלל מתבססות על תשלומים המועברים דרך מספר בנקים קורספונדנטים</w:t>
      </w:r>
      <w:r w:rsidR="009B1B3B" w:rsidRPr="00F02EFF">
        <w:rPr>
          <w:rStyle w:val="ae"/>
          <w:rFonts w:ascii="David" w:hAnsi="David" w:cs="David"/>
          <w:sz w:val="24"/>
          <w:szCs w:val="24"/>
          <w:rtl/>
        </w:rPr>
        <w:footnoteReference w:id="2"/>
      </w:r>
      <w:r w:rsidRPr="00F02EFF">
        <w:rPr>
          <w:rFonts w:ascii="David" w:hAnsi="David" w:cs="David"/>
          <w:sz w:val="24"/>
          <w:szCs w:val="24"/>
          <w:rtl/>
        </w:rPr>
        <w:t xml:space="preserve"> עד שהם מתקבלים באופן סופי אצל מקבל התשלום. </w:t>
      </w:r>
    </w:p>
    <w:p w14:paraId="680F09AE" w14:textId="77777777" w:rsidR="00DB0078" w:rsidRPr="00F02EFF" w:rsidRDefault="00DB0078" w:rsidP="00F02EFF">
      <w:pPr>
        <w:bidi/>
        <w:spacing w:line="360" w:lineRule="auto"/>
        <w:rPr>
          <w:rFonts w:ascii="David" w:hAnsi="David" w:cs="David"/>
          <w:sz w:val="24"/>
          <w:szCs w:val="24"/>
        </w:rPr>
      </w:pPr>
    </w:p>
    <w:p w14:paraId="459A19F6" w14:textId="4207F43F" w:rsidR="00DB0078" w:rsidRPr="00F02EFF" w:rsidRDefault="005F56EA" w:rsidP="00F02EFF">
      <w:pPr>
        <w:bidi/>
        <w:spacing w:line="360" w:lineRule="auto"/>
        <w:rPr>
          <w:rFonts w:ascii="David" w:hAnsi="David" w:cs="David"/>
          <w:sz w:val="24"/>
          <w:szCs w:val="24"/>
        </w:rPr>
      </w:pPr>
      <w:r w:rsidRPr="00F02EFF">
        <w:rPr>
          <w:rFonts w:ascii="David" w:hAnsi="David" w:cs="David"/>
          <w:sz w:val="24"/>
          <w:szCs w:val="24"/>
          <w:rtl/>
        </w:rPr>
        <w:t>הפרויקט</w:t>
      </w:r>
      <w:r w:rsidR="000B4210" w:rsidRPr="00F02EFF">
        <w:rPr>
          <w:rFonts w:ascii="David" w:hAnsi="David" w:cs="David"/>
          <w:sz w:val="24"/>
          <w:szCs w:val="24"/>
          <w:rtl/>
        </w:rPr>
        <w:t xml:space="preserve"> יימשך עד סוף שנת 2022, ודוח סופי אודות ממצאי </w:t>
      </w:r>
      <w:r w:rsidRPr="00F02EFF">
        <w:rPr>
          <w:rFonts w:ascii="David" w:hAnsi="David" w:cs="David"/>
          <w:sz w:val="24"/>
          <w:szCs w:val="24"/>
          <w:rtl/>
        </w:rPr>
        <w:t>הפרויקט</w:t>
      </w:r>
      <w:r w:rsidR="000B4210" w:rsidRPr="00F02EFF">
        <w:rPr>
          <w:rFonts w:ascii="David" w:hAnsi="David" w:cs="David"/>
          <w:sz w:val="24"/>
          <w:szCs w:val="24"/>
          <w:rtl/>
        </w:rPr>
        <w:t xml:space="preserve"> צפוי להתפרסם במהלך הרבעון הראשון של שנת 2023. </w:t>
      </w:r>
    </w:p>
    <w:p w14:paraId="43E2CCCE" w14:textId="77777777" w:rsidR="00DB0078" w:rsidRPr="00F02EFF" w:rsidRDefault="00DB0078" w:rsidP="00F02EFF">
      <w:pPr>
        <w:bidi/>
        <w:spacing w:line="360" w:lineRule="auto"/>
        <w:rPr>
          <w:rFonts w:ascii="David" w:hAnsi="David" w:cs="David"/>
          <w:sz w:val="24"/>
          <w:szCs w:val="24"/>
        </w:rPr>
      </w:pPr>
    </w:p>
    <w:p w14:paraId="6ED7DDE3" w14:textId="77777777" w:rsidR="009B1B3B" w:rsidRPr="00F02EFF" w:rsidRDefault="009B1B3B" w:rsidP="00F02EFF">
      <w:pPr>
        <w:bidi/>
        <w:spacing w:line="360" w:lineRule="auto"/>
        <w:rPr>
          <w:rFonts w:ascii="David" w:hAnsi="David" w:cs="David"/>
          <w:sz w:val="24"/>
          <w:szCs w:val="24"/>
          <w:rtl/>
        </w:rPr>
      </w:pPr>
      <w:r w:rsidRPr="00F02EFF">
        <w:rPr>
          <w:rFonts w:ascii="David" w:hAnsi="David" w:cs="David"/>
          <w:b/>
          <w:bCs/>
          <w:sz w:val="24"/>
          <w:szCs w:val="24"/>
          <w:rtl/>
        </w:rPr>
        <w:t xml:space="preserve">אנדרו אביר, המשנה לנגיד בנק ישראל </w:t>
      </w:r>
      <w:r w:rsidRPr="00F02EFF">
        <w:rPr>
          <w:rFonts w:ascii="David" w:hAnsi="David" w:cs="David"/>
          <w:sz w:val="24"/>
          <w:szCs w:val="24"/>
          <w:rtl/>
        </w:rPr>
        <w:t>וראש ועדת ההיגוי להנפקה אפשרית של שקל דיגיטלי:</w:t>
      </w:r>
    </w:p>
    <w:p w14:paraId="6A68529C" w14:textId="6E9F4332" w:rsidR="00DB0078" w:rsidRPr="00F02EFF" w:rsidRDefault="000B4210" w:rsidP="00F02EFF">
      <w:pPr>
        <w:bidi/>
        <w:spacing w:line="360" w:lineRule="auto"/>
        <w:rPr>
          <w:rFonts w:ascii="David" w:hAnsi="David" w:cs="David"/>
          <w:sz w:val="24"/>
          <w:szCs w:val="24"/>
        </w:rPr>
      </w:pPr>
      <w:r w:rsidRPr="00F02EFF">
        <w:rPr>
          <w:rFonts w:ascii="David" w:hAnsi="David" w:cs="David"/>
          <w:sz w:val="24"/>
          <w:szCs w:val="24"/>
          <w:rtl/>
        </w:rPr>
        <w:lastRenderedPageBreak/>
        <w:t xml:space="preserve">"לתשלומים חוצי גבולות יעילים ונגישים יש חשיבות גבוהה עבור משק קטן ופתוח כמו המשק הישראלי, ונושא זה זוהה כאחת המוטיבציות העיקריות להנפקה אפשרית של שקל דיגיטלי במסגרת הדוח שפרסמנו לציבור בשנת 2021. זוהי זכות גדולה עבורנו לחקור את הנושא ביחד עם שותפים שצברו ידע וניסיון רב בחקר </w:t>
      </w:r>
      <w:r w:rsidRPr="00F02EFF">
        <w:rPr>
          <w:rFonts w:ascii="David" w:hAnsi="David" w:cs="David"/>
          <w:sz w:val="24"/>
          <w:szCs w:val="24"/>
        </w:rPr>
        <w:t>CBDC</w:t>
      </w:r>
      <w:r w:rsidRPr="00F02EFF">
        <w:rPr>
          <w:rFonts w:ascii="David" w:hAnsi="David" w:cs="David"/>
          <w:sz w:val="24"/>
          <w:szCs w:val="24"/>
          <w:rtl/>
        </w:rPr>
        <w:t>, כמו גם בסוגיות רלוונטיות לתשלומים חוצי גבולות. לתוצאות הפרוייקט תהיה חשיבות רבה בכל הנוגע להמשך עבודתנו על פרוייקט השקל הדיגיטלי"</w:t>
      </w:r>
      <w:r w:rsidR="00A97923" w:rsidRPr="00F02EFF">
        <w:rPr>
          <w:rFonts w:ascii="David" w:hAnsi="David" w:cs="David"/>
          <w:sz w:val="24"/>
          <w:szCs w:val="24"/>
          <w:rtl/>
        </w:rPr>
        <w:t>.</w:t>
      </w:r>
      <w:r w:rsidRPr="00F02EFF">
        <w:rPr>
          <w:rFonts w:ascii="David" w:hAnsi="David" w:cs="David"/>
          <w:sz w:val="24"/>
          <w:szCs w:val="24"/>
          <w:rtl/>
        </w:rPr>
        <w:t xml:space="preserve"> </w:t>
      </w:r>
    </w:p>
    <w:p w14:paraId="3F362255" w14:textId="77777777" w:rsidR="00DB0078" w:rsidRPr="00F02EFF" w:rsidRDefault="00DB0078" w:rsidP="00F02EFF">
      <w:pPr>
        <w:bidi/>
        <w:spacing w:line="360" w:lineRule="auto"/>
        <w:rPr>
          <w:rFonts w:ascii="David" w:hAnsi="David" w:cs="David"/>
          <w:sz w:val="24"/>
          <w:szCs w:val="24"/>
        </w:rPr>
      </w:pPr>
    </w:p>
    <w:p w14:paraId="1ACFF3CB" w14:textId="198D2E0E" w:rsidR="00DB0078" w:rsidRPr="00F02EFF" w:rsidRDefault="00BA19B5" w:rsidP="00F02EFF">
      <w:pPr>
        <w:bidi/>
        <w:spacing w:line="360" w:lineRule="auto"/>
        <w:rPr>
          <w:rFonts w:ascii="David" w:hAnsi="David" w:cs="David"/>
          <w:sz w:val="24"/>
          <w:szCs w:val="24"/>
        </w:rPr>
      </w:pPr>
      <w:r w:rsidRPr="00F02EFF">
        <w:rPr>
          <w:rFonts w:ascii="David" w:hAnsi="David" w:cs="David"/>
          <w:b/>
          <w:bCs/>
          <w:sz w:val="24"/>
          <w:szCs w:val="24"/>
        </w:rPr>
        <w:t>Mithra Sundberg</w:t>
      </w:r>
      <w:r w:rsidRPr="00F02EFF">
        <w:rPr>
          <w:rFonts w:ascii="David" w:hAnsi="David" w:cs="David"/>
          <w:b/>
          <w:bCs/>
          <w:sz w:val="24"/>
          <w:szCs w:val="24"/>
          <w:rtl/>
        </w:rPr>
        <w:t>, ראש אגף ה</w:t>
      </w:r>
      <w:r w:rsidRPr="00F02EFF">
        <w:rPr>
          <w:rFonts w:ascii="David" w:hAnsi="David" w:cs="David"/>
          <w:b/>
          <w:bCs/>
          <w:sz w:val="24"/>
          <w:szCs w:val="24"/>
        </w:rPr>
        <w:t>e-krona</w:t>
      </w:r>
      <w:r w:rsidRPr="00F02EFF">
        <w:rPr>
          <w:rFonts w:ascii="David" w:hAnsi="David" w:cs="David"/>
          <w:b/>
          <w:bCs/>
          <w:sz w:val="24"/>
          <w:szCs w:val="24"/>
          <w:rtl/>
        </w:rPr>
        <w:t xml:space="preserve"> בבנק המרכזי של שבדיה</w:t>
      </w:r>
      <w:r w:rsidRPr="00F02EFF">
        <w:rPr>
          <w:rFonts w:ascii="David" w:hAnsi="David" w:cs="David"/>
          <w:sz w:val="24"/>
          <w:szCs w:val="24"/>
          <w:rtl/>
        </w:rPr>
        <w:t>:</w:t>
      </w:r>
      <w:r w:rsidRPr="00F02EFF">
        <w:rPr>
          <w:rFonts w:ascii="David" w:hAnsi="David" w:cs="David"/>
          <w:sz w:val="24"/>
          <w:szCs w:val="24"/>
          <w:rtl/>
        </w:rPr>
        <w:br/>
      </w:r>
      <w:r w:rsidR="000B4210" w:rsidRPr="00F02EFF">
        <w:rPr>
          <w:rFonts w:ascii="David" w:hAnsi="David" w:cs="David"/>
          <w:sz w:val="24"/>
          <w:szCs w:val="24"/>
          <w:rtl/>
        </w:rPr>
        <w:t xml:space="preserve">"הבנק המרכזי של שבדיה לוקח חלק בשיתוף פעולה זה כחלק מפרוייקט </w:t>
      </w:r>
      <w:r w:rsidR="00004E34" w:rsidRPr="00F02EFF">
        <w:rPr>
          <w:rFonts w:ascii="David" w:hAnsi="David" w:cs="David"/>
          <w:sz w:val="24"/>
          <w:szCs w:val="24"/>
          <w:rtl/>
        </w:rPr>
        <w:t xml:space="preserve">המטבע הדיגיטלי שלו - </w:t>
      </w:r>
      <w:r w:rsidR="000B4210" w:rsidRPr="00F02EFF">
        <w:rPr>
          <w:rFonts w:ascii="David" w:hAnsi="David" w:cs="David"/>
          <w:sz w:val="24"/>
          <w:szCs w:val="24"/>
          <w:rtl/>
        </w:rPr>
        <w:t>ה</w:t>
      </w:r>
      <w:r w:rsidR="000B4210" w:rsidRPr="00F02EFF">
        <w:rPr>
          <w:rFonts w:ascii="David" w:hAnsi="David" w:cs="David"/>
          <w:sz w:val="24"/>
          <w:szCs w:val="24"/>
        </w:rPr>
        <w:t>e-krona</w:t>
      </w:r>
      <w:r w:rsidR="000B4210" w:rsidRPr="00F02EFF">
        <w:rPr>
          <w:rFonts w:ascii="David" w:hAnsi="David" w:cs="David"/>
          <w:sz w:val="24"/>
          <w:szCs w:val="24"/>
          <w:rtl/>
        </w:rPr>
        <w:t xml:space="preserve">. יצירת חיבור בין הפלטפורמה הניסיונית שפיתחנו עם אלו של מדינות אחרות תניב לנו תובנות חשובות בכל הנוגע ליכולת ליישם תשלומים חוצי גבולות באמצעות </w:t>
      </w:r>
      <w:r w:rsidR="000B4210" w:rsidRPr="00F02EFF">
        <w:rPr>
          <w:rFonts w:ascii="David" w:hAnsi="David" w:cs="David"/>
          <w:sz w:val="24"/>
          <w:szCs w:val="24"/>
        </w:rPr>
        <w:t>CBDC</w:t>
      </w:r>
      <w:r w:rsidR="000B4210" w:rsidRPr="00F02EFF">
        <w:rPr>
          <w:rFonts w:ascii="David" w:hAnsi="David" w:cs="David"/>
          <w:sz w:val="24"/>
          <w:szCs w:val="24"/>
          <w:rtl/>
        </w:rPr>
        <w:t>. בנוסף, הפרוייקט יאפשר לנו להבין טוב יותר סוגיות הנוגעות לאופן העיצוב וחלופות המדיניות שיעמדו בפנינו, בבואנו להבטיח את היכולת לתמוך בתשלומים חוצי גבולות אם נחליט להנפיק את ה-</w:t>
      </w:r>
      <w:r w:rsidR="000B4210" w:rsidRPr="00F02EFF">
        <w:rPr>
          <w:rFonts w:ascii="David" w:hAnsi="David" w:cs="David"/>
          <w:sz w:val="24"/>
          <w:szCs w:val="24"/>
        </w:rPr>
        <w:t>e- krona</w:t>
      </w:r>
      <w:r w:rsidR="000B4210" w:rsidRPr="00F02EFF">
        <w:rPr>
          <w:rFonts w:ascii="David" w:hAnsi="David" w:cs="David"/>
          <w:sz w:val="24"/>
          <w:szCs w:val="24"/>
          <w:rtl/>
        </w:rPr>
        <w:t>"</w:t>
      </w:r>
      <w:r w:rsidR="00A97923" w:rsidRPr="00F02EFF">
        <w:rPr>
          <w:rFonts w:ascii="David" w:hAnsi="David" w:cs="David"/>
          <w:sz w:val="24"/>
          <w:szCs w:val="24"/>
          <w:rtl/>
        </w:rPr>
        <w:t>.</w:t>
      </w:r>
    </w:p>
    <w:p w14:paraId="36C86F37" w14:textId="77777777" w:rsidR="00DB0078" w:rsidRPr="00F02EFF" w:rsidRDefault="00DB0078" w:rsidP="00F02EFF">
      <w:pPr>
        <w:bidi/>
        <w:spacing w:line="360" w:lineRule="auto"/>
        <w:rPr>
          <w:rFonts w:ascii="David" w:hAnsi="David" w:cs="David"/>
          <w:sz w:val="24"/>
          <w:szCs w:val="24"/>
        </w:rPr>
      </w:pPr>
    </w:p>
    <w:p w14:paraId="425F5ADC" w14:textId="66B26C3A" w:rsidR="00DB0078" w:rsidRPr="00F02EFF" w:rsidRDefault="00BA19B5" w:rsidP="00F02EFF">
      <w:pPr>
        <w:bidi/>
        <w:spacing w:line="360" w:lineRule="auto"/>
        <w:rPr>
          <w:rFonts w:ascii="David" w:hAnsi="David" w:cs="David"/>
          <w:sz w:val="24"/>
          <w:szCs w:val="24"/>
        </w:rPr>
      </w:pPr>
      <w:r w:rsidRPr="00F02EFF">
        <w:rPr>
          <w:rFonts w:ascii="David" w:hAnsi="David" w:cs="David"/>
          <w:b/>
          <w:bCs/>
          <w:sz w:val="24"/>
          <w:szCs w:val="24"/>
        </w:rPr>
        <w:t>Torborn Haegland</w:t>
      </w:r>
      <w:r w:rsidRPr="00F02EFF">
        <w:rPr>
          <w:rFonts w:ascii="David" w:hAnsi="David" w:cs="David"/>
          <w:b/>
          <w:bCs/>
          <w:sz w:val="24"/>
          <w:szCs w:val="24"/>
          <w:rtl/>
        </w:rPr>
        <w:t>, ראש החטיבה ליציבות פיננסית בבנק המרכזי של נורבגיה:</w:t>
      </w:r>
      <w:r w:rsidRPr="00F02EFF">
        <w:rPr>
          <w:rFonts w:ascii="David" w:hAnsi="David" w:cs="David"/>
          <w:b/>
          <w:bCs/>
          <w:sz w:val="24"/>
          <w:szCs w:val="24"/>
          <w:rtl/>
        </w:rPr>
        <w:br/>
      </w:r>
      <w:r w:rsidRPr="00F02EFF">
        <w:rPr>
          <w:rFonts w:ascii="David" w:hAnsi="David" w:cs="David"/>
          <w:sz w:val="24"/>
          <w:szCs w:val="24"/>
          <w:rtl/>
        </w:rPr>
        <w:t xml:space="preserve"> </w:t>
      </w:r>
      <w:r w:rsidR="000B4210" w:rsidRPr="00F02EFF">
        <w:rPr>
          <w:rFonts w:ascii="David" w:hAnsi="David" w:cs="David"/>
          <w:sz w:val="24"/>
          <w:szCs w:val="24"/>
          <w:rtl/>
        </w:rPr>
        <w:t xml:space="preserve">"אנו שמחים ליטול חלק באחד </w:t>
      </w:r>
      <w:r w:rsidRPr="00F02EFF">
        <w:rPr>
          <w:rFonts w:ascii="David" w:hAnsi="David" w:cs="David"/>
          <w:sz w:val="24"/>
          <w:szCs w:val="24"/>
          <w:rtl/>
        </w:rPr>
        <w:t>הפרוייקטים</w:t>
      </w:r>
      <w:r w:rsidR="000B4210" w:rsidRPr="00F02EFF">
        <w:rPr>
          <w:rFonts w:ascii="David" w:hAnsi="David" w:cs="David"/>
          <w:sz w:val="24"/>
          <w:szCs w:val="24"/>
          <w:rtl/>
        </w:rPr>
        <w:t xml:space="preserve"> הראשונים שבוחנים תשלומים חוצי גבולות קמעונאיים ב-</w:t>
      </w:r>
      <w:r w:rsidR="000B4210" w:rsidRPr="00F02EFF">
        <w:rPr>
          <w:rFonts w:ascii="David" w:hAnsi="David" w:cs="David"/>
          <w:sz w:val="24"/>
          <w:szCs w:val="24"/>
        </w:rPr>
        <w:t>CBDC</w:t>
      </w:r>
      <w:r w:rsidR="000B4210" w:rsidRPr="00F02EFF">
        <w:rPr>
          <w:rFonts w:ascii="David" w:hAnsi="David" w:cs="David"/>
          <w:sz w:val="24"/>
          <w:szCs w:val="24"/>
          <w:rtl/>
        </w:rPr>
        <w:t>, ביחד עם השותפים מה-</w:t>
      </w:r>
      <w:r w:rsidR="000B4210" w:rsidRPr="00F02EFF">
        <w:rPr>
          <w:rFonts w:ascii="David" w:hAnsi="David" w:cs="David"/>
          <w:sz w:val="24"/>
          <w:szCs w:val="24"/>
        </w:rPr>
        <w:t>BISIH</w:t>
      </w:r>
      <w:r w:rsidR="000B4210" w:rsidRPr="00F02EFF">
        <w:rPr>
          <w:rFonts w:ascii="David" w:hAnsi="David" w:cs="David"/>
          <w:sz w:val="24"/>
          <w:szCs w:val="24"/>
          <w:rtl/>
        </w:rPr>
        <w:t xml:space="preserve"> ומהבנקים המרכזיים של שבדיה וישראל. פרוייקט זה יניב ערך רב לעבודה הניסיונית שאנו עורכים לגבי </w:t>
      </w:r>
      <w:r w:rsidR="000B4210" w:rsidRPr="00F02EFF">
        <w:rPr>
          <w:rFonts w:ascii="David" w:hAnsi="David" w:cs="David"/>
          <w:sz w:val="24"/>
          <w:szCs w:val="24"/>
        </w:rPr>
        <w:t>CBDC</w:t>
      </w:r>
      <w:r w:rsidR="000B4210" w:rsidRPr="00F02EFF">
        <w:rPr>
          <w:rFonts w:ascii="David" w:hAnsi="David" w:cs="David"/>
          <w:sz w:val="24"/>
          <w:szCs w:val="24"/>
          <w:rtl/>
        </w:rPr>
        <w:t xml:space="preserve"> מקומי בנורבגיה"</w:t>
      </w:r>
      <w:r w:rsidR="00A97923" w:rsidRPr="00F02EFF">
        <w:rPr>
          <w:rFonts w:ascii="David" w:hAnsi="David" w:cs="David"/>
          <w:sz w:val="24"/>
          <w:szCs w:val="24"/>
          <w:rtl/>
        </w:rPr>
        <w:t>.</w:t>
      </w:r>
    </w:p>
    <w:p w14:paraId="5F2D8781" w14:textId="77777777" w:rsidR="00DB0078" w:rsidRPr="00F02EFF" w:rsidRDefault="00DB0078" w:rsidP="00F02EFF">
      <w:pPr>
        <w:bidi/>
        <w:spacing w:line="360" w:lineRule="auto"/>
        <w:rPr>
          <w:rFonts w:ascii="David" w:hAnsi="David" w:cs="David"/>
          <w:sz w:val="24"/>
          <w:szCs w:val="24"/>
        </w:rPr>
      </w:pPr>
    </w:p>
    <w:p w14:paraId="70B45B0B" w14:textId="30948CFA" w:rsidR="00DB0078" w:rsidRPr="00F02EFF" w:rsidRDefault="00BA19B5" w:rsidP="00F02EFF">
      <w:pPr>
        <w:bidi/>
        <w:spacing w:line="360" w:lineRule="auto"/>
        <w:rPr>
          <w:rFonts w:ascii="David" w:hAnsi="David" w:cs="David"/>
          <w:sz w:val="24"/>
          <w:szCs w:val="24"/>
        </w:rPr>
      </w:pPr>
      <w:r w:rsidRPr="00F02EFF">
        <w:rPr>
          <w:rFonts w:ascii="David" w:hAnsi="David" w:cs="David"/>
          <w:b/>
          <w:bCs/>
          <w:sz w:val="24"/>
          <w:szCs w:val="24"/>
        </w:rPr>
        <w:t>Beju Shah</w:t>
      </w:r>
      <w:r w:rsidRPr="00F02EFF">
        <w:rPr>
          <w:rFonts w:ascii="David" w:hAnsi="David" w:cs="David"/>
          <w:b/>
          <w:bCs/>
          <w:sz w:val="24"/>
          <w:szCs w:val="24"/>
          <w:rtl/>
        </w:rPr>
        <w:t>, ראש השלוחה הנורדית של ה-</w:t>
      </w:r>
      <w:r w:rsidRPr="00F02EFF">
        <w:rPr>
          <w:rFonts w:ascii="David" w:hAnsi="David" w:cs="David"/>
          <w:b/>
          <w:bCs/>
          <w:sz w:val="24"/>
          <w:szCs w:val="24"/>
        </w:rPr>
        <w:t>BIS Innovation Hub</w:t>
      </w:r>
      <w:r w:rsidRPr="00F02EFF">
        <w:rPr>
          <w:rFonts w:ascii="David" w:hAnsi="David" w:cs="David"/>
          <w:sz w:val="24"/>
          <w:szCs w:val="24"/>
          <w:rtl/>
        </w:rPr>
        <w:t>:</w:t>
      </w:r>
      <w:r w:rsidRPr="00F02EFF">
        <w:rPr>
          <w:rFonts w:ascii="David" w:hAnsi="David" w:cs="David"/>
          <w:sz w:val="24"/>
          <w:szCs w:val="24"/>
          <w:rtl/>
        </w:rPr>
        <w:br/>
        <w:t xml:space="preserve"> </w:t>
      </w:r>
      <w:r w:rsidR="000B4210" w:rsidRPr="00F02EFF">
        <w:rPr>
          <w:rFonts w:ascii="David" w:hAnsi="David" w:cs="David"/>
          <w:sz w:val="24"/>
          <w:szCs w:val="24"/>
          <w:rtl/>
        </w:rPr>
        <w:t xml:space="preserve">"ניסוי זה, הראשון מסוגו, יאפשר לנו להתעמק בטכנולוגיה, הארכיטקטורה, אופן העיצוב והחלופות השונות, כמו גם לחקור סוגיות מדיניות רלוונטיות. ללקחים שנפיק תהיה תועלת רבה עבור בנקים מרכזיים ששוקלים ליישם תשלומים חוצי גבולות באמצעות </w:t>
      </w:r>
      <w:r w:rsidR="000B4210" w:rsidRPr="00F02EFF">
        <w:rPr>
          <w:rFonts w:ascii="David" w:hAnsi="David" w:cs="David"/>
          <w:sz w:val="24"/>
          <w:szCs w:val="24"/>
        </w:rPr>
        <w:t>CBDC</w:t>
      </w:r>
      <w:r w:rsidR="00A97923" w:rsidRPr="00F02EFF">
        <w:rPr>
          <w:rFonts w:ascii="David" w:hAnsi="David" w:cs="David"/>
          <w:sz w:val="24"/>
          <w:szCs w:val="24"/>
          <w:rtl/>
        </w:rPr>
        <w:t>".</w:t>
      </w:r>
    </w:p>
    <w:p w14:paraId="5215A683" w14:textId="77777777" w:rsidR="00DB0078" w:rsidRPr="00F02EFF" w:rsidRDefault="00DB0078" w:rsidP="00F02EFF">
      <w:pPr>
        <w:bidi/>
        <w:spacing w:line="360" w:lineRule="auto"/>
        <w:rPr>
          <w:rFonts w:ascii="David" w:hAnsi="David" w:cs="David"/>
          <w:sz w:val="24"/>
          <w:szCs w:val="24"/>
        </w:rPr>
      </w:pPr>
    </w:p>
    <w:p w14:paraId="23A1D0A0" w14:textId="77777777" w:rsidR="00DB0078" w:rsidRPr="00F02EFF" w:rsidRDefault="00DB0078" w:rsidP="00F02EFF">
      <w:pPr>
        <w:bidi/>
        <w:spacing w:line="360" w:lineRule="auto"/>
        <w:rPr>
          <w:rFonts w:ascii="David" w:hAnsi="David" w:cs="David"/>
          <w:sz w:val="24"/>
          <w:szCs w:val="24"/>
        </w:rPr>
      </w:pPr>
    </w:p>
    <w:p w14:paraId="11CD4638" w14:textId="77777777" w:rsidR="00DB0078" w:rsidRPr="00F02EFF" w:rsidRDefault="00DB0078" w:rsidP="00F02EFF">
      <w:pPr>
        <w:bidi/>
        <w:spacing w:line="360" w:lineRule="auto"/>
        <w:rPr>
          <w:rFonts w:ascii="David" w:hAnsi="David" w:cs="David"/>
          <w:sz w:val="24"/>
          <w:szCs w:val="24"/>
        </w:rPr>
      </w:pPr>
    </w:p>
    <w:p w14:paraId="0B0B9FC0" w14:textId="77777777" w:rsidR="00DB0078" w:rsidRPr="00F02EFF" w:rsidRDefault="00DB0078" w:rsidP="00F02EFF">
      <w:pPr>
        <w:bidi/>
        <w:spacing w:line="360" w:lineRule="auto"/>
        <w:rPr>
          <w:rFonts w:ascii="David" w:hAnsi="David" w:cs="David"/>
          <w:sz w:val="24"/>
          <w:szCs w:val="24"/>
        </w:rPr>
      </w:pPr>
    </w:p>
    <w:p w14:paraId="57FC2E37" w14:textId="77777777" w:rsidR="00DB0078" w:rsidRDefault="00DB0078">
      <w:pPr>
        <w:bidi/>
      </w:pPr>
    </w:p>
    <w:sectPr w:rsidR="00DB0078">
      <w:headerReference w:type="even" r:id="rId15"/>
      <w:headerReference w:type="default" r:id="rId16"/>
      <w:footerReference w:type="even" r:id="rId17"/>
      <w:footerReference w:type="default" r:id="rId18"/>
      <w:headerReference w:type="first" r:id="rId19"/>
      <w:footerReference w:type="firs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FA8F6" w14:textId="77777777" w:rsidR="00444567" w:rsidRDefault="00444567">
      <w:pPr>
        <w:spacing w:line="240" w:lineRule="auto"/>
      </w:pPr>
      <w:r>
        <w:separator/>
      </w:r>
    </w:p>
  </w:endnote>
  <w:endnote w:type="continuationSeparator" w:id="0">
    <w:p w14:paraId="1548BC3B" w14:textId="77777777" w:rsidR="00444567" w:rsidRDefault="00444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02E5" w14:textId="77777777" w:rsidR="00BE0F99" w:rsidRDefault="00BE0F99">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9463F" w14:textId="77777777" w:rsidR="00BE0F99" w:rsidRDefault="00BE0F99">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852B" w14:textId="77777777" w:rsidR="00BE0F99" w:rsidRDefault="00BE0F9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290E" w14:textId="77777777" w:rsidR="00444567" w:rsidRDefault="00444567">
      <w:pPr>
        <w:spacing w:line="240" w:lineRule="auto"/>
      </w:pPr>
      <w:r>
        <w:separator/>
      </w:r>
    </w:p>
  </w:footnote>
  <w:footnote w:type="continuationSeparator" w:id="0">
    <w:p w14:paraId="1C51A6A1" w14:textId="77777777" w:rsidR="00444567" w:rsidRDefault="00444567">
      <w:pPr>
        <w:spacing w:line="240" w:lineRule="auto"/>
      </w:pPr>
      <w:r>
        <w:continuationSeparator/>
      </w:r>
    </w:p>
  </w:footnote>
  <w:footnote w:id="1">
    <w:p w14:paraId="77FD3A23" w14:textId="77777777" w:rsidR="00DB0078" w:rsidRPr="00F02EFF" w:rsidRDefault="000B4210" w:rsidP="00B22874">
      <w:pPr>
        <w:bidi/>
        <w:spacing w:line="240" w:lineRule="auto"/>
        <w:rPr>
          <w:rFonts w:ascii="David" w:hAnsi="David" w:cs="David"/>
          <w:sz w:val="20"/>
          <w:szCs w:val="20"/>
        </w:rPr>
      </w:pPr>
      <w:r w:rsidRPr="00F02EFF">
        <w:rPr>
          <w:rFonts w:ascii="David" w:hAnsi="David" w:cs="David"/>
          <w:vertAlign w:val="superscript"/>
        </w:rPr>
        <w:footnoteRef/>
      </w:r>
      <w:r w:rsidRPr="00F02EFF">
        <w:rPr>
          <w:rFonts w:ascii="David" w:hAnsi="David" w:cs="David"/>
          <w:sz w:val="20"/>
          <w:szCs w:val="20"/>
          <w:rtl/>
        </w:rPr>
        <w:t xml:space="preserve"> הרחבה אודות </w:t>
      </w:r>
      <w:hyperlink r:id="rId1">
        <w:r w:rsidRPr="00F02EFF">
          <w:rPr>
            <w:rFonts w:ascii="David" w:hAnsi="David" w:cs="David"/>
            <w:color w:val="1155CC"/>
            <w:sz w:val="20"/>
            <w:szCs w:val="20"/>
            <w:u w:val="single"/>
            <w:rtl/>
          </w:rPr>
          <w:t>ה</w:t>
        </w:r>
        <w:r w:rsidR="00B22874" w:rsidRPr="00F02EFF">
          <w:rPr>
            <w:rFonts w:ascii="David" w:hAnsi="David" w:cs="David"/>
            <w:color w:val="1155CC"/>
            <w:sz w:val="20"/>
            <w:szCs w:val="20"/>
            <w:u w:val="single"/>
            <w:rtl/>
          </w:rPr>
          <w:t xml:space="preserve">מערכת הניסיונית של </w:t>
        </w:r>
      </w:hyperlink>
      <w:hyperlink r:id="rId2">
        <w:r w:rsidRPr="00F02EFF">
          <w:rPr>
            <w:rFonts w:ascii="David" w:hAnsi="David" w:cs="David"/>
            <w:color w:val="1155CC"/>
            <w:sz w:val="20"/>
            <w:szCs w:val="20"/>
            <w:u w:val="single"/>
            <w:rtl/>
          </w:rPr>
          <w:t>בנק</w:t>
        </w:r>
      </w:hyperlink>
      <w:hyperlink r:id="rId3">
        <w:r w:rsidRPr="00F02EFF">
          <w:rPr>
            <w:rFonts w:ascii="David" w:hAnsi="David" w:cs="David"/>
            <w:color w:val="1155CC"/>
            <w:sz w:val="20"/>
            <w:szCs w:val="20"/>
            <w:u w:val="single"/>
            <w:rtl/>
          </w:rPr>
          <w:t xml:space="preserve"> </w:t>
        </w:r>
      </w:hyperlink>
      <w:hyperlink r:id="rId4">
        <w:r w:rsidRPr="00F02EFF">
          <w:rPr>
            <w:rFonts w:ascii="David" w:hAnsi="David" w:cs="David"/>
            <w:color w:val="1155CC"/>
            <w:sz w:val="20"/>
            <w:szCs w:val="20"/>
            <w:u w:val="single"/>
            <w:rtl/>
          </w:rPr>
          <w:t>ישראל</w:t>
        </w:r>
      </w:hyperlink>
      <w:r w:rsidRPr="00F02EFF">
        <w:rPr>
          <w:rFonts w:ascii="David" w:hAnsi="David" w:cs="David"/>
          <w:sz w:val="20"/>
          <w:szCs w:val="20"/>
        </w:rPr>
        <w:t>.</w:t>
      </w:r>
    </w:p>
  </w:footnote>
  <w:footnote w:id="2">
    <w:p w14:paraId="48AC39C4" w14:textId="77777777" w:rsidR="009B1B3B" w:rsidRDefault="009B1B3B" w:rsidP="00B43A0D">
      <w:pPr>
        <w:pStyle w:val="ac"/>
        <w:bidi/>
        <w:rPr>
          <w:rtl/>
        </w:rPr>
      </w:pPr>
      <w:r w:rsidRPr="00F02EFF">
        <w:rPr>
          <w:rStyle w:val="ae"/>
          <w:rFonts w:ascii="David" w:hAnsi="David" w:cs="David"/>
        </w:rPr>
        <w:footnoteRef/>
      </w:r>
      <w:r w:rsidRPr="00F02EFF">
        <w:rPr>
          <w:rFonts w:ascii="David" w:hAnsi="David" w:cs="David"/>
        </w:rPr>
        <w:t xml:space="preserve"> </w:t>
      </w:r>
      <w:r w:rsidRPr="00F02EFF">
        <w:rPr>
          <w:rFonts w:ascii="David" w:hAnsi="David" w:cs="David"/>
          <w:rtl/>
        </w:rPr>
        <w:t>קורספונדנטים הם בנקים שממוקמים במדינות שונות הנותנים שירותים לבנקים אחרים ברחבי העולם, לרבות סליקת תשלומים במטבע המדינה בה הבנק יושב.</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F476" w14:textId="77777777" w:rsidR="00BE0F99" w:rsidRDefault="00BE0F99">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49FE" w14:textId="77777777" w:rsidR="00BE0F99" w:rsidRDefault="00BE0F99">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09EF9" w14:textId="77777777" w:rsidR="00BE0F99" w:rsidRDefault="00BE0F99">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78"/>
    <w:rsid w:val="00004E34"/>
    <w:rsid w:val="00007288"/>
    <w:rsid w:val="000B4210"/>
    <w:rsid w:val="00135B7A"/>
    <w:rsid w:val="001606AA"/>
    <w:rsid w:val="0016126D"/>
    <w:rsid w:val="00444567"/>
    <w:rsid w:val="005F56EA"/>
    <w:rsid w:val="0076172E"/>
    <w:rsid w:val="00912017"/>
    <w:rsid w:val="009B1B3B"/>
    <w:rsid w:val="00A97923"/>
    <w:rsid w:val="00B22874"/>
    <w:rsid w:val="00B43A0D"/>
    <w:rsid w:val="00B6535F"/>
    <w:rsid w:val="00BA19B5"/>
    <w:rsid w:val="00BE0F99"/>
    <w:rsid w:val="00BE37FD"/>
    <w:rsid w:val="00C6104D"/>
    <w:rsid w:val="00DB0078"/>
    <w:rsid w:val="00EC2425"/>
    <w:rsid w:val="00F02EFF"/>
    <w:rsid w:val="00F81B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2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annotation reference"/>
    <w:basedOn w:val="a0"/>
    <w:uiPriority w:val="99"/>
    <w:semiHidden/>
    <w:unhideWhenUsed/>
    <w:rsid w:val="00BE37FD"/>
    <w:rPr>
      <w:sz w:val="16"/>
      <w:szCs w:val="16"/>
    </w:rPr>
  </w:style>
  <w:style w:type="paragraph" w:styleId="a6">
    <w:name w:val="annotation text"/>
    <w:basedOn w:val="a"/>
    <w:link w:val="a7"/>
    <w:uiPriority w:val="99"/>
    <w:semiHidden/>
    <w:unhideWhenUsed/>
    <w:rsid w:val="00BE37FD"/>
    <w:pPr>
      <w:spacing w:line="240" w:lineRule="auto"/>
    </w:pPr>
    <w:rPr>
      <w:sz w:val="20"/>
      <w:szCs w:val="20"/>
    </w:rPr>
  </w:style>
  <w:style w:type="character" w:customStyle="1" w:styleId="a7">
    <w:name w:val="טקסט הערה תו"/>
    <w:basedOn w:val="a0"/>
    <w:link w:val="a6"/>
    <w:uiPriority w:val="99"/>
    <w:semiHidden/>
    <w:rsid w:val="00BE37FD"/>
    <w:rPr>
      <w:sz w:val="20"/>
      <w:szCs w:val="20"/>
    </w:rPr>
  </w:style>
  <w:style w:type="paragraph" w:styleId="a8">
    <w:name w:val="annotation subject"/>
    <w:basedOn w:val="a6"/>
    <w:next w:val="a6"/>
    <w:link w:val="a9"/>
    <w:uiPriority w:val="99"/>
    <w:semiHidden/>
    <w:unhideWhenUsed/>
    <w:rsid w:val="00BE37FD"/>
    <w:rPr>
      <w:b/>
      <w:bCs/>
    </w:rPr>
  </w:style>
  <w:style w:type="character" w:customStyle="1" w:styleId="a9">
    <w:name w:val="נושא הערה תו"/>
    <w:basedOn w:val="a7"/>
    <w:link w:val="a8"/>
    <w:uiPriority w:val="99"/>
    <w:semiHidden/>
    <w:rsid w:val="00BE37FD"/>
    <w:rPr>
      <w:b/>
      <w:bCs/>
      <w:sz w:val="20"/>
      <w:szCs w:val="20"/>
    </w:rPr>
  </w:style>
  <w:style w:type="paragraph" w:styleId="aa">
    <w:name w:val="Balloon Text"/>
    <w:basedOn w:val="a"/>
    <w:link w:val="ab"/>
    <w:uiPriority w:val="99"/>
    <w:semiHidden/>
    <w:unhideWhenUsed/>
    <w:rsid w:val="00BE37FD"/>
    <w:pPr>
      <w:spacing w:line="240" w:lineRule="auto"/>
    </w:pPr>
    <w:rPr>
      <w:rFonts w:ascii="Tahoma" w:hAnsi="Tahoma" w:cs="Tahoma"/>
      <w:sz w:val="18"/>
      <w:szCs w:val="18"/>
    </w:rPr>
  </w:style>
  <w:style w:type="character" w:customStyle="1" w:styleId="ab">
    <w:name w:val="טקסט בלונים תו"/>
    <w:basedOn w:val="a0"/>
    <w:link w:val="aa"/>
    <w:uiPriority w:val="99"/>
    <w:semiHidden/>
    <w:rsid w:val="00BE37FD"/>
    <w:rPr>
      <w:rFonts w:ascii="Tahoma" w:hAnsi="Tahoma" w:cs="Tahoma"/>
      <w:sz w:val="18"/>
      <w:szCs w:val="18"/>
    </w:rPr>
  </w:style>
  <w:style w:type="paragraph" w:styleId="ac">
    <w:name w:val="footnote text"/>
    <w:basedOn w:val="a"/>
    <w:link w:val="ad"/>
    <w:uiPriority w:val="99"/>
    <w:semiHidden/>
    <w:unhideWhenUsed/>
    <w:rsid w:val="009B1B3B"/>
    <w:pPr>
      <w:spacing w:line="240" w:lineRule="auto"/>
    </w:pPr>
    <w:rPr>
      <w:sz w:val="20"/>
      <w:szCs w:val="20"/>
    </w:rPr>
  </w:style>
  <w:style w:type="character" w:customStyle="1" w:styleId="ad">
    <w:name w:val="טקסט הערת שוליים תו"/>
    <w:basedOn w:val="a0"/>
    <w:link w:val="ac"/>
    <w:uiPriority w:val="99"/>
    <w:semiHidden/>
    <w:rsid w:val="009B1B3B"/>
    <w:rPr>
      <w:sz w:val="20"/>
      <w:szCs w:val="20"/>
    </w:rPr>
  </w:style>
  <w:style w:type="character" w:styleId="ae">
    <w:name w:val="footnote reference"/>
    <w:basedOn w:val="a0"/>
    <w:uiPriority w:val="99"/>
    <w:semiHidden/>
    <w:unhideWhenUsed/>
    <w:rsid w:val="009B1B3B"/>
    <w:rPr>
      <w:vertAlign w:val="superscript"/>
    </w:rPr>
  </w:style>
  <w:style w:type="paragraph" w:styleId="af">
    <w:name w:val="header"/>
    <w:basedOn w:val="a"/>
    <w:link w:val="af0"/>
    <w:uiPriority w:val="99"/>
    <w:unhideWhenUsed/>
    <w:rsid w:val="00BE0F99"/>
    <w:pPr>
      <w:tabs>
        <w:tab w:val="center" w:pos="4153"/>
        <w:tab w:val="right" w:pos="8306"/>
      </w:tabs>
      <w:spacing w:line="240" w:lineRule="auto"/>
    </w:pPr>
  </w:style>
  <w:style w:type="character" w:customStyle="1" w:styleId="af0">
    <w:name w:val="כותרת עליונה תו"/>
    <w:basedOn w:val="a0"/>
    <w:link w:val="af"/>
    <w:uiPriority w:val="99"/>
    <w:rsid w:val="00BE0F99"/>
  </w:style>
  <w:style w:type="paragraph" w:styleId="af1">
    <w:name w:val="footer"/>
    <w:basedOn w:val="a"/>
    <w:link w:val="af2"/>
    <w:uiPriority w:val="99"/>
    <w:unhideWhenUsed/>
    <w:rsid w:val="00BE0F99"/>
    <w:pPr>
      <w:tabs>
        <w:tab w:val="center" w:pos="4153"/>
        <w:tab w:val="right" w:pos="8306"/>
      </w:tabs>
      <w:spacing w:line="240" w:lineRule="auto"/>
    </w:pPr>
  </w:style>
  <w:style w:type="character" w:customStyle="1" w:styleId="af2">
    <w:name w:val="כותרת תחתונה תו"/>
    <w:basedOn w:val="a0"/>
    <w:link w:val="af1"/>
    <w:uiPriority w:val="99"/>
    <w:rsid w:val="00BE0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is.org/publ/othp52.pdf" TargetMode="External"/><Relationship Id="rId13" Type="http://schemas.openxmlformats.org/officeDocument/2006/relationships/hyperlink" Target="https://www.bis.org/publ/othp52.pdf"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s.org/publ/othp52.pdf" TargetMode="External"/><Relationship Id="rId12" Type="http://schemas.openxmlformats.org/officeDocument/2006/relationships/hyperlink" Target="https://www.bis.org/publ/othp52.pdf"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is.org/publ/othp52.pdf"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s://www.bis.org/publ/othp52.pdf"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bis.org/publ/othp52.pdf" TargetMode="External"/><Relationship Id="rId14" Type="http://schemas.openxmlformats.org/officeDocument/2006/relationships/hyperlink" Target="https://www.bis.org/publ/othp52.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oi.org.il/he/NewsAndPublications/PressReleases/Pages/20-6-22.aspx" TargetMode="External"/><Relationship Id="rId2" Type="http://schemas.openxmlformats.org/officeDocument/2006/relationships/hyperlink" Target="https://www.boi.org.il/he/NewsAndPublications/PressReleases/Pages/20-6-22.aspx" TargetMode="External"/><Relationship Id="rId1" Type="http://schemas.openxmlformats.org/officeDocument/2006/relationships/hyperlink" Target="https://www.boi.org.il/he/NewsAndPublications/PressReleases/Pages/20-6-22.aspx" TargetMode="External"/><Relationship Id="rId4" Type="http://schemas.openxmlformats.org/officeDocument/2006/relationships/hyperlink" Target="https://www.boi.org.il/he/NewsAndPublications/PressReleases/Pages/20-6-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bb10b40ee8d3a599c5f62d28aa9a0b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c347f0a8e3e1664f2bb8f913eca227a"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Props1.xml><?xml version="1.0" encoding="utf-8"?>
<ds:datastoreItem xmlns:ds="http://schemas.openxmlformats.org/officeDocument/2006/customXml" ds:itemID="{33C24B29-8916-4B77-A6DF-4110443DCC9B}"/>
</file>

<file path=customXml/itemProps2.xml><?xml version="1.0" encoding="utf-8"?>
<ds:datastoreItem xmlns:ds="http://schemas.openxmlformats.org/officeDocument/2006/customXml" ds:itemID="{54FAD2D6-B891-4288-BB07-9D336A25A327}"/>
</file>

<file path=customXml/itemProps3.xml><?xml version="1.0" encoding="utf-8"?>
<ds:datastoreItem xmlns:ds="http://schemas.openxmlformats.org/officeDocument/2006/customXml" ds:itemID="{F962ED76-68ED-4C93-98C4-66D23BF80C3C}"/>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3220</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2022-09-28T09:29:00Z</dcterms:created>
  <dcterms:modified xsi:type="dcterms:W3CDTF">2022-09-28T09:29:00Z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