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Ind w:w="-401" w:type="dxa"/>
        <w:tblLayout w:type="fixed"/>
        <w:tblLook w:val="0000" w:firstRow="0" w:lastRow="0" w:firstColumn="0" w:lastColumn="0" w:noHBand="0" w:noVBand="0"/>
      </w:tblPr>
      <w:tblGrid>
        <w:gridCol w:w="3241"/>
        <w:gridCol w:w="2840"/>
        <w:gridCol w:w="2840"/>
      </w:tblGrid>
      <w:tr w:rsidR="006537C5" w:rsidRPr="00DB1CBC" w:rsidTr="006537C5">
        <w:trPr>
          <w:jc w:val="center"/>
        </w:trPr>
        <w:tc>
          <w:tcPr>
            <w:tcW w:w="3241" w:type="dxa"/>
            <w:tcBorders>
              <w:top w:val="nil"/>
              <w:left w:val="nil"/>
              <w:bottom w:val="nil"/>
              <w:right w:val="nil"/>
            </w:tcBorders>
            <w:vAlign w:val="center"/>
          </w:tcPr>
          <w:p w:rsidR="006537C5" w:rsidRDefault="006537C5" w:rsidP="00470E9F">
            <w:pPr>
              <w:spacing w:line="360" w:lineRule="auto"/>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6537C5" w:rsidRDefault="006537C5" w:rsidP="00470E9F">
            <w:pPr>
              <w:spacing w:line="360" w:lineRule="auto"/>
              <w:ind w:right="-101"/>
            </w:pPr>
            <w:r>
              <w:rPr>
                <w:rFonts w:cs="David"/>
                <w:rtl/>
              </w:rPr>
              <w:t>דו</w:t>
            </w:r>
            <w:r>
              <w:rPr>
                <w:rFonts w:cs="David" w:hint="cs"/>
                <w:rtl/>
              </w:rPr>
              <w:t>בר</w:t>
            </w:r>
            <w:r>
              <w:rPr>
                <w:rFonts w:cs="David"/>
                <w:rtl/>
              </w:rPr>
              <w:t>ות</w:t>
            </w:r>
            <w:r>
              <w:rPr>
                <w:rFonts w:cs="David" w:hint="cs"/>
                <w:rtl/>
              </w:rPr>
              <w:t xml:space="preserve"> והסברה כלכלית</w:t>
            </w:r>
          </w:p>
        </w:tc>
        <w:tc>
          <w:tcPr>
            <w:tcW w:w="2840" w:type="dxa"/>
            <w:tcBorders>
              <w:top w:val="nil"/>
              <w:left w:val="nil"/>
              <w:bottom w:val="nil"/>
              <w:right w:val="nil"/>
            </w:tcBorders>
          </w:tcPr>
          <w:p w:rsidR="006537C5" w:rsidRDefault="006537C5" w:rsidP="00BC1B0F">
            <w:pPr>
              <w:jc w:val="center"/>
            </w:pPr>
            <w:r>
              <w:rPr>
                <w:noProof/>
              </w:rPr>
              <w:drawing>
                <wp:inline distT="0" distB="0" distL="0" distR="0" wp14:anchorId="5B21BC90" wp14:editId="384BCD1C">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9"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2840" w:type="dxa"/>
            <w:tcBorders>
              <w:top w:val="nil"/>
              <w:left w:val="nil"/>
              <w:bottom w:val="nil"/>
              <w:right w:val="nil"/>
            </w:tcBorders>
            <w:vAlign w:val="center"/>
          </w:tcPr>
          <w:p w:rsidR="006537C5" w:rsidRDefault="006537C5" w:rsidP="00BC1B0F">
            <w:pPr>
              <w:spacing w:line="480" w:lineRule="auto"/>
              <w:jc w:val="right"/>
              <w:rPr>
                <w:rFonts w:cs="David"/>
              </w:rPr>
            </w:pPr>
            <w:r>
              <w:rPr>
                <w:rFonts w:cs="David" w:hint="eastAsia"/>
                <w:rtl/>
              </w:rPr>
              <w:t>‏</w:t>
            </w:r>
            <w:r>
              <w:rPr>
                <w:rFonts w:cs="David" w:hint="cs"/>
                <w:rtl/>
              </w:rPr>
              <w:t>ירושלים, ה' בשבט</w:t>
            </w:r>
            <w:r>
              <w:rPr>
                <w:rFonts w:cs="David"/>
                <w:rtl/>
              </w:rPr>
              <w:t xml:space="preserve"> </w:t>
            </w:r>
            <w:r>
              <w:rPr>
                <w:rFonts w:cs="David" w:hint="cs"/>
                <w:rtl/>
              </w:rPr>
              <w:t>ה</w:t>
            </w:r>
            <w:r>
              <w:rPr>
                <w:rFonts w:cs="David"/>
                <w:rtl/>
              </w:rPr>
              <w:t>תשע"</w:t>
            </w:r>
            <w:r>
              <w:rPr>
                <w:rFonts w:cs="David" w:hint="cs"/>
                <w:rtl/>
              </w:rPr>
              <w:t>ד</w:t>
            </w:r>
          </w:p>
          <w:p w:rsidR="006537C5" w:rsidRPr="00DF107C" w:rsidRDefault="006537C5" w:rsidP="00BC1B0F">
            <w:pPr>
              <w:spacing w:line="480" w:lineRule="auto"/>
              <w:jc w:val="right"/>
              <w:rPr>
                <w:rFonts w:cs="David"/>
              </w:rPr>
            </w:pPr>
            <w:r>
              <w:rPr>
                <w:rFonts w:cs="David" w:hint="eastAsia"/>
                <w:rtl/>
              </w:rPr>
              <w:t>‏‏</w:t>
            </w:r>
            <w:r>
              <w:rPr>
                <w:rFonts w:cs="David" w:hint="cs"/>
                <w:rtl/>
              </w:rPr>
              <w:t>6 בינואר 2014</w:t>
            </w:r>
          </w:p>
        </w:tc>
      </w:tr>
    </w:tbl>
    <w:p w:rsidR="006537C5" w:rsidRDefault="006537C5" w:rsidP="006537C5">
      <w:pPr>
        <w:rPr>
          <w:rtl/>
        </w:rPr>
      </w:pPr>
    </w:p>
    <w:p w:rsidR="006537C5" w:rsidRDefault="006537C5" w:rsidP="006537C5">
      <w:pPr>
        <w:spacing w:line="360" w:lineRule="auto"/>
        <w:ind w:right="-101"/>
        <w:rPr>
          <w:rFonts w:cs="David"/>
          <w:rtl/>
        </w:rPr>
      </w:pPr>
      <w:r w:rsidRPr="007E18EE">
        <w:rPr>
          <w:rFonts w:cs="David" w:hint="cs"/>
          <w:rtl/>
        </w:rPr>
        <w:t>הודעה לעיתונות:</w:t>
      </w:r>
    </w:p>
    <w:p w:rsidR="00AF7854" w:rsidRPr="00412732" w:rsidRDefault="005E28A2" w:rsidP="00A23320">
      <w:pPr>
        <w:spacing w:before="120" w:line="360" w:lineRule="auto"/>
        <w:jc w:val="center"/>
        <w:rPr>
          <w:rFonts w:ascii="Arial" w:hAnsi="Arial" w:cs="David"/>
          <w:b/>
          <w:bCs/>
          <w:sz w:val="28"/>
          <w:szCs w:val="28"/>
          <w:rtl/>
        </w:rPr>
      </w:pPr>
      <w:r w:rsidRPr="00EC5E48">
        <w:rPr>
          <w:rFonts w:ascii="Arial" w:hAnsi="Arial" w:cs="David"/>
          <w:b/>
          <w:bCs/>
          <w:sz w:val="28"/>
          <w:szCs w:val="28"/>
          <w:u w:val="single"/>
          <w:rtl/>
        </w:rPr>
        <w:t xml:space="preserve">בנק ישראל פרסם היום את </w:t>
      </w:r>
      <w:r w:rsidR="009B20E8" w:rsidRPr="00EC5E48">
        <w:rPr>
          <w:rFonts w:ascii="Arial" w:hAnsi="Arial" w:cs="David" w:hint="cs"/>
          <w:b/>
          <w:bCs/>
          <w:sz w:val="28"/>
          <w:szCs w:val="28"/>
          <w:u w:val="single"/>
          <w:rtl/>
        </w:rPr>
        <w:t>תכנית</w:t>
      </w:r>
      <w:r w:rsidRPr="00EC5E48">
        <w:rPr>
          <w:rFonts w:ascii="Arial" w:hAnsi="Arial" w:cs="David"/>
          <w:b/>
          <w:bCs/>
          <w:sz w:val="28"/>
          <w:szCs w:val="28"/>
          <w:u w:val="single"/>
          <w:rtl/>
        </w:rPr>
        <w:t xml:space="preserve"> העבודה ותקציב הבנק לשנת</w:t>
      </w:r>
      <w:r w:rsidR="00D558F7" w:rsidRPr="00EC5E48">
        <w:rPr>
          <w:rFonts w:ascii="Arial" w:hAnsi="Arial" w:cs="David" w:hint="cs"/>
          <w:b/>
          <w:bCs/>
          <w:sz w:val="28"/>
          <w:szCs w:val="28"/>
          <w:u w:val="single"/>
          <w:rtl/>
        </w:rPr>
        <w:t xml:space="preserve"> </w:t>
      </w:r>
      <w:r w:rsidR="003A5233" w:rsidRPr="00EC5E48">
        <w:rPr>
          <w:rFonts w:ascii="Arial" w:hAnsi="Arial" w:cs="David" w:hint="cs"/>
          <w:b/>
          <w:bCs/>
          <w:sz w:val="28"/>
          <w:szCs w:val="28"/>
          <w:u w:val="single"/>
          <w:rtl/>
        </w:rPr>
        <w:t>201</w:t>
      </w:r>
      <w:r w:rsidR="00C972E4">
        <w:rPr>
          <w:rFonts w:ascii="Arial" w:hAnsi="Arial" w:cs="David" w:hint="cs"/>
          <w:b/>
          <w:bCs/>
          <w:sz w:val="28"/>
          <w:szCs w:val="28"/>
          <w:u w:val="single"/>
          <w:rtl/>
        </w:rPr>
        <w:t>4</w:t>
      </w:r>
    </w:p>
    <w:p w:rsidR="00AD6A18" w:rsidRPr="00FD4B69" w:rsidRDefault="00AD6A18" w:rsidP="00D86318">
      <w:pPr>
        <w:pStyle w:val="af1"/>
        <w:numPr>
          <w:ilvl w:val="0"/>
          <w:numId w:val="23"/>
        </w:numPr>
        <w:spacing w:before="120"/>
        <w:jc w:val="both"/>
        <w:rPr>
          <w:rFonts w:ascii="Arial" w:hAnsi="Arial" w:cs="David"/>
          <w:b/>
          <w:bCs/>
          <w:sz w:val="24"/>
          <w:szCs w:val="24"/>
          <w:rtl/>
        </w:rPr>
      </w:pPr>
      <w:r w:rsidRPr="00FD4B69">
        <w:rPr>
          <w:rFonts w:ascii="Arial" w:hAnsi="Arial" w:cs="David" w:hint="cs"/>
          <w:b/>
          <w:bCs/>
          <w:sz w:val="24"/>
          <w:szCs w:val="24"/>
          <w:rtl/>
        </w:rPr>
        <w:t xml:space="preserve">היעדים המרכזיים בתכנית העבודה השנה עוסקים </w:t>
      </w:r>
      <w:r w:rsidR="00D01D18" w:rsidRPr="00FD4B69">
        <w:rPr>
          <w:rFonts w:ascii="Arial" w:hAnsi="Arial" w:cs="David" w:hint="cs"/>
          <w:b/>
          <w:bCs/>
          <w:sz w:val="24"/>
          <w:szCs w:val="24"/>
          <w:rtl/>
        </w:rPr>
        <w:t xml:space="preserve">בקידום רפורמות במערכת הפיננסית, </w:t>
      </w:r>
      <w:r w:rsidRPr="00FD4B69">
        <w:rPr>
          <w:rFonts w:ascii="Arial" w:hAnsi="Arial" w:cs="David" w:hint="cs"/>
          <w:b/>
          <w:bCs/>
          <w:sz w:val="24"/>
          <w:szCs w:val="24"/>
          <w:rtl/>
        </w:rPr>
        <w:t>ב</w:t>
      </w:r>
      <w:r w:rsidR="00D01D18" w:rsidRPr="00FD4B69">
        <w:rPr>
          <w:rFonts w:ascii="Arial" w:hAnsi="Arial" w:cs="David" w:hint="cs"/>
          <w:b/>
          <w:bCs/>
          <w:sz w:val="24"/>
          <w:szCs w:val="24"/>
          <w:rtl/>
        </w:rPr>
        <w:t>התאמת ניהול הסיכונים של יתרות המטח לאור הגידול בתיק היתרות ו</w:t>
      </w:r>
      <w:r w:rsidRPr="00FD4B69">
        <w:rPr>
          <w:rFonts w:ascii="Arial" w:hAnsi="Arial" w:cs="David" w:hint="cs"/>
          <w:b/>
          <w:bCs/>
          <w:sz w:val="24"/>
          <w:szCs w:val="24"/>
          <w:rtl/>
        </w:rPr>
        <w:t>פיתוח מסגרת לחיזוק היציבות הפיננסית של כלל המשק</w:t>
      </w:r>
      <w:r w:rsidR="00D01D18" w:rsidRPr="00FD4B69">
        <w:rPr>
          <w:rFonts w:ascii="Arial" w:hAnsi="Arial" w:cs="David" w:hint="cs"/>
          <w:b/>
          <w:bCs/>
          <w:sz w:val="24"/>
          <w:szCs w:val="24"/>
          <w:rtl/>
        </w:rPr>
        <w:t>.</w:t>
      </w:r>
      <w:r w:rsidRPr="00FD4B69">
        <w:rPr>
          <w:rFonts w:ascii="Arial" w:hAnsi="Arial" w:cs="David" w:hint="cs"/>
          <w:b/>
          <w:bCs/>
          <w:sz w:val="24"/>
          <w:szCs w:val="24"/>
          <w:rtl/>
        </w:rPr>
        <w:t xml:space="preserve"> </w:t>
      </w:r>
    </w:p>
    <w:p w:rsidR="00CE2C59" w:rsidRPr="00FD4B69" w:rsidRDefault="00AD6A18" w:rsidP="003C355C">
      <w:pPr>
        <w:pStyle w:val="af1"/>
        <w:numPr>
          <w:ilvl w:val="0"/>
          <w:numId w:val="23"/>
        </w:numPr>
        <w:spacing w:before="120"/>
        <w:jc w:val="both"/>
        <w:rPr>
          <w:rFonts w:ascii="Arial" w:hAnsi="Arial" w:cs="David"/>
          <w:b/>
          <w:bCs/>
          <w:sz w:val="24"/>
          <w:szCs w:val="24"/>
        </w:rPr>
      </w:pPr>
      <w:r w:rsidRPr="00FD4B69">
        <w:rPr>
          <w:rFonts w:ascii="Arial" w:hAnsi="Arial" w:cs="David" w:hint="cs"/>
          <w:b/>
          <w:bCs/>
          <w:sz w:val="24"/>
          <w:szCs w:val="24"/>
          <w:rtl/>
        </w:rPr>
        <w:t>התקצי</w:t>
      </w:r>
      <w:r w:rsidR="00072C6C" w:rsidRPr="00FD4B69">
        <w:rPr>
          <w:rFonts w:ascii="Arial" w:hAnsi="Arial" w:cs="David" w:hint="cs"/>
          <w:b/>
          <w:bCs/>
          <w:sz w:val="24"/>
          <w:szCs w:val="24"/>
          <w:rtl/>
        </w:rPr>
        <w:t>ב</w:t>
      </w:r>
      <w:r w:rsidRPr="00FD4B69">
        <w:rPr>
          <w:rFonts w:ascii="Arial" w:hAnsi="Arial" w:cs="David" w:hint="cs"/>
          <w:b/>
          <w:bCs/>
          <w:sz w:val="24"/>
          <w:szCs w:val="24"/>
          <w:rtl/>
        </w:rPr>
        <w:t xml:space="preserve"> </w:t>
      </w:r>
      <w:r w:rsidR="00966736" w:rsidRPr="00FD4B69">
        <w:rPr>
          <w:rFonts w:ascii="Arial" w:hAnsi="Arial" w:cs="David" w:hint="cs"/>
          <w:b/>
          <w:bCs/>
          <w:sz w:val="24"/>
          <w:szCs w:val="24"/>
          <w:rtl/>
        </w:rPr>
        <w:t>ה</w:t>
      </w:r>
      <w:r w:rsidRPr="00FD4B69">
        <w:rPr>
          <w:rFonts w:ascii="Arial" w:hAnsi="Arial" w:cs="David" w:hint="cs"/>
          <w:b/>
          <w:bCs/>
          <w:sz w:val="24"/>
          <w:szCs w:val="24"/>
          <w:rtl/>
        </w:rPr>
        <w:t xml:space="preserve">כולל </w:t>
      </w:r>
      <w:r w:rsidR="003C355C" w:rsidRPr="00FD4B69">
        <w:rPr>
          <w:rFonts w:ascii="Arial" w:hAnsi="Arial" w:cs="David" w:hint="cs"/>
          <w:b/>
          <w:bCs/>
          <w:sz w:val="24"/>
          <w:szCs w:val="24"/>
          <w:rtl/>
        </w:rPr>
        <w:t>של בנק ישראל ל</w:t>
      </w:r>
      <w:r w:rsidRPr="00FD4B69">
        <w:rPr>
          <w:rFonts w:ascii="Arial" w:hAnsi="Arial" w:cs="David" w:hint="cs"/>
          <w:b/>
          <w:bCs/>
          <w:sz w:val="24"/>
          <w:szCs w:val="24"/>
          <w:rtl/>
        </w:rPr>
        <w:t xml:space="preserve">שנת 2014 </w:t>
      </w:r>
      <w:r w:rsidR="003C355C" w:rsidRPr="00FD4B69">
        <w:rPr>
          <w:rFonts w:ascii="Arial" w:hAnsi="Arial" w:cs="David" w:hint="cs"/>
          <w:b/>
          <w:bCs/>
          <w:sz w:val="24"/>
          <w:szCs w:val="24"/>
          <w:rtl/>
        </w:rPr>
        <w:t xml:space="preserve">הינו </w:t>
      </w:r>
      <w:r w:rsidR="00ED7C23" w:rsidRPr="00FD4B69">
        <w:rPr>
          <w:rFonts w:ascii="Arial" w:hAnsi="Arial" w:cs="David" w:hint="cs"/>
          <w:b/>
          <w:bCs/>
          <w:sz w:val="24"/>
          <w:szCs w:val="24"/>
          <w:rtl/>
        </w:rPr>
        <w:t xml:space="preserve">939.3 </w:t>
      </w:r>
      <w:r w:rsidRPr="00FD4B69">
        <w:rPr>
          <w:rFonts w:ascii="Arial" w:hAnsi="Arial" w:cs="David" w:hint="cs"/>
          <w:b/>
          <w:bCs/>
          <w:sz w:val="24"/>
          <w:szCs w:val="24"/>
          <w:rtl/>
        </w:rPr>
        <w:t xml:space="preserve">מיליון ₪, מזה </w:t>
      </w:r>
      <w:r w:rsidR="00ED7C23" w:rsidRPr="00FD4B69">
        <w:rPr>
          <w:rFonts w:ascii="Arial" w:hAnsi="Arial" w:cs="David" w:hint="cs"/>
          <w:b/>
          <w:bCs/>
          <w:sz w:val="24"/>
          <w:szCs w:val="24"/>
          <w:rtl/>
        </w:rPr>
        <w:t xml:space="preserve">89.3 </w:t>
      </w:r>
      <w:r w:rsidRPr="00FD4B69">
        <w:rPr>
          <w:rFonts w:ascii="Arial" w:hAnsi="Arial" w:cs="David" w:hint="cs"/>
          <w:b/>
          <w:bCs/>
          <w:sz w:val="24"/>
          <w:szCs w:val="24"/>
          <w:rtl/>
        </w:rPr>
        <w:t xml:space="preserve">מיליון ₪ לתקציב הדפסת כסף. </w:t>
      </w:r>
    </w:p>
    <w:p w:rsidR="00983F99" w:rsidRPr="00FD4B69" w:rsidRDefault="000177D5" w:rsidP="003C355C">
      <w:pPr>
        <w:pStyle w:val="af1"/>
        <w:numPr>
          <w:ilvl w:val="0"/>
          <w:numId w:val="23"/>
        </w:numPr>
        <w:spacing w:before="120"/>
        <w:jc w:val="both"/>
        <w:rPr>
          <w:rFonts w:ascii="Arial" w:hAnsi="Arial" w:cs="David"/>
          <w:b/>
          <w:bCs/>
          <w:sz w:val="24"/>
          <w:szCs w:val="24"/>
          <w:rtl/>
        </w:rPr>
      </w:pPr>
      <w:r w:rsidRPr="00FD4B69">
        <w:rPr>
          <w:rFonts w:ascii="Arial" w:hAnsi="Arial" w:cs="David" w:hint="eastAsia"/>
          <w:b/>
          <w:bCs/>
          <w:sz w:val="24"/>
          <w:szCs w:val="24"/>
          <w:rtl/>
        </w:rPr>
        <w:t>תקציב</w:t>
      </w:r>
      <w:r w:rsidRPr="00FD4B69">
        <w:rPr>
          <w:rFonts w:ascii="Arial" w:hAnsi="Arial" w:cs="David"/>
          <w:b/>
          <w:bCs/>
          <w:sz w:val="24"/>
          <w:szCs w:val="24"/>
          <w:rtl/>
        </w:rPr>
        <w:t xml:space="preserve"> העתודה </w:t>
      </w:r>
      <w:r w:rsidR="00CE2C59" w:rsidRPr="00FD4B69">
        <w:rPr>
          <w:rFonts w:ascii="Arial" w:hAnsi="Arial" w:cs="David" w:hint="cs"/>
          <w:b/>
          <w:bCs/>
          <w:sz w:val="24"/>
          <w:szCs w:val="24"/>
          <w:rtl/>
        </w:rPr>
        <w:t xml:space="preserve">בשנת 2014 </w:t>
      </w:r>
      <w:r w:rsidR="00D86318" w:rsidRPr="00FD4B69">
        <w:rPr>
          <w:rFonts w:ascii="Arial" w:hAnsi="Arial" w:cs="David" w:hint="cs"/>
          <w:b/>
          <w:bCs/>
          <w:sz w:val="24"/>
          <w:szCs w:val="24"/>
          <w:rtl/>
        </w:rPr>
        <w:t>עומד על 98.2 מיליון ₪ ו</w:t>
      </w:r>
      <w:r w:rsidRPr="00FD4B69">
        <w:rPr>
          <w:rFonts w:ascii="Arial" w:hAnsi="Arial" w:cs="David" w:hint="eastAsia"/>
          <w:b/>
          <w:bCs/>
          <w:sz w:val="24"/>
          <w:szCs w:val="24"/>
          <w:rtl/>
        </w:rPr>
        <w:t>כולל</w:t>
      </w:r>
      <w:r w:rsidR="00D86318" w:rsidRPr="00FD4B69">
        <w:rPr>
          <w:rFonts w:ascii="Arial" w:hAnsi="Arial" w:cs="David" w:hint="cs"/>
          <w:b/>
          <w:bCs/>
          <w:sz w:val="24"/>
          <w:szCs w:val="24"/>
          <w:rtl/>
        </w:rPr>
        <w:t xml:space="preserve"> סך של </w:t>
      </w:r>
      <w:r w:rsidR="00AF733B" w:rsidRPr="00FD4B69">
        <w:rPr>
          <w:rFonts w:ascii="Arial" w:hAnsi="Arial" w:cs="David" w:hint="cs"/>
          <w:b/>
          <w:bCs/>
          <w:sz w:val="24"/>
          <w:szCs w:val="24"/>
          <w:rtl/>
        </w:rPr>
        <w:t xml:space="preserve">64.8 </w:t>
      </w:r>
      <w:r w:rsidRPr="00FD4B69">
        <w:rPr>
          <w:rFonts w:ascii="Arial" w:hAnsi="Arial" w:cs="David"/>
          <w:b/>
          <w:bCs/>
          <w:sz w:val="24"/>
          <w:szCs w:val="24"/>
          <w:rtl/>
        </w:rPr>
        <w:t xml:space="preserve">מיליון ₪ בגין הסכם שטרם נחתם </w:t>
      </w:r>
      <w:r w:rsidRPr="00FD4B69">
        <w:rPr>
          <w:rFonts w:ascii="Arial" w:hAnsi="Arial" w:cs="David" w:hint="eastAsia"/>
          <w:b/>
          <w:bCs/>
          <w:sz w:val="24"/>
          <w:szCs w:val="24"/>
          <w:rtl/>
        </w:rPr>
        <w:t>להצמדת</w:t>
      </w:r>
      <w:r w:rsidRPr="00FD4B69">
        <w:rPr>
          <w:rFonts w:ascii="Arial" w:hAnsi="Arial" w:cs="David"/>
          <w:b/>
          <w:bCs/>
          <w:sz w:val="24"/>
          <w:szCs w:val="24"/>
          <w:rtl/>
        </w:rPr>
        <w:t xml:space="preserve"> </w:t>
      </w:r>
      <w:r w:rsidRPr="00FD4B69">
        <w:rPr>
          <w:rFonts w:ascii="Arial" w:hAnsi="Arial" w:cs="David" w:hint="eastAsia"/>
          <w:b/>
          <w:bCs/>
          <w:sz w:val="24"/>
          <w:szCs w:val="24"/>
          <w:rtl/>
        </w:rPr>
        <w:t>הגמלאות</w:t>
      </w:r>
      <w:r w:rsidRPr="00FD4B69">
        <w:rPr>
          <w:rFonts w:ascii="Arial" w:hAnsi="Arial" w:cs="David"/>
          <w:b/>
          <w:bCs/>
          <w:sz w:val="24"/>
          <w:szCs w:val="24"/>
          <w:rtl/>
        </w:rPr>
        <w:t xml:space="preserve"> </w:t>
      </w:r>
      <w:r w:rsidRPr="00FD4B69">
        <w:rPr>
          <w:rFonts w:ascii="Arial" w:hAnsi="Arial" w:cs="David" w:hint="eastAsia"/>
          <w:b/>
          <w:bCs/>
          <w:sz w:val="24"/>
          <w:szCs w:val="24"/>
          <w:rtl/>
        </w:rPr>
        <w:t>למדד</w:t>
      </w:r>
      <w:r w:rsidRPr="00FD4B69">
        <w:rPr>
          <w:rFonts w:ascii="Arial" w:hAnsi="Arial" w:cs="David"/>
          <w:b/>
          <w:bCs/>
          <w:sz w:val="24"/>
          <w:szCs w:val="24"/>
          <w:rtl/>
        </w:rPr>
        <w:t xml:space="preserve"> </w:t>
      </w:r>
      <w:r w:rsidRPr="00FD4B69">
        <w:rPr>
          <w:rFonts w:ascii="Arial" w:hAnsi="Arial" w:cs="David" w:hint="eastAsia"/>
          <w:b/>
          <w:bCs/>
          <w:sz w:val="24"/>
          <w:szCs w:val="24"/>
          <w:rtl/>
        </w:rPr>
        <w:t>המחירים</w:t>
      </w:r>
      <w:r w:rsidRPr="00FD4B69">
        <w:rPr>
          <w:rFonts w:ascii="Arial" w:hAnsi="Arial" w:cs="David"/>
          <w:b/>
          <w:bCs/>
          <w:sz w:val="24"/>
          <w:szCs w:val="24"/>
          <w:rtl/>
        </w:rPr>
        <w:t xml:space="preserve"> </w:t>
      </w:r>
      <w:r w:rsidRPr="00FD4B69">
        <w:rPr>
          <w:rFonts w:ascii="Arial" w:hAnsi="Arial" w:cs="David" w:hint="eastAsia"/>
          <w:b/>
          <w:bCs/>
          <w:sz w:val="24"/>
          <w:szCs w:val="24"/>
          <w:rtl/>
        </w:rPr>
        <w:t>לצרכן</w:t>
      </w:r>
      <w:r w:rsidR="00D86318" w:rsidRPr="00FD4B69">
        <w:rPr>
          <w:rFonts w:ascii="Arial" w:hAnsi="Arial" w:cs="David" w:hint="cs"/>
          <w:b/>
          <w:bCs/>
          <w:sz w:val="24"/>
          <w:szCs w:val="24"/>
          <w:rtl/>
        </w:rPr>
        <w:t>.</w:t>
      </w:r>
    </w:p>
    <w:p w:rsidR="00FF64FF" w:rsidRPr="00FD4B69" w:rsidRDefault="00D86318" w:rsidP="003C355C">
      <w:pPr>
        <w:pStyle w:val="af1"/>
        <w:numPr>
          <w:ilvl w:val="0"/>
          <w:numId w:val="23"/>
        </w:numPr>
        <w:spacing w:before="120"/>
        <w:ind w:right="-142"/>
        <w:jc w:val="both"/>
        <w:rPr>
          <w:rFonts w:ascii="Arial" w:hAnsi="Arial" w:cs="David"/>
          <w:b/>
          <w:bCs/>
          <w:sz w:val="24"/>
          <w:szCs w:val="24"/>
          <w:rtl/>
        </w:rPr>
      </w:pPr>
      <w:r w:rsidRPr="00FD4B69">
        <w:rPr>
          <w:rFonts w:ascii="Arial" w:hAnsi="Arial" w:cs="David" w:hint="cs"/>
          <w:b/>
          <w:bCs/>
          <w:sz w:val="24"/>
          <w:szCs w:val="24"/>
          <w:rtl/>
        </w:rPr>
        <w:t>ללא תחום הפעולה "</w:t>
      </w:r>
      <w:r w:rsidR="00FF64FF" w:rsidRPr="00FD4B69">
        <w:rPr>
          <w:rFonts w:ascii="Arial" w:hAnsi="Arial" w:cs="David" w:hint="cs"/>
          <w:b/>
          <w:bCs/>
          <w:sz w:val="24"/>
          <w:szCs w:val="24"/>
          <w:rtl/>
        </w:rPr>
        <w:t>עתודה</w:t>
      </w:r>
      <w:r w:rsidRPr="00FD4B69">
        <w:rPr>
          <w:rFonts w:ascii="Arial" w:hAnsi="Arial" w:cs="David" w:hint="cs"/>
          <w:b/>
          <w:bCs/>
          <w:sz w:val="24"/>
          <w:szCs w:val="24"/>
          <w:rtl/>
        </w:rPr>
        <w:t>"</w:t>
      </w:r>
      <w:r w:rsidR="00FF64FF" w:rsidRPr="00FD4B69">
        <w:rPr>
          <w:rFonts w:ascii="Arial" w:hAnsi="Arial" w:cs="David" w:hint="cs"/>
          <w:b/>
          <w:bCs/>
          <w:sz w:val="24"/>
          <w:szCs w:val="24"/>
          <w:rtl/>
        </w:rPr>
        <w:t xml:space="preserve">, תקציב הבנק לשנת 2014 </w:t>
      </w:r>
      <w:r w:rsidR="003C355C" w:rsidRPr="00FD4B69">
        <w:rPr>
          <w:rFonts w:ascii="Arial" w:hAnsi="Arial" w:cs="David" w:hint="cs"/>
          <w:b/>
          <w:bCs/>
          <w:sz w:val="24"/>
          <w:szCs w:val="24"/>
          <w:rtl/>
        </w:rPr>
        <w:t xml:space="preserve">מסתכם בסך 841.1 מיליון ₪, גידול נומינלי של 1%, הנמוך </w:t>
      </w:r>
      <w:r w:rsidR="00FF64FF" w:rsidRPr="00FD4B69">
        <w:rPr>
          <w:rFonts w:ascii="Arial" w:hAnsi="Arial" w:cs="David" w:hint="cs"/>
          <w:b/>
          <w:bCs/>
          <w:sz w:val="24"/>
          <w:szCs w:val="24"/>
          <w:rtl/>
        </w:rPr>
        <w:t>מתחזית ה</w:t>
      </w:r>
      <w:r w:rsidR="003C355C" w:rsidRPr="00FD4B69">
        <w:rPr>
          <w:rFonts w:ascii="Arial" w:hAnsi="Arial" w:cs="David" w:hint="cs"/>
          <w:b/>
          <w:bCs/>
          <w:sz w:val="24"/>
          <w:szCs w:val="24"/>
          <w:rtl/>
        </w:rPr>
        <w:t xml:space="preserve">אינפלציה שנקבעה </w:t>
      </w:r>
      <w:r w:rsidR="00FF64FF" w:rsidRPr="00FD4B69">
        <w:rPr>
          <w:rFonts w:ascii="Arial" w:hAnsi="Arial" w:cs="David" w:hint="cs"/>
          <w:b/>
          <w:bCs/>
          <w:sz w:val="24"/>
          <w:szCs w:val="24"/>
          <w:rtl/>
        </w:rPr>
        <w:t>בתקציב</w:t>
      </w:r>
      <w:r w:rsidRPr="00FD4B69">
        <w:rPr>
          <w:rFonts w:ascii="Arial" w:hAnsi="Arial" w:cs="David" w:hint="cs"/>
          <w:b/>
          <w:bCs/>
          <w:sz w:val="24"/>
          <w:szCs w:val="24"/>
          <w:rtl/>
        </w:rPr>
        <w:t>.</w:t>
      </w:r>
      <w:r w:rsidR="00FF64FF" w:rsidRPr="00FD4B69">
        <w:rPr>
          <w:rFonts w:ascii="Arial" w:hAnsi="Arial" w:cs="David" w:hint="cs"/>
          <w:b/>
          <w:bCs/>
          <w:sz w:val="24"/>
          <w:szCs w:val="24"/>
          <w:rtl/>
        </w:rPr>
        <w:t xml:space="preserve"> </w:t>
      </w:r>
    </w:p>
    <w:p w:rsidR="008D70A4" w:rsidRDefault="008D70A4" w:rsidP="008D70A4">
      <w:pPr>
        <w:spacing w:line="360" w:lineRule="auto"/>
        <w:jc w:val="both"/>
        <w:rPr>
          <w:rFonts w:ascii="Arial" w:hAnsi="Arial" w:cs="David"/>
          <w:rtl/>
        </w:rPr>
      </w:pPr>
    </w:p>
    <w:p w:rsidR="00F07275" w:rsidRPr="00FD4B69" w:rsidRDefault="00F07275" w:rsidP="00F07275">
      <w:pPr>
        <w:spacing w:before="120" w:line="360" w:lineRule="auto"/>
        <w:jc w:val="both"/>
        <w:rPr>
          <w:rFonts w:ascii="Arial" w:hAnsi="Arial" w:cs="David"/>
          <w:b/>
          <w:bCs/>
        </w:rPr>
      </w:pPr>
      <w:r w:rsidRPr="00FD4B69">
        <w:rPr>
          <w:rFonts w:ascii="Arial" w:hAnsi="Arial" w:cs="David" w:hint="cs"/>
          <w:b/>
          <w:bCs/>
          <w:rtl/>
        </w:rPr>
        <w:t>מר דן פרופר, יו"ר המועצה המינהלית של בנק ישראל: "</w:t>
      </w:r>
      <w:r w:rsidRPr="00FD4B69">
        <w:rPr>
          <w:rFonts w:ascii="Arial" w:hAnsi="Arial" w:cs="David"/>
          <w:b/>
          <w:bCs/>
          <w:rtl/>
        </w:rPr>
        <w:t xml:space="preserve">המועצה המנהלית </w:t>
      </w:r>
      <w:r w:rsidRPr="00FD4B69">
        <w:rPr>
          <w:rFonts w:ascii="Arial" w:hAnsi="Arial" w:cs="David" w:hint="cs"/>
          <w:b/>
          <w:bCs/>
          <w:rtl/>
        </w:rPr>
        <w:t>סבור</w:t>
      </w:r>
      <w:r w:rsidRPr="00FD4B69">
        <w:rPr>
          <w:rFonts w:ascii="Arial" w:hAnsi="Arial" w:cs="David"/>
          <w:b/>
          <w:bCs/>
          <w:rtl/>
        </w:rPr>
        <w:t>ה שתקציב הבנק לשנת 2014 יאפשר לבנק ישראל להמשיך למלא את תפקידיו החשובים למשק הישראלי ולשמר את היכולות הנדרשות ממנו, תוך ניהול תקציבי אחראי ומחושב. תכנית העבודה משקפת את האתגרים הלא פשוטים העומדים בפני הבנק לתקופה הקרובה, הן בצד המדיניות והן בצדדים האדמיניסטרטיביים, ומניחה את התשתית להתמודדות עם אתגרים אלו</w:t>
      </w:r>
      <w:r w:rsidR="00D01D18" w:rsidRPr="00FD4B69">
        <w:rPr>
          <w:rFonts w:ascii="Arial" w:hAnsi="Arial" w:cs="David" w:hint="cs"/>
          <w:b/>
          <w:bCs/>
          <w:rtl/>
        </w:rPr>
        <w:t>"</w:t>
      </w:r>
      <w:r w:rsidRPr="00FD4B69">
        <w:rPr>
          <w:rFonts w:ascii="Arial" w:hAnsi="Arial" w:cs="David"/>
          <w:b/>
          <w:bCs/>
          <w:rtl/>
        </w:rPr>
        <w:t>.</w:t>
      </w:r>
    </w:p>
    <w:p w:rsidR="00D86318" w:rsidRDefault="00D86318" w:rsidP="00EF3075">
      <w:pPr>
        <w:spacing w:before="120" w:line="360" w:lineRule="auto"/>
        <w:jc w:val="both"/>
        <w:rPr>
          <w:rFonts w:ascii="Arial" w:hAnsi="Arial" w:cs="David"/>
          <w:rtl/>
        </w:rPr>
      </w:pPr>
    </w:p>
    <w:p w:rsidR="006B7416" w:rsidRDefault="006B7416" w:rsidP="00EF3075">
      <w:pPr>
        <w:spacing w:before="120" w:line="360" w:lineRule="auto"/>
        <w:jc w:val="both"/>
        <w:rPr>
          <w:rFonts w:ascii="Arial" w:hAnsi="Arial" w:cs="David"/>
          <w:rtl/>
        </w:rPr>
      </w:pPr>
      <w:r>
        <w:rPr>
          <w:rFonts w:ascii="Arial" w:hAnsi="Arial" w:cs="David" w:hint="cs"/>
          <w:rtl/>
        </w:rPr>
        <w:t xml:space="preserve">בנק ישראל מפרסם היום לציבור את עיקרי </w:t>
      </w:r>
      <w:r w:rsidR="009B20E8">
        <w:rPr>
          <w:rFonts w:ascii="Arial" w:hAnsi="Arial" w:cs="David" w:hint="cs"/>
          <w:rtl/>
        </w:rPr>
        <w:t>תכנית</w:t>
      </w:r>
      <w:r>
        <w:rPr>
          <w:rFonts w:ascii="Arial" w:hAnsi="Arial" w:cs="David" w:hint="cs"/>
          <w:rtl/>
        </w:rPr>
        <w:t xml:space="preserve"> העבודה והתקציב לפעילותו המינהלית לשנת 201</w:t>
      </w:r>
      <w:r w:rsidR="00C972E4">
        <w:rPr>
          <w:rFonts w:ascii="Arial" w:hAnsi="Arial" w:cs="David" w:hint="cs"/>
          <w:rtl/>
        </w:rPr>
        <w:t>4</w:t>
      </w:r>
      <w:r>
        <w:rPr>
          <w:rFonts w:ascii="Arial" w:hAnsi="Arial" w:cs="David" w:hint="cs"/>
          <w:rtl/>
        </w:rPr>
        <w:t xml:space="preserve">. </w:t>
      </w:r>
      <w:r w:rsidRPr="00412732">
        <w:rPr>
          <w:rFonts w:ascii="Arial" w:hAnsi="Arial" w:cs="David" w:hint="cs"/>
          <w:rtl/>
        </w:rPr>
        <w:t>המועצה המ</w:t>
      </w:r>
      <w:r>
        <w:rPr>
          <w:rFonts w:ascii="Arial" w:hAnsi="Arial" w:cs="David" w:hint="cs"/>
          <w:rtl/>
        </w:rPr>
        <w:t>י</w:t>
      </w:r>
      <w:r w:rsidRPr="00412732">
        <w:rPr>
          <w:rFonts w:ascii="Arial" w:hAnsi="Arial" w:cs="David" w:hint="cs"/>
          <w:rtl/>
        </w:rPr>
        <w:t>נהלית</w:t>
      </w:r>
      <w:r w:rsidR="00EC5E48" w:rsidRPr="00EC5E48">
        <w:rPr>
          <w:rStyle w:val="ae"/>
          <w:rFonts w:ascii="Arial" w:hAnsi="Arial" w:cs="David"/>
          <w:b/>
          <w:bCs/>
          <w:sz w:val="28"/>
          <w:szCs w:val="28"/>
          <w:u w:val="single"/>
          <w:rtl/>
        </w:rPr>
        <w:footnoteReference w:id="1"/>
      </w:r>
      <w:r>
        <w:rPr>
          <w:rFonts w:ascii="Arial" w:hAnsi="Arial" w:cs="David" w:hint="cs"/>
          <w:rtl/>
        </w:rPr>
        <w:t xml:space="preserve"> דנה בתכנית העבודה השנתית של הבנק</w:t>
      </w:r>
      <w:r w:rsidR="007B6F8B">
        <w:rPr>
          <w:rFonts w:ascii="Arial" w:hAnsi="Arial" w:cs="David" w:hint="cs"/>
          <w:rtl/>
        </w:rPr>
        <w:t xml:space="preserve"> </w:t>
      </w:r>
      <w:r w:rsidR="00F07275">
        <w:rPr>
          <w:rFonts w:ascii="Arial" w:hAnsi="Arial" w:cs="David" w:hint="cs"/>
          <w:rtl/>
        </w:rPr>
        <w:t>ופרסמה</w:t>
      </w:r>
      <w:r w:rsidR="007B6F8B">
        <w:rPr>
          <w:rFonts w:ascii="Arial" w:hAnsi="Arial" w:cs="David" w:hint="cs"/>
          <w:rtl/>
        </w:rPr>
        <w:t xml:space="preserve"> את עיקריה</w:t>
      </w:r>
      <w:r>
        <w:rPr>
          <w:rFonts w:ascii="Arial" w:hAnsi="Arial" w:cs="David" w:hint="cs"/>
          <w:rtl/>
        </w:rPr>
        <w:t xml:space="preserve">, </w:t>
      </w:r>
      <w:r w:rsidRPr="00412732">
        <w:rPr>
          <w:rFonts w:ascii="Arial" w:hAnsi="Arial" w:cs="David" w:hint="cs"/>
          <w:rtl/>
        </w:rPr>
        <w:t>אישרה את התקציב השנתי</w:t>
      </w:r>
      <w:r>
        <w:rPr>
          <w:rFonts w:ascii="Arial" w:hAnsi="Arial" w:cs="David" w:hint="cs"/>
          <w:rtl/>
        </w:rPr>
        <w:t xml:space="preserve"> לפעילות המינהלית</w:t>
      </w:r>
      <w:r w:rsidRPr="00412732">
        <w:rPr>
          <w:rFonts w:ascii="Arial" w:hAnsi="Arial" w:cs="David" w:hint="cs"/>
          <w:rtl/>
        </w:rPr>
        <w:t xml:space="preserve"> של הבנק</w:t>
      </w:r>
      <w:r>
        <w:rPr>
          <w:rFonts w:ascii="Arial" w:hAnsi="Arial" w:cs="David" w:hint="cs"/>
          <w:rtl/>
        </w:rPr>
        <w:t xml:space="preserve"> </w:t>
      </w:r>
      <w:r w:rsidRPr="00412732">
        <w:rPr>
          <w:rFonts w:ascii="Arial" w:hAnsi="Arial" w:cs="David" w:hint="cs"/>
          <w:rtl/>
        </w:rPr>
        <w:t>והניחה אותו על שולחן ועדת הכספים של הכנסת</w:t>
      </w:r>
      <w:r>
        <w:rPr>
          <w:rFonts w:ascii="Arial" w:hAnsi="Arial" w:cs="David" w:hint="cs"/>
          <w:rtl/>
        </w:rPr>
        <w:t xml:space="preserve">, כמתחייב בחוק בנק ישראל, התש"ע </w:t>
      </w:r>
      <w:r>
        <w:rPr>
          <w:rFonts w:ascii="Arial" w:hAnsi="Arial" w:cs="David"/>
          <w:rtl/>
        </w:rPr>
        <w:t>–</w:t>
      </w:r>
      <w:r>
        <w:rPr>
          <w:rFonts w:ascii="Arial" w:hAnsi="Arial" w:cs="David" w:hint="cs"/>
          <w:rtl/>
        </w:rPr>
        <w:t xml:space="preserve"> 2010.</w:t>
      </w:r>
      <w:r w:rsidR="00B52ABE">
        <w:rPr>
          <w:rFonts w:ascii="Arial" w:hAnsi="Arial" w:cs="David" w:hint="cs"/>
          <w:rtl/>
        </w:rPr>
        <w:t xml:space="preserve"> ועדת הכספים קיימה היום דיון בתקציב </w:t>
      </w:r>
      <w:r w:rsidRPr="00412732">
        <w:rPr>
          <w:rFonts w:ascii="Arial" w:hAnsi="Arial" w:cs="David"/>
          <w:rtl/>
        </w:rPr>
        <w:t>המוצג בהמשך</w:t>
      </w:r>
      <w:r w:rsidR="00D01D18">
        <w:rPr>
          <w:rFonts w:ascii="Arial" w:hAnsi="Arial" w:cs="David" w:hint="cs"/>
          <w:rtl/>
        </w:rPr>
        <w:t>,</w:t>
      </w:r>
      <w:r w:rsidRPr="00412732">
        <w:rPr>
          <w:rFonts w:ascii="Arial" w:hAnsi="Arial" w:cs="David"/>
          <w:rtl/>
        </w:rPr>
        <w:t xml:space="preserve"> </w:t>
      </w:r>
      <w:r w:rsidR="00B52ABE">
        <w:rPr>
          <w:rFonts w:ascii="Arial" w:hAnsi="Arial" w:cs="David" w:hint="cs"/>
          <w:rtl/>
        </w:rPr>
        <w:t>ו</w:t>
      </w:r>
      <w:r w:rsidR="00744B28">
        <w:rPr>
          <w:rFonts w:ascii="Arial" w:hAnsi="Arial" w:cs="David" w:hint="cs"/>
          <w:rtl/>
        </w:rPr>
        <w:t>ה</w:t>
      </w:r>
      <w:r w:rsidRPr="00412732">
        <w:rPr>
          <w:rFonts w:ascii="Arial" w:hAnsi="Arial" w:cs="David" w:hint="cs"/>
          <w:rtl/>
        </w:rPr>
        <w:t>מתייחס לפעילות המנהלית של הבנק</w:t>
      </w:r>
      <w:r w:rsidR="001C3ACC">
        <w:rPr>
          <w:rFonts w:ascii="Arial" w:hAnsi="Arial" w:cs="David" w:hint="cs"/>
          <w:rtl/>
        </w:rPr>
        <w:t xml:space="preserve">. התקציב </w:t>
      </w:r>
      <w:r w:rsidRPr="00412732">
        <w:rPr>
          <w:rFonts w:ascii="Arial" w:hAnsi="Arial" w:cs="David"/>
          <w:rtl/>
        </w:rPr>
        <w:t xml:space="preserve">נבנה </w:t>
      </w:r>
      <w:r w:rsidRPr="00412732">
        <w:rPr>
          <w:rFonts w:ascii="Arial" w:hAnsi="Arial" w:cs="David" w:hint="cs"/>
          <w:rtl/>
        </w:rPr>
        <w:t xml:space="preserve">על מנת לאפשר לבנק לבצע את תפקידיו ולהביא להשגת </w:t>
      </w:r>
      <w:r w:rsidRPr="00412732">
        <w:rPr>
          <w:rFonts w:ascii="Arial" w:hAnsi="Arial" w:cs="David"/>
          <w:rtl/>
        </w:rPr>
        <w:t>יעדיו המרכזיים לשנ</w:t>
      </w:r>
      <w:r w:rsidR="00EF3075">
        <w:rPr>
          <w:rFonts w:ascii="Arial" w:hAnsi="Arial" w:cs="David" w:hint="cs"/>
          <w:rtl/>
        </w:rPr>
        <w:t>ים הבאות</w:t>
      </w:r>
      <w:r w:rsidR="00D01D18">
        <w:rPr>
          <w:rFonts w:ascii="Arial" w:hAnsi="Arial" w:cs="David" w:hint="cs"/>
          <w:rtl/>
        </w:rPr>
        <w:t>.</w:t>
      </w:r>
    </w:p>
    <w:p w:rsidR="00D86318" w:rsidRPr="00F62D0E" w:rsidRDefault="00D86318" w:rsidP="008D70A4">
      <w:pPr>
        <w:spacing w:line="360" w:lineRule="auto"/>
        <w:jc w:val="both"/>
        <w:rPr>
          <w:rFonts w:ascii="Arial" w:hAnsi="Arial" w:cs="David"/>
          <w:rtl/>
        </w:rPr>
      </w:pPr>
    </w:p>
    <w:p w:rsidR="00A5401C" w:rsidRPr="00AB0977" w:rsidRDefault="00A5401C" w:rsidP="008D70A4">
      <w:pPr>
        <w:pStyle w:val="af1"/>
        <w:numPr>
          <w:ilvl w:val="0"/>
          <w:numId w:val="20"/>
        </w:numPr>
        <w:spacing w:line="360" w:lineRule="auto"/>
        <w:jc w:val="both"/>
        <w:rPr>
          <w:rFonts w:ascii="Arial" w:hAnsi="Arial" w:cs="David"/>
          <w:b/>
          <w:bCs/>
          <w:sz w:val="28"/>
          <w:szCs w:val="28"/>
        </w:rPr>
      </w:pPr>
      <w:r w:rsidRPr="00AB0977">
        <w:rPr>
          <w:rFonts w:ascii="Arial" w:hAnsi="Arial" w:cs="David" w:hint="cs"/>
          <w:b/>
          <w:bCs/>
          <w:sz w:val="28"/>
          <w:szCs w:val="28"/>
          <w:rtl/>
        </w:rPr>
        <w:t>יעדים</w:t>
      </w:r>
      <w:r>
        <w:rPr>
          <w:rFonts w:ascii="Arial" w:hAnsi="Arial" w:cs="David" w:hint="cs"/>
          <w:b/>
          <w:bCs/>
          <w:sz w:val="28"/>
          <w:szCs w:val="28"/>
          <w:rtl/>
        </w:rPr>
        <w:t xml:space="preserve"> מרכזיים</w:t>
      </w:r>
    </w:p>
    <w:p w:rsidR="00FF349A" w:rsidRPr="00AB0977" w:rsidRDefault="00FF349A" w:rsidP="00F07275">
      <w:pPr>
        <w:spacing w:before="120" w:line="360" w:lineRule="auto"/>
        <w:jc w:val="both"/>
        <w:rPr>
          <w:rFonts w:ascii="Arial" w:hAnsi="Arial" w:cs="David"/>
          <w:rtl/>
        </w:rPr>
      </w:pPr>
      <w:r w:rsidRPr="00AB0977">
        <w:rPr>
          <w:rFonts w:ascii="Arial" w:hAnsi="Arial" w:cs="David"/>
          <w:rtl/>
        </w:rPr>
        <w:t xml:space="preserve">להלן </w:t>
      </w:r>
      <w:r w:rsidR="00CE2C59">
        <w:rPr>
          <w:rFonts w:ascii="Arial" w:hAnsi="Arial" w:cs="David" w:hint="cs"/>
          <w:rtl/>
        </w:rPr>
        <w:t xml:space="preserve">מספר </w:t>
      </w:r>
      <w:r w:rsidRPr="00AB0977">
        <w:rPr>
          <w:rFonts w:ascii="Arial" w:hAnsi="Arial" w:cs="David"/>
          <w:rtl/>
        </w:rPr>
        <w:t>יעדים מרכזיים שנקבעו על ידי הנהלת הבנק לשנים הקרובות:</w:t>
      </w:r>
    </w:p>
    <w:p w:rsidR="004C4B69" w:rsidRPr="00AB0977" w:rsidRDefault="00D01D18" w:rsidP="00470E9F">
      <w:pPr>
        <w:pStyle w:val="a"/>
        <w:numPr>
          <w:ilvl w:val="0"/>
          <w:numId w:val="17"/>
        </w:numPr>
        <w:spacing w:before="60"/>
        <w:rPr>
          <w:rFonts w:ascii="Arial"/>
          <w:rtl/>
          <w:lang w:eastAsia="en-US"/>
        </w:rPr>
      </w:pPr>
      <w:r>
        <w:rPr>
          <w:rFonts w:ascii="Arial" w:hint="cs"/>
          <w:b/>
          <w:bCs/>
          <w:rtl/>
          <w:lang w:eastAsia="en-US"/>
        </w:rPr>
        <w:t>קידום</w:t>
      </w:r>
      <w:r w:rsidR="00C972E4" w:rsidRPr="00F07275">
        <w:rPr>
          <w:rFonts w:ascii="Arial"/>
          <w:b/>
          <w:bCs/>
          <w:rtl/>
          <w:lang w:eastAsia="en-US"/>
        </w:rPr>
        <w:t xml:space="preserve"> </w:t>
      </w:r>
      <w:r w:rsidR="00C972E4" w:rsidRPr="00F07275">
        <w:rPr>
          <w:rFonts w:ascii="Arial" w:hint="eastAsia"/>
          <w:b/>
          <w:bCs/>
          <w:rtl/>
          <w:lang w:eastAsia="en-US"/>
        </w:rPr>
        <w:t>רפורמות</w:t>
      </w:r>
      <w:r w:rsidR="00C972E4" w:rsidRPr="00F07275">
        <w:rPr>
          <w:rFonts w:ascii="Arial"/>
          <w:b/>
          <w:bCs/>
          <w:rtl/>
          <w:lang w:eastAsia="en-US"/>
        </w:rPr>
        <w:t xml:space="preserve"> </w:t>
      </w:r>
      <w:r w:rsidR="00C972E4" w:rsidRPr="00F07275">
        <w:rPr>
          <w:rFonts w:ascii="Arial" w:hint="eastAsia"/>
          <w:b/>
          <w:bCs/>
          <w:rtl/>
          <w:lang w:eastAsia="en-US"/>
        </w:rPr>
        <w:t>במערכת</w:t>
      </w:r>
      <w:r w:rsidR="00C972E4" w:rsidRPr="00F07275">
        <w:rPr>
          <w:rFonts w:ascii="Arial"/>
          <w:b/>
          <w:bCs/>
          <w:rtl/>
          <w:lang w:eastAsia="en-US"/>
        </w:rPr>
        <w:t xml:space="preserve"> </w:t>
      </w:r>
      <w:r w:rsidR="00C972E4" w:rsidRPr="00F07275">
        <w:rPr>
          <w:rFonts w:ascii="Arial" w:hint="eastAsia"/>
          <w:b/>
          <w:bCs/>
          <w:rtl/>
          <w:lang w:eastAsia="en-US"/>
        </w:rPr>
        <w:t>הפיננסית</w:t>
      </w:r>
      <w:r w:rsidR="00C972E4" w:rsidRPr="00F07275">
        <w:rPr>
          <w:rFonts w:ascii="Arial"/>
          <w:b/>
          <w:bCs/>
          <w:rtl/>
          <w:lang w:eastAsia="en-US"/>
        </w:rPr>
        <w:t xml:space="preserve"> (כולל </w:t>
      </w:r>
      <w:r w:rsidR="00C972E4" w:rsidRPr="00F07275">
        <w:rPr>
          <w:rFonts w:ascii="Arial" w:hint="eastAsia"/>
          <w:b/>
          <w:bCs/>
          <w:rtl/>
          <w:lang w:eastAsia="en-US"/>
        </w:rPr>
        <w:t>המערכת</w:t>
      </w:r>
      <w:r w:rsidR="00C972E4" w:rsidRPr="00F07275">
        <w:rPr>
          <w:rFonts w:ascii="Arial"/>
          <w:b/>
          <w:bCs/>
          <w:rtl/>
          <w:lang w:eastAsia="en-US"/>
        </w:rPr>
        <w:t xml:space="preserve"> </w:t>
      </w:r>
      <w:r w:rsidR="00C972E4" w:rsidRPr="00F07275">
        <w:rPr>
          <w:rFonts w:ascii="Arial" w:hint="eastAsia"/>
          <w:b/>
          <w:bCs/>
          <w:rtl/>
          <w:lang w:eastAsia="en-US"/>
        </w:rPr>
        <w:t>הבנקאית</w:t>
      </w:r>
      <w:r w:rsidR="00C972E4" w:rsidRPr="00F07275">
        <w:rPr>
          <w:rFonts w:ascii="Arial"/>
          <w:b/>
          <w:bCs/>
          <w:rtl/>
          <w:lang w:eastAsia="en-US"/>
        </w:rPr>
        <w:t xml:space="preserve">) </w:t>
      </w:r>
      <w:r w:rsidR="00C972E4" w:rsidRPr="00F07275">
        <w:rPr>
          <w:rFonts w:ascii="Arial" w:hint="eastAsia"/>
          <w:b/>
          <w:bCs/>
          <w:rtl/>
          <w:lang w:eastAsia="en-US"/>
        </w:rPr>
        <w:t>ובשוק</w:t>
      </w:r>
      <w:r w:rsidR="00C972E4" w:rsidRPr="00F07275">
        <w:rPr>
          <w:rFonts w:ascii="Arial"/>
          <w:b/>
          <w:bCs/>
          <w:rtl/>
          <w:lang w:eastAsia="en-US"/>
        </w:rPr>
        <w:t xml:space="preserve"> </w:t>
      </w:r>
      <w:r w:rsidR="00C972E4" w:rsidRPr="00F07275">
        <w:rPr>
          <w:rFonts w:ascii="Arial" w:hint="eastAsia"/>
          <w:b/>
          <w:bCs/>
          <w:rtl/>
          <w:lang w:eastAsia="en-US"/>
        </w:rPr>
        <w:t>ההון</w:t>
      </w:r>
      <w:r w:rsidR="000C2289" w:rsidRPr="00AB0977">
        <w:rPr>
          <w:rFonts w:ascii="Arial" w:hint="cs"/>
          <w:rtl/>
          <w:lang w:eastAsia="en-US"/>
        </w:rPr>
        <w:t xml:space="preserve"> </w:t>
      </w:r>
      <w:r w:rsidR="004C4B69" w:rsidRPr="00AB0977">
        <w:rPr>
          <w:rFonts w:ascii="Arial"/>
          <w:rtl/>
          <w:lang w:eastAsia="en-US"/>
        </w:rPr>
        <w:t>–</w:t>
      </w:r>
      <w:r w:rsidR="004C4B69" w:rsidRPr="00AB0977">
        <w:rPr>
          <w:rFonts w:ascii="Arial" w:hint="cs"/>
          <w:rtl/>
          <w:lang w:eastAsia="en-US"/>
        </w:rPr>
        <w:t xml:space="preserve"> הבנק יפעל ליישום רפורמות על מנת </w:t>
      </w:r>
      <w:r w:rsidR="000C2289" w:rsidRPr="00AB0977">
        <w:rPr>
          <w:rFonts w:ascii="Arial" w:hint="cs"/>
          <w:rtl/>
          <w:lang w:eastAsia="en-US"/>
        </w:rPr>
        <w:t xml:space="preserve">להביא </w:t>
      </w:r>
      <w:r w:rsidR="000C2289" w:rsidRPr="00AB0977">
        <w:rPr>
          <w:rFonts w:ascii="Arial"/>
          <w:rtl/>
          <w:lang w:eastAsia="en-US"/>
        </w:rPr>
        <w:t>לשכלול השוק</w:t>
      </w:r>
      <w:r w:rsidR="00E45920">
        <w:rPr>
          <w:rFonts w:ascii="Arial" w:hint="cs"/>
          <w:rtl/>
          <w:lang w:eastAsia="en-US"/>
        </w:rPr>
        <w:t xml:space="preserve"> ו</w:t>
      </w:r>
      <w:r w:rsidR="000C2289" w:rsidRPr="00AB0977">
        <w:rPr>
          <w:rFonts w:ascii="Arial" w:hint="cs"/>
          <w:rtl/>
          <w:lang w:eastAsia="en-US"/>
        </w:rPr>
        <w:t xml:space="preserve">לשיפור </w:t>
      </w:r>
      <w:r w:rsidR="004C4B69" w:rsidRPr="00AB0977">
        <w:rPr>
          <w:rFonts w:ascii="Arial" w:hint="cs"/>
          <w:rtl/>
          <w:lang w:eastAsia="en-US"/>
        </w:rPr>
        <w:t>ה</w:t>
      </w:r>
      <w:r w:rsidR="000C2289" w:rsidRPr="00AB0977">
        <w:rPr>
          <w:rFonts w:ascii="Arial" w:hint="cs"/>
          <w:rtl/>
          <w:lang w:eastAsia="en-US"/>
        </w:rPr>
        <w:t>דרך שבה מוסדות פיננסיים ופרטיים מנהלים את הסיכונים</w:t>
      </w:r>
      <w:r>
        <w:rPr>
          <w:rFonts w:ascii="Arial" w:hint="cs"/>
          <w:rtl/>
          <w:lang w:eastAsia="en-US"/>
        </w:rPr>
        <w:t xml:space="preserve">. </w:t>
      </w:r>
      <w:r w:rsidR="004C4B69" w:rsidRPr="00AB0977">
        <w:rPr>
          <w:rFonts w:ascii="Arial" w:hint="cs"/>
          <w:rtl/>
          <w:lang w:eastAsia="en-US"/>
        </w:rPr>
        <w:t xml:space="preserve"> </w:t>
      </w:r>
      <w:r w:rsidR="000C2289" w:rsidRPr="00AB0977">
        <w:rPr>
          <w:rFonts w:ascii="Arial" w:hint="cs"/>
          <w:rtl/>
          <w:lang w:eastAsia="en-US"/>
        </w:rPr>
        <w:t xml:space="preserve">בהתאם לזאת, </w:t>
      </w:r>
      <w:r w:rsidR="004C4B69" w:rsidRPr="00AB0977">
        <w:rPr>
          <w:rFonts w:ascii="Arial" w:hint="cs"/>
          <w:rtl/>
          <w:lang w:eastAsia="en-US"/>
        </w:rPr>
        <w:t xml:space="preserve">הבנק ייצור - יחד עם משרד האוצר והרגולטורים האחרים </w:t>
      </w:r>
      <w:r w:rsidR="004C4B69" w:rsidRPr="00AB0977">
        <w:rPr>
          <w:rFonts w:ascii="Arial"/>
          <w:rtl/>
          <w:lang w:eastAsia="en-US"/>
        </w:rPr>
        <w:t>–</w:t>
      </w:r>
      <w:r w:rsidR="004C4B69" w:rsidRPr="00AB0977">
        <w:rPr>
          <w:rFonts w:ascii="Arial" w:hint="cs"/>
          <w:rtl/>
          <w:lang w:eastAsia="en-US"/>
        </w:rPr>
        <w:t xml:space="preserve"> תנאים </w:t>
      </w:r>
      <w:r w:rsidR="004C4B69" w:rsidRPr="00AB0977">
        <w:rPr>
          <w:rFonts w:ascii="Arial"/>
          <w:rtl/>
          <w:lang w:eastAsia="en-US"/>
        </w:rPr>
        <w:t>להגברת התחרות ב</w:t>
      </w:r>
      <w:r>
        <w:rPr>
          <w:rFonts w:ascii="Arial" w:hint="cs"/>
          <w:rtl/>
          <w:lang w:eastAsia="en-US"/>
        </w:rPr>
        <w:t xml:space="preserve">מערכת הפיננסית המקומית </w:t>
      </w:r>
      <w:r w:rsidR="004C4B69" w:rsidRPr="00AB0977">
        <w:rPr>
          <w:rFonts w:ascii="Arial" w:hint="cs"/>
          <w:rtl/>
          <w:lang w:eastAsia="en-US"/>
        </w:rPr>
        <w:t>,</w:t>
      </w:r>
      <w:r w:rsidR="004C4B69" w:rsidRPr="00AB0977">
        <w:rPr>
          <w:rFonts w:ascii="Arial"/>
          <w:rtl/>
          <w:lang w:eastAsia="en-US"/>
        </w:rPr>
        <w:t xml:space="preserve"> </w:t>
      </w:r>
      <w:r>
        <w:rPr>
          <w:rFonts w:ascii="Arial" w:hint="cs"/>
          <w:rtl/>
          <w:lang w:eastAsia="en-US"/>
        </w:rPr>
        <w:t xml:space="preserve">תוך שמירה על יציבותה. </w:t>
      </w:r>
      <w:r w:rsidR="004C4B69" w:rsidRPr="00AB0977">
        <w:rPr>
          <w:rFonts w:ascii="Arial" w:hint="cs"/>
          <w:rtl/>
          <w:lang w:eastAsia="en-US"/>
        </w:rPr>
        <w:t xml:space="preserve">בנוסף, הבנק </w:t>
      </w:r>
      <w:r w:rsidR="000177D5">
        <w:rPr>
          <w:rFonts w:ascii="Arial" w:hint="cs"/>
          <w:rtl/>
          <w:lang w:eastAsia="en-US"/>
        </w:rPr>
        <w:t>מ</w:t>
      </w:r>
      <w:r w:rsidR="004C4B69" w:rsidRPr="00AB0977">
        <w:rPr>
          <w:rFonts w:ascii="Arial" w:hint="cs"/>
          <w:rtl/>
          <w:lang w:eastAsia="en-US"/>
        </w:rPr>
        <w:t xml:space="preserve">משיך </w:t>
      </w:r>
      <w:r w:rsidR="004C4B69" w:rsidRPr="00AB0977">
        <w:rPr>
          <w:rFonts w:ascii="Arial" w:hint="cs"/>
          <w:rtl/>
          <w:lang w:eastAsia="en-US"/>
        </w:rPr>
        <w:lastRenderedPageBreak/>
        <w:t xml:space="preserve">לשפר את היעילות והיציבות של מערכות התשלומים והסליקה, ולשם כך </w:t>
      </w:r>
      <w:r w:rsidR="000177D5">
        <w:rPr>
          <w:rFonts w:ascii="Arial" w:hint="cs"/>
          <w:rtl/>
          <w:lang w:eastAsia="en-US"/>
        </w:rPr>
        <w:t>מ</w:t>
      </w:r>
      <w:r w:rsidR="004C4B69" w:rsidRPr="00AB0977">
        <w:rPr>
          <w:rFonts w:ascii="Arial" w:hint="cs"/>
          <w:rtl/>
          <w:lang w:eastAsia="en-US"/>
        </w:rPr>
        <w:t xml:space="preserve">קים את הפיקוח על מערכות </w:t>
      </w:r>
      <w:r w:rsidR="00470E9F">
        <w:rPr>
          <w:rFonts w:ascii="Arial" w:hint="cs"/>
          <w:rtl/>
          <w:lang w:eastAsia="en-US"/>
        </w:rPr>
        <w:t>אלה</w:t>
      </w:r>
      <w:r w:rsidR="00C704ED">
        <w:rPr>
          <w:rFonts w:ascii="Arial" w:hint="cs"/>
          <w:rtl/>
          <w:lang w:eastAsia="en-US"/>
        </w:rPr>
        <w:t xml:space="preserve">. </w:t>
      </w:r>
    </w:p>
    <w:p w:rsidR="004C4B69" w:rsidRPr="00F07275" w:rsidRDefault="00C972E4" w:rsidP="004C4B69">
      <w:pPr>
        <w:pStyle w:val="a"/>
        <w:numPr>
          <w:ilvl w:val="0"/>
          <w:numId w:val="17"/>
        </w:numPr>
        <w:spacing w:before="120"/>
        <w:ind w:left="341" w:hanging="284"/>
        <w:rPr>
          <w:rFonts w:ascii="Arial"/>
          <w:b/>
          <w:bCs/>
          <w:lang w:eastAsia="en-US"/>
        </w:rPr>
      </w:pPr>
      <w:r w:rsidRPr="00F07275">
        <w:rPr>
          <w:rFonts w:ascii="Arial" w:hint="eastAsia"/>
          <w:b/>
          <w:bCs/>
          <w:rtl/>
          <w:lang w:eastAsia="en-US"/>
        </w:rPr>
        <w:t>הרחבה</w:t>
      </w:r>
      <w:r w:rsidRPr="00F07275">
        <w:rPr>
          <w:rFonts w:ascii="Arial"/>
          <w:b/>
          <w:bCs/>
          <w:rtl/>
          <w:lang w:eastAsia="en-US"/>
        </w:rPr>
        <w:t xml:space="preserve"> של ניהול סיכון השוק של יתרות </w:t>
      </w:r>
      <w:r w:rsidRPr="00F07275">
        <w:rPr>
          <w:rFonts w:ascii="Arial" w:hint="eastAsia"/>
          <w:b/>
          <w:bCs/>
          <w:rtl/>
          <w:lang w:eastAsia="en-US"/>
        </w:rPr>
        <w:t>המט</w:t>
      </w:r>
      <w:r w:rsidRPr="00F07275">
        <w:rPr>
          <w:rFonts w:ascii="Arial"/>
          <w:b/>
          <w:bCs/>
          <w:rtl/>
          <w:lang w:eastAsia="en-US"/>
        </w:rPr>
        <w:t xml:space="preserve">"ח והתאמתו לפרופיל </w:t>
      </w:r>
      <w:r w:rsidRPr="00F07275">
        <w:rPr>
          <w:rFonts w:ascii="Arial" w:hint="eastAsia"/>
          <w:b/>
          <w:bCs/>
          <w:rtl/>
          <w:lang w:eastAsia="en-US"/>
        </w:rPr>
        <w:t>ה</w:t>
      </w:r>
      <w:r w:rsidRPr="00F07275">
        <w:rPr>
          <w:rFonts w:ascii="Arial"/>
          <w:b/>
          <w:bCs/>
          <w:rtl/>
          <w:lang w:eastAsia="en-US"/>
        </w:rPr>
        <w:t>סיכון שקבעה הוועדה המוניטרית</w:t>
      </w:r>
      <w:r w:rsidR="004C4B69" w:rsidRPr="00F07275">
        <w:rPr>
          <w:rFonts w:ascii="Arial"/>
          <w:b/>
          <w:bCs/>
          <w:rtl/>
          <w:lang w:eastAsia="en-US"/>
        </w:rPr>
        <w:t xml:space="preserve"> - </w:t>
      </w:r>
      <w:r w:rsidR="00FC3CB9">
        <w:rPr>
          <w:rFonts w:ascii="Arial"/>
          <w:b/>
          <w:bCs/>
          <w:rtl/>
          <w:lang w:eastAsia="en-US"/>
        </w:rPr>
        <w:t xml:space="preserve"> </w:t>
      </w:r>
    </w:p>
    <w:p w:rsidR="004C4B69" w:rsidRPr="00AB0977" w:rsidRDefault="004C4B69" w:rsidP="00E45920">
      <w:pPr>
        <w:spacing w:line="360" w:lineRule="auto"/>
        <w:ind w:left="341"/>
        <w:jc w:val="both"/>
        <w:rPr>
          <w:rFonts w:ascii="Arial" w:hAnsi="Arial" w:cs="David"/>
          <w:rtl/>
        </w:rPr>
      </w:pPr>
      <w:r w:rsidRPr="00AB0977">
        <w:rPr>
          <w:rFonts w:ascii="Arial" w:hAnsi="Arial" w:cs="David" w:hint="cs"/>
          <w:rtl/>
        </w:rPr>
        <w:t xml:space="preserve">על רקע הגידול ביתרות המט"ח </w:t>
      </w:r>
      <w:r w:rsidR="00C704ED">
        <w:rPr>
          <w:rFonts w:ascii="Arial" w:hAnsi="Arial" w:cs="David" w:hint="cs"/>
          <w:rtl/>
        </w:rPr>
        <w:t>התאימה הועדה המוניטרית את פרופיל הסיכון לניהול יתרות</w:t>
      </w:r>
      <w:r w:rsidR="00E45920">
        <w:rPr>
          <w:rFonts w:ascii="Arial" w:hAnsi="Arial" w:cs="David" w:hint="cs"/>
          <w:rtl/>
        </w:rPr>
        <w:t xml:space="preserve"> המט"ח</w:t>
      </w:r>
      <w:r w:rsidR="00C704ED">
        <w:rPr>
          <w:rFonts w:ascii="Arial" w:hAnsi="Arial" w:cs="David" w:hint="cs"/>
          <w:rtl/>
        </w:rPr>
        <w:t xml:space="preserve"> במסגרת הקווים המנחים. </w:t>
      </w:r>
      <w:r w:rsidRPr="00AB0977">
        <w:rPr>
          <w:rFonts w:ascii="Arial" w:hAnsi="Arial" w:cs="David" w:hint="cs"/>
          <w:rtl/>
        </w:rPr>
        <w:t xml:space="preserve"> פרופיל הסיכון מבטא את האיזון הרצוי בין תשואה וסיכון והולם את מטרות החזקת היתרות.</w:t>
      </w:r>
    </w:p>
    <w:p w:rsidR="004C4B69" w:rsidRPr="00AB0977" w:rsidRDefault="00C972E4" w:rsidP="00470E9F">
      <w:pPr>
        <w:pStyle w:val="a"/>
        <w:numPr>
          <w:ilvl w:val="0"/>
          <w:numId w:val="17"/>
        </w:numPr>
        <w:spacing w:before="120"/>
        <w:ind w:left="341" w:hanging="284"/>
        <w:rPr>
          <w:rFonts w:ascii="Arial"/>
        </w:rPr>
      </w:pPr>
      <w:r w:rsidRPr="006D31A3">
        <w:rPr>
          <w:rFonts w:ascii="Arial" w:hint="cs"/>
          <w:b/>
          <w:bCs/>
          <w:rtl/>
          <w:lang w:eastAsia="en-US"/>
        </w:rPr>
        <w:t>פיתוח מסגרת מקרו-יציבותית לחיזוק היציבות הפיננסית של המשק</w:t>
      </w:r>
      <w:r w:rsidR="004C4B69" w:rsidRPr="00AB0977">
        <w:rPr>
          <w:rFonts w:ascii="Arial" w:hint="cs"/>
          <w:rtl/>
          <w:lang w:eastAsia="en-US"/>
        </w:rPr>
        <w:t xml:space="preserve"> - </w:t>
      </w:r>
      <w:r w:rsidR="004C4B69" w:rsidRPr="00AB0977">
        <w:rPr>
          <w:rFonts w:ascii="Arial" w:hint="cs"/>
          <w:rtl/>
        </w:rPr>
        <w:t>ה</w:t>
      </w:r>
      <w:r w:rsidR="004C4B69" w:rsidRPr="00AB0977">
        <w:rPr>
          <w:rFonts w:ascii="Arial"/>
          <w:rtl/>
        </w:rPr>
        <w:t xml:space="preserve">מדיניות </w:t>
      </w:r>
      <w:r w:rsidR="004C4B69" w:rsidRPr="00AB0977">
        <w:rPr>
          <w:rFonts w:ascii="Arial" w:hint="cs"/>
          <w:rtl/>
        </w:rPr>
        <w:t>ה</w:t>
      </w:r>
      <w:r w:rsidR="004C4B69" w:rsidRPr="00AB0977">
        <w:rPr>
          <w:rFonts w:ascii="Arial"/>
          <w:rtl/>
        </w:rPr>
        <w:t>מקרו</w:t>
      </w:r>
      <w:r w:rsidR="004C4B69" w:rsidRPr="00AB0977">
        <w:rPr>
          <w:rFonts w:ascii="Arial" w:hint="cs"/>
          <w:rtl/>
        </w:rPr>
        <w:t>-</w:t>
      </w:r>
      <w:r w:rsidR="004C4B69" w:rsidRPr="00AB0977">
        <w:rPr>
          <w:rFonts w:ascii="Arial"/>
          <w:rtl/>
        </w:rPr>
        <w:t>יציבותית נועדה לחזק את עמידות</w:t>
      </w:r>
      <w:r w:rsidR="004C4B69" w:rsidRPr="00AB0977">
        <w:rPr>
          <w:rFonts w:ascii="Arial" w:hint="cs"/>
          <w:rtl/>
        </w:rPr>
        <w:t>ה</w:t>
      </w:r>
      <w:r w:rsidR="004C4B69" w:rsidRPr="00AB0977">
        <w:rPr>
          <w:rFonts w:ascii="Arial"/>
          <w:rtl/>
        </w:rPr>
        <w:t xml:space="preserve"> </w:t>
      </w:r>
      <w:r w:rsidR="004C4B69" w:rsidRPr="00AB0977">
        <w:rPr>
          <w:rFonts w:ascii="Arial" w:hint="cs"/>
          <w:rtl/>
        </w:rPr>
        <w:t xml:space="preserve">של </w:t>
      </w:r>
      <w:r w:rsidR="004C4B69" w:rsidRPr="00AB0977">
        <w:rPr>
          <w:rFonts w:ascii="Arial"/>
          <w:rtl/>
        </w:rPr>
        <w:t xml:space="preserve">המערכת הפיננסית </w:t>
      </w:r>
      <w:r w:rsidR="004C4B69" w:rsidRPr="00AB0977">
        <w:rPr>
          <w:rFonts w:ascii="Arial" w:hint="cs"/>
          <w:rtl/>
        </w:rPr>
        <w:t>ל</w:t>
      </w:r>
      <w:r w:rsidR="004C4B69" w:rsidRPr="00AB0977">
        <w:rPr>
          <w:rFonts w:ascii="Arial"/>
          <w:rtl/>
        </w:rPr>
        <w:t>זעזועים</w:t>
      </w:r>
      <w:r w:rsidR="004C4B69" w:rsidRPr="00AB0977">
        <w:rPr>
          <w:rFonts w:ascii="Arial" w:hint="cs"/>
          <w:rtl/>
        </w:rPr>
        <w:t xml:space="preserve"> אפשריים</w:t>
      </w:r>
      <w:r w:rsidR="00470E9F">
        <w:rPr>
          <w:rFonts w:ascii="Arial" w:hint="cs"/>
          <w:rtl/>
        </w:rPr>
        <w:t xml:space="preserve">. </w:t>
      </w:r>
      <w:r w:rsidR="00C704ED">
        <w:rPr>
          <w:rFonts w:ascii="Arial" w:hint="cs"/>
          <w:rtl/>
        </w:rPr>
        <w:t xml:space="preserve">מדיניות זו כוללת </w:t>
      </w:r>
      <w:r w:rsidR="004C4B69" w:rsidRPr="00AB0977">
        <w:rPr>
          <w:rFonts w:ascii="Arial" w:hint="cs"/>
          <w:rtl/>
        </w:rPr>
        <w:t xml:space="preserve"> לימוד של ה</w:t>
      </w:r>
      <w:r w:rsidR="004C4B69" w:rsidRPr="00AB0977">
        <w:rPr>
          <w:rFonts w:ascii="Arial"/>
          <w:rtl/>
        </w:rPr>
        <w:t xml:space="preserve">איומים </w:t>
      </w:r>
      <w:r w:rsidR="004C4B69" w:rsidRPr="00AB0977">
        <w:rPr>
          <w:rFonts w:ascii="Arial" w:hint="cs"/>
          <w:rtl/>
        </w:rPr>
        <w:t>ה</w:t>
      </w:r>
      <w:r w:rsidR="004C4B69" w:rsidRPr="00AB0977">
        <w:rPr>
          <w:rFonts w:ascii="Arial"/>
          <w:rtl/>
        </w:rPr>
        <w:t xml:space="preserve">פוטנציאליים </w:t>
      </w:r>
      <w:r w:rsidR="004C4B69" w:rsidRPr="00AB0977">
        <w:rPr>
          <w:rFonts w:ascii="Arial" w:hint="cs"/>
          <w:rtl/>
        </w:rPr>
        <w:t>על ה</w:t>
      </w:r>
      <w:r w:rsidR="004C4B69" w:rsidRPr="00AB0977">
        <w:rPr>
          <w:rFonts w:ascii="Arial"/>
          <w:rtl/>
        </w:rPr>
        <w:t>יציבות הפיננסית, זיהו</w:t>
      </w:r>
      <w:r w:rsidR="004C4B69" w:rsidRPr="00AB0977">
        <w:rPr>
          <w:rFonts w:ascii="Arial" w:hint="cs"/>
          <w:rtl/>
        </w:rPr>
        <w:t>י</w:t>
      </w:r>
      <w:r w:rsidR="004C4B69" w:rsidRPr="00AB0977">
        <w:rPr>
          <w:rFonts w:ascii="Arial"/>
          <w:rtl/>
        </w:rPr>
        <w:t>ים בעוד מועד ונקיטת צעדים להפחתת הסיכון.</w:t>
      </w:r>
      <w:r w:rsidR="004C4B69" w:rsidRPr="00AB0977">
        <w:rPr>
          <w:rFonts w:ascii="Arial" w:hint="cs"/>
          <w:rtl/>
        </w:rPr>
        <w:t xml:space="preserve"> במסגרת זו </w:t>
      </w:r>
      <w:r w:rsidR="00C704ED">
        <w:rPr>
          <w:rFonts w:ascii="Arial" w:hint="cs"/>
          <w:rtl/>
        </w:rPr>
        <w:t>מקיימת הועדה המוניטרית דיונים תקופתיים על מצב היציבות הפיננסית</w:t>
      </w:r>
      <w:r w:rsidR="00470E9F">
        <w:rPr>
          <w:rFonts w:ascii="Arial" w:hint="cs"/>
          <w:rtl/>
        </w:rPr>
        <w:t>, תוך שימוש</w:t>
      </w:r>
      <w:r w:rsidR="00C704ED">
        <w:rPr>
          <w:rFonts w:ascii="Arial" w:hint="cs"/>
          <w:rtl/>
        </w:rPr>
        <w:t xml:space="preserve"> במבחני קיצון. בנוסף, </w:t>
      </w:r>
      <w:r w:rsidR="00A5401C" w:rsidRPr="00AB0977">
        <w:rPr>
          <w:rFonts w:ascii="Arial" w:hint="cs"/>
          <w:rtl/>
        </w:rPr>
        <w:t xml:space="preserve">מקדם </w:t>
      </w:r>
      <w:r w:rsidR="00C704ED">
        <w:rPr>
          <w:rFonts w:ascii="Arial" w:hint="cs"/>
          <w:rtl/>
        </w:rPr>
        <w:t xml:space="preserve">הבנק בשיתוף עם האוצר והרשות לני"ע </w:t>
      </w:r>
      <w:r w:rsidR="00A5401C" w:rsidRPr="00AB0977">
        <w:rPr>
          <w:rFonts w:ascii="Arial" w:hint="cs"/>
          <w:rtl/>
        </w:rPr>
        <w:t>הקמ</w:t>
      </w:r>
      <w:r w:rsidR="00E45920">
        <w:rPr>
          <w:rFonts w:ascii="Arial" w:hint="cs"/>
          <w:rtl/>
        </w:rPr>
        <w:t xml:space="preserve">ה של </w:t>
      </w:r>
      <w:r w:rsidR="00A5401C" w:rsidRPr="00AB0977">
        <w:rPr>
          <w:rFonts w:ascii="Arial" w:hint="cs"/>
          <w:rtl/>
        </w:rPr>
        <w:t xml:space="preserve">ועדה ליציבות פיננסית </w:t>
      </w:r>
      <w:r w:rsidR="00E45920">
        <w:rPr>
          <w:rFonts w:ascii="Arial" w:hint="cs"/>
          <w:rtl/>
        </w:rPr>
        <w:t>א</w:t>
      </w:r>
      <w:r w:rsidR="00A5401C" w:rsidRPr="00AB0977">
        <w:rPr>
          <w:rFonts w:ascii="Arial" w:hint="cs"/>
          <w:rtl/>
        </w:rPr>
        <w:t>ש</w:t>
      </w:r>
      <w:r w:rsidR="00E45920">
        <w:rPr>
          <w:rFonts w:ascii="Arial" w:hint="cs"/>
          <w:rtl/>
        </w:rPr>
        <w:t xml:space="preserve">ר </w:t>
      </w:r>
      <w:r w:rsidR="00A5401C" w:rsidRPr="00AB0977">
        <w:rPr>
          <w:rFonts w:ascii="Arial" w:hint="cs"/>
          <w:rtl/>
        </w:rPr>
        <w:t xml:space="preserve">תכלול נציגים מהאוצר, בנק ישראל ורגולטורים נוספים. </w:t>
      </w:r>
    </w:p>
    <w:p w:rsidR="00C972E4" w:rsidRPr="006D31A3" w:rsidRDefault="00C972E4" w:rsidP="00A23320">
      <w:pPr>
        <w:pStyle w:val="a"/>
        <w:numPr>
          <w:ilvl w:val="0"/>
          <w:numId w:val="17"/>
        </w:numPr>
        <w:spacing w:before="120"/>
        <w:ind w:left="341" w:hanging="284"/>
        <w:rPr>
          <w:rFonts w:ascii="Arial"/>
          <w:b/>
          <w:bCs/>
          <w:lang w:eastAsia="en-US"/>
        </w:rPr>
      </w:pPr>
      <w:r w:rsidRPr="006D31A3">
        <w:rPr>
          <w:rFonts w:ascii="Arial" w:hint="cs"/>
          <w:b/>
          <w:bCs/>
          <w:rtl/>
          <w:lang w:eastAsia="en-US"/>
        </w:rPr>
        <w:t>הנפקת סדרה חדשה של המטבע.</w:t>
      </w:r>
    </w:p>
    <w:p w:rsidR="00C972E4" w:rsidRPr="006D31A3" w:rsidRDefault="00C972E4" w:rsidP="00A23320">
      <w:pPr>
        <w:pStyle w:val="a"/>
        <w:numPr>
          <w:ilvl w:val="0"/>
          <w:numId w:val="17"/>
        </w:numPr>
        <w:spacing w:before="120"/>
        <w:ind w:left="341" w:hanging="284"/>
        <w:rPr>
          <w:rFonts w:ascii="Arial"/>
          <w:b/>
          <w:bCs/>
          <w:rtl/>
          <w:lang w:eastAsia="en-US"/>
        </w:rPr>
      </w:pPr>
      <w:r w:rsidRPr="006D31A3">
        <w:rPr>
          <w:rFonts w:ascii="Arial" w:hint="cs"/>
          <w:b/>
          <w:bCs/>
          <w:rtl/>
          <w:lang w:eastAsia="en-US"/>
        </w:rPr>
        <w:t>קידום צעדים להבטחת ההמשכיות העסקית של המערכת הפיננסית ובנק ישראל.</w:t>
      </w:r>
    </w:p>
    <w:p w:rsidR="002D5C82" w:rsidRPr="00AB0977" w:rsidRDefault="002D5C82" w:rsidP="008B111C">
      <w:pPr>
        <w:pStyle w:val="af1"/>
        <w:numPr>
          <w:ilvl w:val="0"/>
          <w:numId w:val="20"/>
        </w:numPr>
        <w:spacing w:before="360" w:after="0" w:line="360" w:lineRule="auto"/>
        <w:ind w:left="318" w:hanging="284"/>
        <w:jc w:val="both"/>
        <w:rPr>
          <w:rFonts w:ascii="Arial" w:hAnsi="Arial" w:cs="David"/>
          <w:b/>
          <w:bCs/>
          <w:sz w:val="28"/>
          <w:szCs w:val="28"/>
          <w:rtl/>
        </w:rPr>
      </w:pPr>
      <w:r w:rsidRPr="00AB0977">
        <w:rPr>
          <w:rFonts w:ascii="Arial" w:hAnsi="Arial" w:cs="David"/>
          <w:b/>
          <w:bCs/>
          <w:sz w:val="28"/>
          <w:szCs w:val="28"/>
          <w:rtl/>
        </w:rPr>
        <w:t>תקציב הבנק</w:t>
      </w:r>
    </w:p>
    <w:p w:rsidR="00B125D7" w:rsidRDefault="00B125D7" w:rsidP="00F07275">
      <w:pPr>
        <w:spacing w:before="120" w:line="360" w:lineRule="auto"/>
        <w:jc w:val="both"/>
        <w:rPr>
          <w:rFonts w:ascii="Arial" w:hAnsi="Arial" w:cs="David"/>
          <w:rtl/>
        </w:rPr>
      </w:pPr>
      <w:r w:rsidRPr="00412732">
        <w:rPr>
          <w:rFonts w:ascii="Arial" w:hAnsi="Arial" w:cs="David"/>
          <w:rtl/>
        </w:rPr>
        <w:t xml:space="preserve">בתקציב בנק ישראל מתוקצבת הפעילות </w:t>
      </w:r>
      <w:r w:rsidR="00FE055A" w:rsidRPr="00412732">
        <w:rPr>
          <w:rFonts w:ascii="Arial" w:hAnsi="Arial" w:cs="David"/>
          <w:rtl/>
        </w:rPr>
        <w:t>המ</w:t>
      </w:r>
      <w:r w:rsidR="00744B28">
        <w:rPr>
          <w:rFonts w:ascii="Arial" w:hAnsi="Arial" w:cs="David" w:hint="cs"/>
          <w:rtl/>
        </w:rPr>
        <w:t>י</w:t>
      </w:r>
      <w:r w:rsidR="00FE055A" w:rsidRPr="00412732">
        <w:rPr>
          <w:rFonts w:ascii="Arial" w:hAnsi="Arial" w:cs="David"/>
          <w:rtl/>
        </w:rPr>
        <w:t>נהלית</w:t>
      </w:r>
      <w:r w:rsidRPr="00412732">
        <w:rPr>
          <w:rFonts w:ascii="Arial" w:hAnsi="Arial" w:cs="David"/>
          <w:rtl/>
        </w:rPr>
        <w:t xml:space="preserve"> של הבנק</w:t>
      </w:r>
      <w:r w:rsidR="00A23320">
        <w:rPr>
          <w:rFonts w:ascii="Arial" w:hAnsi="Arial" w:cs="David" w:hint="cs"/>
          <w:rtl/>
        </w:rPr>
        <w:t>,</w:t>
      </w:r>
      <w:r w:rsidRPr="00412732">
        <w:rPr>
          <w:rFonts w:ascii="Arial" w:hAnsi="Arial" w:cs="David"/>
          <w:rtl/>
        </w:rPr>
        <w:t xml:space="preserve"> הנדרשת לביצוע תפקידיו והשגת יעדיו. בהתאם לחוק בנק ישראל, מחולק </w:t>
      </w:r>
      <w:r w:rsidR="00A7417D" w:rsidRPr="00412732">
        <w:rPr>
          <w:rFonts w:ascii="Arial" w:hAnsi="Arial" w:cs="David" w:hint="cs"/>
          <w:rtl/>
        </w:rPr>
        <w:t>תקציב הבנק ל</w:t>
      </w:r>
      <w:r w:rsidRPr="00412732">
        <w:rPr>
          <w:rFonts w:ascii="Arial" w:hAnsi="Arial" w:cs="David"/>
          <w:rtl/>
        </w:rPr>
        <w:t xml:space="preserve">תחומי </w:t>
      </w:r>
      <w:r w:rsidR="00E7115F" w:rsidRPr="00412732">
        <w:rPr>
          <w:rFonts w:ascii="Arial" w:hAnsi="Arial" w:cs="David" w:hint="cs"/>
          <w:rtl/>
        </w:rPr>
        <w:t>פעולה</w:t>
      </w:r>
      <w:r w:rsidR="000177D5">
        <w:rPr>
          <w:rFonts w:ascii="Arial" w:hAnsi="Arial" w:cs="David" w:hint="cs"/>
          <w:rtl/>
        </w:rPr>
        <w:t>. להלן החלוקה לתחומי הפעולה</w:t>
      </w:r>
      <w:r w:rsidRPr="00412732">
        <w:rPr>
          <w:rFonts w:ascii="Arial" w:hAnsi="Arial" w:cs="David"/>
          <w:rtl/>
        </w:rPr>
        <w:t xml:space="preserve">: 1) </w:t>
      </w:r>
      <w:r w:rsidR="00A7417D" w:rsidRPr="00412732">
        <w:rPr>
          <w:rFonts w:ascii="Arial" w:hAnsi="Arial" w:cs="David" w:hint="cs"/>
          <w:rtl/>
        </w:rPr>
        <w:t>מטה וסיוע</w:t>
      </w:r>
      <w:r w:rsidRPr="00412732">
        <w:rPr>
          <w:rFonts w:ascii="Arial" w:hAnsi="Arial" w:cs="David"/>
          <w:rtl/>
        </w:rPr>
        <w:t xml:space="preserve"> (תקציבי ההוצאה של הגופים העוסקים בניהול הבנק ו</w:t>
      </w:r>
      <w:r w:rsidR="00A7417D" w:rsidRPr="00412732">
        <w:rPr>
          <w:rFonts w:ascii="Arial" w:hAnsi="Arial" w:cs="David" w:hint="cs"/>
          <w:rtl/>
        </w:rPr>
        <w:t>ב</w:t>
      </w:r>
      <w:r w:rsidRPr="00412732">
        <w:rPr>
          <w:rFonts w:ascii="Arial" w:hAnsi="Arial" w:cs="David"/>
          <w:rtl/>
        </w:rPr>
        <w:t>מתן שירותים</w:t>
      </w:r>
      <w:r w:rsidR="00A7417D" w:rsidRPr="00412732">
        <w:rPr>
          <w:rFonts w:ascii="Arial" w:hAnsi="Arial" w:cs="David" w:hint="cs"/>
          <w:rtl/>
        </w:rPr>
        <w:t xml:space="preserve"> ותמיכה</w:t>
      </w:r>
      <w:r w:rsidRPr="00412732">
        <w:rPr>
          <w:rFonts w:ascii="Arial" w:hAnsi="Arial" w:cs="David"/>
          <w:rtl/>
        </w:rPr>
        <w:t>)</w:t>
      </w:r>
      <w:r w:rsidR="002F7626" w:rsidRPr="00412732">
        <w:rPr>
          <w:rFonts w:ascii="Arial" w:hAnsi="Arial" w:cs="David" w:hint="cs"/>
          <w:rtl/>
        </w:rPr>
        <w:t>;</w:t>
      </w:r>
      <w:r w:rsidRPr="00412732">
        <w:rPr>
          <w:rFonts w:ascii="Arial" w:hAnsi="Arial" w:cs="David"/>
          <w:rtl/>
        </w:rPr>
        <w:t xml:space="preserve"> 2) ביצוע תפקידי הבנק (תקציבי ההוצאה של החטיבות העוסקות בתפקידי הבנק)</w:t>
      </w:r>
      <w:r w:rsidR="002F7626" w:rsidRPr="00412732">
        <w:rPr>
          <w:rFonts w:ascii="Arial" w:hAnsi="Arial" w:cs="David" w:hint="cs"/>
          <w:rtl/>
        </w:rPr>
        <w:t>;</w:t>
      </w:r>
      <w:r w:rsidRPr="00412732">
        <w:rPr>
          <w:rFonts w:ascii="Arial" w:hAnsi="Arial" w:cs="David"/>
          <w:rtl/>
        </w:rPr>
        <w:t xml:space="preserve"> 3) נציגות הבנק בחו"ל</w:t>
      </w:r>
      <w:r w:rsidR="002F7626" w:rsidRPr="00412732">
        <w:rPr>
          <w:rFonts w:ascii="Arial" w:hAnsi="Arial" w:cs="David" w:hint="cs"/>
          <w:rtl/>
        </w:rPr>
        <w:t>;</w:t>
      </w:r>
      <w:r w:rsidRPr="00412732">
        <w:rPr>
          <w:rFonts w:ascii="Arial" w:hAnsi="Arial" w:cs="David"/>
          <w:rtl/>
        </w:rPr>
        <w:t xml:space="preserve"> 4) גמלאות</w:t>
      </w:r>
      <w:r w:rsidR="002F7626" w:rsidRPr="00412732">
        <w:rPr>
          <w:rFonts w:ascii="Arial" w:hAnsi="Arial" w:cs="David" w:hint="cs"/>
          <w:rtl/>
        </w:rPr>
        <w:t>;</w:t>
      </w:r>
      <w:r w:rsidRPr="00412732">
        <w:rPr>
          <w:rFonts w:ascii="Arial" w:hAnsi="Arial" w:cs="David"/>
          <w:rtl/>
        </w:rPr>
        <w:t xml:space="preserve"> 5) השקעות</w:t>
      </w:r>
      <w:r w:rsidR="002F7626" w:rsidRPr="00412732">
        <w:rPr>
          <w:rFonts w:ascii="Arial" w:hAnsi="Arial" w:cs="David" w:hint="cs"/>
          <w:rtl/>
        </w:rPr>
        <w:t>;</w:t>
      </w:r>
      <w:r w:rsidRPr="00412732">
        <w:rPr>
          <w:rFonts w:ascii="Arial" w:hAnsi="Arial" w:cs="David"/>
          <w:rtl/>
        </w:rPr>
        <w:t xml:space="preserve"> 6) הכנסות</w:t>
      </w:r>
      <w:r w:rsidR="002F7626" w:rsidRPr="00412732">
        <w:rPr>
          <w:rFonts w:ascii="Arial" w:hAnsi="Arial" w:cs="David" w:hint="cs"/>
          <w:rtl/>
        </w:rPr>
        <w:t>;</w:t>
      </w:r>
      <w:r w:rsidRPr="00412732">
        <w:rPr>
          <w:rFonts w:ascii="Arial" w:hAnsi="Arial" w:cs="David"/>
          <w:rtl/>
        </w:rPr>
        <w:t xml:space="preserve"> 7) עתודה</w:t>
      </w:r>
      <w:r w:rsidR="002F7626" w:rsidRPr="00412732">
        <w:rPr>
          <w:rFonts w:ascii="Arial" w:hAnsi="Arial" w:cs="David" w:hint="cs"/>
          <w:rtl/>
        </w:rPr>
        <w:t>;</w:t>
      </w:r>
      <w:r w:rsidR="00F11963">
        <w:rPr>
          <w:rFonts w:ascii="Arial" w:hAnsi="Arial" w:cs="David"/>
          <w:rtl/>
        </w:rPr>
        <w:t xml:space="preserve"> 8) הדפסת כסף.</w:t>
      </w:r>
    </w:p>
    <w:p w:rsidR="00A23320" w:rsidRDefault="00F11963" w:rsidP="00C704ED">
      <w:pPr>
        <w:tabs>
          <w:tab w:val="left" w:pos="566"/>
        </w:tabs>
        <w:spacing w:before="120" w:line="360" w:lineRule="auto"/>
        <w:jc w:val="both"/>
        <w:rPr>
          <w:rFonts w:cs="David"/>
          <w:rtl/>
        </w:rPr>
      </w:pPr>
      <w:r>
        <w:rPr>
          <w:rFonts w:cs="David" w:hint="cs"/>
          <w:rtl/>
        </w:rPr>
        <w:t>התקציב הכולל של בנק ישראל לשנת 201</w:t>
      </w:r>
      <w:r w:rsidR="0070175A">
        <w:rPr>
          <w:rFonts w:cs="David" w:hint="cs"/>
          <w:rtl/>
        </w:rPr>
        <w:t>4</w:t>
      </w:r>
      <w:r>
        <w:rPr>
          <w:rFonts w:cs="David" w:hint="cs"/>
          <w:rtl/>
        </w:rPr>
        <w:t xml:space="preserve"> מסתכם ב-</w:t>
      </w:r>
      <w:r w:rsidR="0070175A">
        <w:rPr>
          <w:rFonts w:cs="David" w:hint="cs"/>
          <w:rtl/>
        </w:rPr>
        <w:t>939.3</w:t>
      </w:r>
      <w:r>
        <w:rPr>
          <w:rFonts w:cs="David" w:hint="cs"/>
          <w:rtl/>
        </w:rPr>
        <w:t xml:space="preserve"> מיליון </w:t>
      </w:r>
      <w:r w:rsidR="0070175A">
        <w:rPr>
          <w:rFonts w:cs="David" w:hint="cs"/>
          <w:rtl/>
        </w:rPr>
        <w:t xml:space="preserve">₪ </w:t>
      </w:r>
      <w:r>
        <w:rPr>
          <w:rFonts w:cs="David" w:hint="cs"/>
          <w:rtl/>
        </w:rPr>
        <w:t xml:space="preserve">לעומת </w:t>
      </w:r>
      <w:r w:rsidR="0070175A">
        <w:rPr>
          <w:rFonts w:cs="David" w:hint="cs"/>
          <w:rtl/>
        </w:rPr>
        <w:t>881.8</w:t>
      </w:r>
      <w:r>
        <w:rPr>
          <w:rFonts w:cs="David" w:hint="cs"/>
          <w:rtl/>
        </w:rPr>
        <w:t xml:space="preserve"> מיליון </w:t>
      </w:r>
      <w:r w:rsidR="0070175A">
        <w:rPr>
          <w:rFonts w:cs="David" w:hint="cs"/>
          <w:rtl/>
        </w:rPr>
        <w:t xml:space="preserve">₪ </w:t>
      </w:r>
      <w:r>
        <w:rPr>
          <w:rFonts w:cs="David" w:hint="cs"/>
          <w:rtl/>
        </w:rPr>
        <w:t>בשנת 201</w:t>
      </w:r>
      <w:r w:rsidR="0070175A">
        <w:rPr>
          <w:rFonts w:cs="David" w:hint="cs"/>
          <w:rtl/>
        </w:rPr>
        <w:t>3</w:t>
      </w:r>
      <w:r w:rsidR="00A23320">
        <w:rPr>
          <w:rFonts w:cs="David" w:hint="cs"/>
          <w:rtl/>
        </w:rPr>
        <w:t xml:space="preserve">, גידול </w:t>
      </w:r>
      <w:r w:rsidR="00C704ED">
        <w:rPr>
          <w:rFonts w:cs="David" w:hint="cs"/>
          <w:rtl/>
        </w:rPr>
        <w:t xml:space="preserve">נומינלי </w:t>
      </w:r>
      <w:r w:rsidR="00A23320">
        <w:rPr>
          <w:rFonts w:cs="David" w:hint="cs"/>
          <w:rtl/>
        </w:rPr>
        <w:t>של 6.5%</w:t>
      </w:r>
      <w:r w:rsidR="00C704ED">
        <w:rPr>
          <w:rFonts w:cs="David" w:hint="cs"/>
          <w:rtl/>
        </w:rPr>
        <w:t xml:space="preserve">. </w:t>
      </w:r>
      <w:r w:rsidR="00541D3E">
        <w:rPr>
          <w:rFonts w:cs="David" w:hint="cs"/>
          <w:rtl/>
        </w:rPr>
        <w:t xml:space="preserve">  </w:t>
      </w:r>
    </w:p>
    <w:p w:rsidR="00D16A2E" w:rsidRDefault="00223558" w:rsidP="00470E9F">
      <w:pPr>
        <w:tabs>
          <w:tab w:val="left" w:pos="566"/>
        </w:tabs>
        <w:spacing w:before="120" w:line="360" w:lineRule="auto"/>
        <w:jc w:val="both"/>
        <w:rPr>
          <w:rFonts w:cs="David"/>
          <w:rtl/>
        </w:rPr>
      </w:pPr>
      <w:r>
        <w:rPr>
          <w:rFonts w:cs="David" w:hint="cs"/>
          <w:rtl/>
        </w:rPr>
        <w:t xml:space="preserve">תקציב </w:t>
      </w:r>
      <w:r w:rsidR="00541D3E">
        <w:rPr>
          <w:rFonts w:cs="David" w:hint="cs"/>
          <w:rtl/>
        </w:rPr>
        <w:t xml:space="preserve">הבנק </w:t>
      </w:r>
      <w:r>
        <w:rPr>
          <w:rFonts w:cs="David" w:hint="cs"/>
          <w:rtl/>
        </w:rPr>
        <w:t>כולל עתוד</w:t>
      </w:r>
      <w:r w:rsidR="000B3265">
        <w:rPr>
          <w:rFonts w:cs="David" w:hint="cs"/>
          <w:rtl/>
        </w:rPr>
        <w:t>ו</w:t>
      </w:r>
      <w:r>
        <w:rPr>
          <w:rFonts w:cs="David" w:hint="cs"/>
          <w:rtl/>
        </w:rPr>
        <w:t xml:space="preserve">ת </w:t>
      </w:r>
      <w:r w:rsidR="000B3265">
        <w:rPr>
          <w:rFonts w:cs="David" w:hint="cs"/>
          <w:rtl/>
        </w:rPr>
        <w:t xml:space="preserve">תקציביות ששוריינו </w:t>
      </w:r>
      <w:r>
        <w:rPr>
          <w:rFonts w:cs="David" w:hint="cs"/>
          <w:rtl/>
        </w:rPr>
        <w:t xml:space="preserve">בגין הסכמים </w:t>
      </w:r>
      <w:r w:rsidR="00C76A3E">
        <w:rPr>
          <w:rFonts w:cs="David" w:hint="cs"/>
          <w:rtl/>
        </w:rPr>
        <w:t xml:space="preserve">והתקשרויות </w:t>
      </w:r>
      <w:r>
        <w:rPr>
          <w:rFonts w:cs="David" w:hint="cs"/>
          <w:rtl/>
        </w:rPr>
        <w:t>שטרם אושרו ע"י המועצ</w:t>
      </w:r>
      <w:r w:rsidR="00C76A3E">
        <w:rPr>
          <w:rFonts w:cs="David" w:hint="cs"/>
          <w:rtl/>
        </w:rPr>
        <w:t xml:space="preserve">ה. </w:t>
      </w:r>
      <w:r w:rsidR="00584389">
        <w:rPr>
          <w:rFonts w:cs="David" w:hint="cs"/>
          <w:rtl/>
        </w:rPr>
        <w:t xml:space="preserve">ללא עתודות אלו, </w:t>
      </w:r>
      <w:r w:rsidR="00C76A3E" w:rsidRPr="00C76A3E">
        <w:rPr>
          <w:rFonts w:cs="David" w:hint="cs"/>
          <w:rtl/>
        </w:rPr>
        <w:t xml:space="preserve">תקציב הבנק נמוך משמעותית ועומד על </w:t>
      </w:r>
      <w:r w:rsidR="00470E9F">
        <w:rPr>
          <w:rFonts w:cs="David" w:hint="cs"/>
          <w:rtl/>
        </w:rPr>
        <w:t>841.1</w:t>
      </w:r>
      <w:r w:rsidR="00C76A3E" w:rsidRPr="00C76A3E">
        <w:rPr>
          <w:rFonts w:cs="David" w:hint="cs"/>
          <w:rtl/>
        </w:rPr>
        <w:t xml:space="preserve"> מיליון ₪ </w:t>
      </w:r>
      <w:r w:rsidR="00470E9F">
        <w:rPr>
          <w:rFonts w:cs="David" w:hint="cs"/>
          <w:rtl/>
        </w:rPr>
        <w:t>ל</w:t>
      </w:r>
      <w:r w:rsidR="00C76A3E" w:rsidRPr="00C76A3E">
        <w:rPr>
          <w:rFonts w:cs="David" w:hint="cs"/>
          <w:rtl/>
        </w:rPr>
        <w:t xml:space="preserve">עומת </w:t>
      </w:r>
      <w:r w:rsidR="00470E9F">
        <w:rPr>
          <w:rFonts w:cs="David" w:hint="cs"/>
          <w:rtl/>
        </w:rPr>
        <w:t>833.2</w:t>
      </w:r>
      <w:r w:rsidR="00C76A3E" w:rsidRPr="00C76A3E">
        <w:rPr>
          <w:rFonts w:cs="David" w:hint="cs"/>
          <w:rtl/>
        </w:rPr>
        <w:t xml:space="preserve"> מיליון בשנת 2013, גידול של 1% הנמוך מתחזית</w:t>
      </w:r>
      <w:r w:rsidR="00FC3CB9">
        <w:rPr>
          <w:rFonts w:cs="David" w:hint="cs"/>
          <w:rtl/>
        </w:rPr>
        <w:t xml:space="preserve"> המדד בתקציב לשנת 2014 (2%). </w:t>
      </w:r>
    </w:p>
    <w:p w:rsidR="00C704ED" w:rsidRPr="006D31A3" w:rsidRDefault="00C704ED" w:rsidP="00C704ED">
      <w:pPr>
        <w:spacing w:before="120" w:line="360" w:lineRule="auto"/>
        <w:jc w:val="both"/>
        <w:rPr>
          <w:rFonts w:ascii="Arial" w:hAnsi="Arial" w:cs="David"/>
          <w:rtl/>
        </w:rPr>
      </w:pPr>
      <w:r w:rsidRPr="006D31A3">
        <w:rPr>
          <w:rFonts w:ascii="Arial" w:hAnsi="Arial" w:cs="David" w:hint="cs"/>
          <w:rtl/>
        </w:rPr>
        <w:t>במסגרת בניית התקציב לשנת 2014 בוצע קיצוץ בתקציב השקעות של 4.5%. הקיצוץ הושג באמצעות הקטנת ההשקעות התפעוליות ב-40% (25.6 מיליון ₪) מחד; ומהוספת ההשקעה בתשתיות הפיזיות של הבנק מנגד (25.2 מיליון ₪) ומתוך ראיה לטווח ארוך.</w:t>
      </w:r>
    </w:p>
    <w:p w:rsidR="008B111C" w:rsidRDefault="008B111C" w:rsidP="00B30B54">
      <w:pPr>
        <w:spacing w:before="120" w:line="360" w:lineRule="auto"/>
        <w:jc w:val="both"/>
        <w:rPr>
          <w:rFonts w:cs="David"/>
          <w:u w:val="single"/>
          <w:rtl/>
        </w:rPr>
      </w:pPr>
    </w:p>
    <w:p w:rsidR="0067698A" w:rsidRDefault="00B60A31" w:rsidP="00B30B54">
      <w:pPr>
        <w:spacing w:before="120" w:line="360" w:lineRule="auto"/>
        <w:jc w:val="both"/>
        <w:rPr>
          <w:rFonts w:cs="David"/>
          <w:rtl/>
        </w:rPr>
      </w:pPr>
      <w:r w:rsidRPr="00B17AC9">
        <w:rPr>
          <w:rFonts w:cs="David" w:hint="cs"/>
          <w:u w:val="single"/>
          <w:rtl/>
        </w:rPr>
        <w:t xml:space="preserve">להלן השינויים </w:t>
      </w:r>
      <w:r w:rsidR="00B30B54" w:rsidRPr="00B17AC9">
        <w:rPr>
          <w:rFonts w:cs="David" w:hint="cs"/>
          <w:u w:val="single"/>
          <w:rtl/>
        </w:rPr>
        <w:t xml:space="preserve">העיקריים </w:t>
      </w:r>
      <w:r w:rsidRPr="00B17AC9">
        <w:rPr>
          <w:rFonts w:cs="David" w:hint="cs"/>
          <w:u w:val="single"/>
          <w:rtl/>
        </w:rPr>
        <w:t>בתקציב בנק ישראל לשנת 201</w:t>
      </w:r>
      <w:r w:rsidR="0070175A" w:rsidRPr="00B17AC9">
        <w:rPr>
          <w:rFonts w:cs="David" w:hint="cs"/>
          <w:u w:val="single"/>
          <w:rtl/>
        </w:rPr>
        <w:t>4</w:t>
      </w:r>
      <w:r>
        <w:rPr>
          <w:rFonts w:cs="David" w:hint="cs"/>
          <w:rtl/>
        </w:rPr>
        <w:t>:</w:t>
      </w:r>
    </w:p>
    <w:p w:rsidR="007E5F92" w:rsidRPr="007E5F92" w:rsidRDefault="0070175A" w:rsidP="00AF733B">
      <w:pPr>
        <w:spacing w:before="120" w:line="360" w:lineRule="auto"/>
        <w:jc w:val="both"/>
        <w:rPr>
          <w:rFonts w:cs="David"/>
        </w:rPr>
      </w:pPr>
      <w:r>
        <w:rPr>
          <w:rFonts w:cs="David" w:hint="cs"/>
          <w:b/>
          <w:bCs/>
          <w:rtl/>
        </w:rPr>
        <w:t>עתודה</w:t>
      </w:r>
      <w:r w:rsidR="007E5F92" w:rsidRPr="009315F7">
        <w:rPr>
          <w:rFonts w:cs="David" w:hint="cs"/>
          <w:b/>
          <w:bCs/>
          <w:rtl/>
        </w:rPr>
        <w:t xml:space="preserve"> </w:t>
      </w:r>
      <w:r w:rsidR="007E5F92">
        <w:rPr>
          <w:rFonts w:cs="David"/>
          <w:b/>
          <w:bCs/>
          <w:rtl/>
        </w:rPr>
        <w:t>–</w:t>
      </w:r>
      <w:r w:rsidR="007E5F92" w:rsidRPr="009315F7">
        <w:rPr>
          <w:rFonts w:cs="David" w:hint="cs"/>
          <w:b/>
          <w:bCs/>
          <w:rtl/>
        </w:rPr>
        <w:t xml:space="preserve"> </w:t>
      </w:r>
      <w:r w:rsidR="00D16A2E">
        <w:rPr>
          <w:rFonts w:cs="David" w:hint="cs"/>
          <w:rtl/>
        </w:rPr>
        <w:t xml:space="preserve">גידול של </w:t>
      </w:r>
      <w:r w:rsidR="00EB65F4">
        <w:rPr>
          <w:rFonts w:cs="David" w:hint="cs"/>
          <w:rtl/>
        </w:rPr>
        <w:t xml:space="preserve">49.6 </w:t>
      </w:r>
      <w:r w:rsidR="00D16A2E">
        <w:rPr>
          <w:rFonts w:cs="David" w:hint="cs"/>
          <w:rtl/>
        </w:rPr>
        <w:t xml:space="preserve"> מיליון ₪ (</w:t>
      </w:r>
      <w:r w:rsidR="00D24EAB">
        <w:rPr>
          <w:rFonts w:cs="David" w:hint="cs"/>
          <w:rtl/>
        </w:rPr>
        <w:t>101.9</w:t>
      </w:r>
      <w:r w:rsidR="00D16A2E">
        <w:rPr>
          <w:rFonts w:cs="David" w:hint="cs"/>
          <w:rtl/>
        </w:rPr>
        <w:t>%+)</w:t>
      </w:r>
      <w:r w:rsidR="005E42D3">
        <w:rPr>
          <w:rFonts w:cs="David" w:hint="cs"/>
          <w:rtl/>
        </w:rPr>
        <w:t xml:space="preserve">, הנובע </w:t>
      </w:r>
      <w:r w:rsidR="00D16A2E">
        <w:rPr>
          <w:rFonts w:cs="David" w:hint="cs"/>
          <w:rtl/>
        </w:rPr>
        <w:t>בעיקר מעתודות תקציב ששוריינו בגין הסכם הצמדת הגמלאות למדד המחירים לצרכן</w:t>
      </w:r>
      <w:r w:rsidR="00584389">
        <w:rPr>
          <w:rFonts w:cs="David" w:hint="cs"/>
          <w:rtl/>
        </w:rPr>
        <w:t xml:space="preserve"> </w:t>
      </w:r>
      <w:r w:rsidR="00B30B54">
        <w:rPr>
          <w:rFonts w:cs="David" w:hint="cs"/>
          <w:rtl/>
        </w:rPr>
        <w:t>ה</w:t>
      </w:r>
      <w:r w:rsidR="00D16A2E">
        <w:rPr>
          <w:rFonts w:cs="David" w:hint="cs"/>
          <w:rtl/>
        </w:rPr>
        <w:t xml:space="preserve">נמצא במשא ומתן מתקדם </w:t>
      </w:r>
      <w:r w:rsidR="00AF65BE">
        <w:rPr>
          <w:rFonts w:cs="David" w:hint="cs"/>
          <w:rtl/>
        </w:rPr>
        <w:t>ו</w:t>
      </w:r>
      <w:r w:rsidR="00D16A2E">
        <w:rPr>
          <w:rFonts w:cs="David" w:hint="cs"/>
          <w:rtl/>
        </w:rPr>
        <w:t>טרם נחתם</w:t>
      </w:r>
      <w:r w:rsidR="00294B74">
        <w:rPr>
          <w:rFonts w:cs="David" w:hint="cs"/>
          <w:rtl/>
        </w:rPr>
        <w:t xml:space="preserve"> (בהתאם להסכם שנחתם זה מכבר עם עובדי המדינה)</w:t>
      </w:r>
      <w:r w:rsidR="00D16A2E">
        <w:rPr>
          <w:rFonts w:cs="David" w:hint="cs"/>
          <w:rtl/>
        </w:rPr>
        <w:t xml:space="preserve">. עלותו </w:t>
      </w:r>
      <w:r w:rsidR="00AF733B">
        <w:rPr>
          <w:rFonts w:cs="David" w:hint="cs"/>
          <w:rtl/>
        </w:rPr>
        <w:t>נאמדת ב-143.8</w:t>
      </w:r>
      <w:r w:rsidR="00D16A2E">
        <w:rPr>
          <w:rFonts w:cs="David" w:hint="cs"/>
          <w:rtl/>
        </w:rPr>
        <w:t xml:space="preserve"> מיליון ₪</w:t>
      </w:r>
      <w:r w:rsidR="003C3817">
        <w:rPr>
          <w:rFonts w:cs="David" w:hint="cs"/>
          <w:rtl/>
        </w:rPr>
        <w:t xml:space="preserve"> בפריסה תקציבית על-פני 4 שנים. </w:t>
      </w:r>
    </w:p>
    <w:p w:rsidR="00C45BC9" w:rsidRPr="00412732" w:rsidRDefault="00C45BC9" w:rsidP="00470E9F">
      <w:pPr>
        <w:spacing w:before="120" w:line="360" w:lineRule="auto"/>
        <w:jc w:val="both"/>
        <w:rPr>
          <w:rFonts w:cs="David"/>
        </w:rPr>
      </w:pPr>
      <w:r w:rsidRPr="00412732">
        <w:rPr>
          <w:rFonts w:cs="David" w:hint="cs"/>
          <w:b/>
          <w:bCs/>
          <w:rtl/>
        </w:rPr>
        <w:lastRenderedPageBreak/>
        <w:t>גמלאות</w:t>
      </w:r>
      <w:r w:rsidRPr="00412732">
        <w:rPr>
          <w:rFonts w:cs="David" w:hint="cs"/>
          <w:rtl/>
        </w:rPr>
        <w:t xml:space="preserve"> </w:t>
      </w:r>
      <w:r w:rsidRPr="00412732">
        <w:rPr>
          <w:rFonts w:cs="David"/>
          <w:rtl/>
        </w:rPr>
        <w:t>–</w:t>
      </w:r>
      <w:r w:rsidRPr="00412732">
        <w:rPr>
          <w:rFonts w:cs="David" w:hint="cs"/>
          <w:rtl/>
        </w:rPr>
        <w:t xml:space="preserve"> </w:t>
      </w:r>
      <w:r w:rsidR="00294B74">
        <w:rPr>
          <w:rFonts w:cs="David" w:hint="cs"/>
          <w:rtl/>
        </w:rPr>
        <w:t xml:space="preserve">גידול של </w:t>
      </w:r>
      <w:r w:rsidR="00D24EAB">
        <w:rPr>
          <w:rFonts w:cs="David" w:hint="cs"/>
          <w:rtl/>
        </w:rPr>
        <w:t>21.9</w:t>
      </w:r>
      <w:r w:rsidR="00D24EAB" w:rsidRPr="00412732">
        <w:rPr>
          <w:rFonts w:cs="David" w:hint="cs"/>
          <w:rtl/>
        </w:rPr>
        <w:t xml:space="preserve"> </w:t>
      </w:r>
      <w:r w:rsidRPr="00412732">
        <w:rPr>
          <w:rFonts w:cs="David" w:hint="cs"/>
          <w:rtl/>
        </w:rPr>
        <w:t>מיליון ₪ (</w:t>
      </w:r>
      <w:r w:rsidR="00294B74">
        <w:rPr>
          <w:rFonts w:cs="David" w:hint="cs"/>
          <w:rtl/>
        </w:rPr>
        <w:t>9.2%</w:t>
      </w:r>
      <w:r w:rsidR="00584389">
        <w:rPr>
          <w:rFonts w:cs="David" w:hint="cs"/>
          <w:rtl/>
        </w:rPr>
        <w:t>+</w:t>
      </w:r>
      <w:r w:rsidR="00294B74">
        <w:rPr>
          <w:rFonts w:cs="David" w:hint="cs"/>
          <w:rtl/>
        </w:rPr>
        <w:t xml:space="preserve">), </w:t>
      </w:r>
      <w:r w:rsidRPr="00412732">
        <w:rPr>
          <w:rFonts w:cs="David" w:hint="cs"/>
          <w:rtl/>
        </w:rPr>
        <w:t xml:space="preserve">הנובע מצפי </w:t>
      </w:r>
      <w:r w:rsidR="00470E9F">
        <w:rPr>
          <w:rFonts w:cs="David" w:hint="cs"/>
          <w:rtl/>
        </w:rPr>
        <w:t xml:space="preserve">לגידול </w:t>
      </w:r>
      <w:r w:rsidRPr="00412732">
        <w:rPr>
          <w:rFonts w:cs="David" w:hint="cs"/>
          <w:rtl/>
        </w:rPr>
        <w:t>במספר הפורשים</w:t>
      </w:r>
      <w:r w:rsidR="00294B74">
        <w:rPr>
          <w:rFonts w:cs="David" w:hint="cs"/>
          <w:rtl/>
        </w:rPr>
        <w:t xml:space="preserve"> והגמלאים </w:t>
      </w:r>
      <w:r w:rsidR="002A187A">
        <w:rPr>
          <w:rFonts w:cs="David" w:hint="cs"/>
          <w:rtl/>
        </w:rPr>
        <w:t>לעומת שנת 201</w:t>
      </w:r>
      <w:r w:rsidR="00584389">
        <w:rPr>
          <w:rFonts w:cs="David" w:hint="cs"/>
          <w:rtl/>
        </w:rPr>
        <w:t>3</w:t>
      </w:r>
      <w:r w:rsidR="00FC3CB9">
        <w:rPr>
          <w:rFonts w:cs="David" w:hint="cs"/>
          <w:rtl/>
        </w:rPr>
        <w:t>.</w:t>
      </w:r>
      <w:r w:rsidRPr="00412732">
        <w:rPr>
          <w:rFonts w:cs="David" w:hint="cs"/>
          <w:rtl/>
        </w:rPr>
        <w:t xml:space="preserve"> </w:t>
      </w:r>
    </w:p>
    <w:p w:rsidR="00C45BC9" w:rsidRPr="00412732" w:rsidRDefault="00C45BC9" w:rsidP="00A23320">
      <w:pPr>
        <w:spacing w:before="120" w:line="360" w:lineRule="auto"/>
        <w:jc w:val="both"/>
        <w:rPr>
          <w:rFonts w:cs="David"/>
          <w:rtl/>
        </w:rPr>
      </w:pPr>
      <w:r w:rsidRPr="00412732">
        <w:rPr>
          <w:rFonts w:cs="David" w:hint="cs"/>
          <w:b/>
          <w:bCs/>
          <w:rtl/>
        </w:rPr>
        <w:t>השקעות</w:t>
      </w:r>
      <w:r w:rsidRPr="00412732">
        <w:rPr>
          <w:rFonts w:cs="David" w:hint="cs"/>
          <w:rtl/>
        </w:rPr>
        <w:t xml:space="preserve"> </w:t>
      </w:r>
      <w:r w:rsidRPr="00412732">
        <w:rPr>
          <w:rFonts w:cs="David"/>
          <w:rtl/>
        </w:rPr>
        <w:t>–</w:t>
      </w:r>
      <w:r w:rsidR="00822202" w:rsidRPr="00412732">
        <w:rPr>
          <w:rFonts w:cs="David" w:hint="cs"/>
          <w:rtl/>
        </w:rPr>
        <w:t xml:space="preserve"> </w:t>
      </w:r>
      <w:r w:rsidR="00F879C1">
        <w:rPr>
          <w:rFonts w:cs="David" w:hint="cs"/>
          <w:rtl/>
        </w:rPr>
        <w:t>קיטון</w:t>
      </w:r>
      <w:r w:rsidRPr="00412732">
        <w:rPr>
          <w:rFonts w:cs="David" w:hint="cs"/>
          <w:rtl/>
        </w:rPr>
        <w:t xml:space="preserve"> של</w:t>
      </w:r>
      <w:r w:rsidR="00294B74">
        <w:rPr>
          <w:rFonts w:cs="David" w:hint="cs"/>
          <w:rtl/>
        </w:rPr>
        <w:t xml:space="preserve"> 3</w:t>
      </w:r>
      <w:r w:rsidRPr="00412732">
        <w:rPr>
          <w:rFonts w:cs="David" w:hint="cs"/>
          <w:rtl/>
        </w:rPr>
        <w:t xml:space="preserve"> מיליון ₪ (</w:t>
      </w:r>
      <w:r w:rsidR="00294B74">
        <w:rPr>
          <w:rFonts w:cs="David" w:hint="cs"/>
          <w:rtl/>
        </w:rPr>
        <w:t>4.5</w:t>
      </w:r>
      <w:r w:rsidRPr="00412732">
        <w:rPr>
          <w:rFonts w:cs="David" w:hint="cs"/>
          <w:rtl/>
        </w:rPr>
        <w:t>%</w:t>
      </w:r>
      <w:r w:rsidR="00F879C1">
        <w:rPr>
          <w:rFonts w:cs="David" w:hint="cs"/>
          <w:rtl/>
        </w:rPr>
        <w:t>-</w:t>
      </w:r>
      <w:r w:rsidRPr="00412732">
        <w:rPr>
          <w:rFonts w:cs="David" w:hint="cs"/>
          <w:rtl/>
        </w:rPr>
        <w:t>)</w:t>
      </w:r>
      <w:r w:rsidR="00294B74">
        <w:rPr>
          <w:rFonts w:cs="David" w:hint="cs"/>
          <w:rtl/>
        </w:rPr>
        <w:t xml:space="preserve">, הנובע מצמצום ההשקעות </w:t>
      </w:r>
      <w:r w:rsidR="003D0853">
        <w:rPr>
          <w:rFonts w:cs="David" w:hint="cs"/>
          <w:rtl/>
        </w:rPr>
        <w:t>ה</w:t>
      </w:r>
      <w:r w:rsidR="00294B74">
        <w:rPr>
          <w:rFonts w:cs="David" w:hint="cs"/>
          <w:rtl/>
        </w:rPr>
        <w:t>שוטפות</w:t>
      </w:r>
      <w:r w:rsidR="003D0853">
        <w:rPr>
          <w:rFonts w:cs="David" w:hint="cs"/>
          <w:rtl/>
        </w:rPr>
        <w:t xml:space="preserve"> וההחלטה שלא ליזום פרויקטים חדשים אלא אם כן הם הכרחיים, על מנת להתרכז בפרויקטים הקיימ</w:t>
      </w:r>
      <w:r w:rsidR="00FC3CB9">
        <w:rPr>
          <w:rFonts w:cs="David" w:hint="cs"/>
          <w:rtl/>
        </w:rPr>
        <w:t>ים ובתחום התשתיות הפיזיות בפרט.</w:t>
      </w:r>
      <w:r w:rsidR="004D3F27">
        <w:rPr>
          <w:rFonts w:cs="David" w:hint="cs"/>
          <w:rtl/>
        </w:rPr>
        <w:t xml:space="preserve"> </w:t>
      </w:r>
    </w:p>
    <w:p w:rsidR="00822202" w:rsidRPr="00412732" w:rsidRDefault="00412732" w:rsidP="008B111C">
      <w:pPr>
        <w:autoSpaceDE w:val="0"/>
        <w:autoSpaceDN w:val="0"/>
        <w:adjustRightInd w:val="0"/>
        <w:spacing w:before="120" w:line="360" w:lineRule="auto"/>
        <w:jc w:val="both"/>
        <w:rPr>
          <w:rFonts w:cs="David"/>
          <w:rtl/>
        </w:rPr>
      </w:pPr>
      <w:r w:rsidRPr="00412732">
        <w:rPr>
          <w:rFonts w:ascii="Arial" w:hAnsi="Arial" w:cs="David" w:hint="cs"/>
          <w:b/>
          <w:bCs/>
          <w:rtl/>
        </w:rPr>
        <w:t>התקציב לשנים הבאות</w:t>
      </w:r>
      <w:r w:rsidRPr="00412732">
        <w:rPr>
          <w:rFonts w:ascii="Arial" w:hAnsi="Arial" w:cs="David" w:hint="cs"/>
          <w:rtl/>
        </w:rPr>
        <w:t xml:space="preserve"> </w:t>
      </w:r>
      <w:r w:rsidRPr="00412732">
        <w:rPr>
          <w:rFonts w:ascii="Arial" w:hAnsi="Arial" w:cs="David"/>
          <w:rtl/>
        </w:rPr>
        <w:t>–</w:t>
      </w:r>
      <w:r w:rsidRPr="00412732">
        <w:rPr>
          <w:rFonts w:ascii="Arial" w:hAnsi="Arial" w:cs="David" w:hint="cs"/>
          <w:rtl/>
        </w:rPr>
        <w:t xml:space="preserve"> </w:t>
      </w:r>
      <w:r w:rsidR="003D0853">
        <w:rPr>
          <w:rFonts w:ascii="Arial" w:hAnsi="Arial" w:cs="David" w:hint="cs"/>
          <w:rtl/>
        </w:rPr>
        <w:t>27.4</w:t>
      </w:r>
      <w:r w:rsidRPr="00412732">
        <w:rPr>
          <w:rFonts w:ascii="Arial" w:hAnsi="Arial" w:cs="David" w:hint="cs"/>
          <w:rtl/>
        </w:rPr>
        <w:t xml:space="preserve">% מתקציב ההרשאה להתחייב לשנים הבאות נובע מההרשאה להתחייב בגין </w:t>
      </w:r>
      <w:r w:rsidR="00EB65F4">
        <w:rPr>
          <w:rFonts w:cs="David" w:hint="cs"/>
          <w:rtl/>
        </w:rPr>
        <w:t>הדפסת כסף</w:t>
      </w:r>
      <w:r w:rsidRPr="00412732">
        <w:rPr>
          <w:rFonts w:cs="David" w:hint="cs"/>
          <w:rtl/>
        </w:rPr>
        <w:t xml:space="preserve">. </w:t>
      </w:r>
      <w:r w:rsidR="008101FB">
        <w:rPr>
          <w:rFonts w:cs="David" w:hint="cs"/>
          <w:rtl/>
        </w:rPr>
        <w:t>בשנת 201</w:t>
      </w:r>
      <w:r w:rsidR="003D0853">
        <w:rPr>
          <w:rFonts w:cs="David" w:hint="cs"/>
          <w:rtl/>
        </w:rPr>
        <w:t>5</w:t>
      </w:r>
      <w:r w:rsidR="008101FB">
        <w:rPr>
          <w:rFonts w:cs="David" w:hint="cs"/>
          <w:rtl/>
        </w:rPr>
        <w:t xml:space="preserve"> </w:t>
      </w:r>
      <w:r w:rsidRPr="00412732">
        <w:rPr>
          <w:rFonts w:cs="David" w:hint="cs"/>
          <w:rtl/>
        </w:rPr>
        <w:t xml:space="preserve">תקציב הדפסת </w:t>
      </w:r>
      <w:r w:rsidR="00EC5E48">
        <w:rPr>
          <w:rFonts w:cs="David" w:hint="cs"/>
          <w:rtl/>
        </w:rPr>
        <w:t>ה</w:t>
      </w:r>
      <w:r w:rsidRPr="00412732">
        <w:rPr>
          <w:rFonts w:cs="David" w:hint="cs"/>
          <w:rtl/>
        </w:rPr>
        <w:t>כסף צפוי לגדול מ-</w:t>
      </w:r>
      <w:r w:rsidR="003D0853">
        <w:rPr>
          <w:rFonts w:cs="David" w:hint="cs"/>
          <w:rtl/>
        </w:rPr>
        <w:t>89.3</w:t>
      </w:r>
      <w:r w:rsidRPr="00412732">
        <w:rPr>
          <w:rFonts w:cs="David" w:hint="cs"/>
          <w:rtl/>
        </w:rPr>
        <w:t xml:space="preserve"> מיליון </w:t>
      </w:r>
      <w:r w:rsidR="003D0853">
        <w:rPr>
          <w:rFonts w:cs="David" w:hint="cs"/>
          <w:rtl/>
        </w:rPr>
        <w:t xml:space="preserve">₪ </w:t>
      </w:r>
      <w:r w:rsidRPr="00412732">
        <w:rPr>
          <w:rFonts w:cs="David" w:hint="cs"/>
          <w:rtl/>
        </w:rPr>
        <w:t xml:space="preserve">בשנת </w:t>
      </w:r>
      <w:r w:rsidR="003D0853">
        <w:rPr>
          <w:rFonts w:cs="David" w:hint="cs"/>
          <w:rtl/>
        </w:rPr>
        <w:t>2014</w:t>
      </w:r>
      <w:r w:rsidRPr="00412732">
        <w:rPr>
          <w:rFonts w:cs="David" w:hint="cs"/>
          <w:rtl/>
        </w:rPr>
        <w:t xml:space="preserve"> לכ-</w:t>
      </w:r>
      <w:r w:rsidR="003D0853">
        <w:rPr>
          <w:rFonts w:cs="David" w:hint="cs"/>
          <w:rtl/>
        </w:rPr>
        <w:t>176.7</w:t>
      </w:r>
      <w:r w:rsidRPr="00412732">
        <w:rPr>
          <w:rFonts w:cs="David" w:hint="cs"/>
          <w:rtl/>
        </w:rPr>
        <w:t xml:space="preserve"> מיליון </w:t>
      </w:r>
      <w:r w:rsidR="003D0853">
        <w:rPr>
          <w:rFonts w:cs="David" w:hint="cs"/>
          <w:rtl/>
        </w:rPr>
        <w:t xml:space="preserve">₪ </w:t>
      </w:r>
      <w:r w:rsidRPr="00412732">
        <w:rPr>
          <w:rFonts w:cs="David" w:hint="cs"/>
          <w:rtl/>
        </w:rPr>
        <w:t xml:space="preserve">בשנת </w:t>
      </w:r>
      <w:r w:rsidR="003D0853">
        <w:rPr>
          <w:rFonts w:cs="David" w:hint="cs"/>
          <w:rtl/>
        </w:rPr>
        <w:t>2015</w:t>
      </w:r>
      <w:r w:rsidR="00D24EAB">
        <w:rPr>
          <w:rFonts w:cs="David" w:hint="cs"/>
          <w:rtl/>
        </w:rPr>
        <w:t xml:space="preserve"> בשל הנפקת הסדרה החדשה</w:t>
      </w:r>
      <w:r w:rsidRPr="00412732">
        <w:rPr>
          <w:rFonts w:cs="David" w:hint="cs"/>
          <w:rtl/>
        </w:rPr>
        <w:t xml:space="preserve">. </w:t>
      </w:r>
      <w:r w:rsidR="003D0853">
        <w:rPr>
          <w:rFonts w:cs="David" w:hint="cs"/>
          <w:rtl/>
        </w:rPr>
        <w:t>24.3</w:t>
      </w:r>
      <w:r w:rsidR="008101FB">
        <w:rPr>
          <w:rFonts w:cs="David" w:hint="cs"/>
          <w:rtl/>
        </w:rPr>
        <w:t xml:space="preserve">% נוספים מתקציב הרשאה להתחייב לשנים הבאות נובע </w:t>
      </w:r>
      <w:r w:rsidR="00470E9F">
        <w:rPr>
          <w:rFonts w:cs="David" w:hint="cs"/>
          <w:rtl/>
        </w:rPr>
        <w:t>מה</w:t>
      </w:r>
      <w:r w:rsidR="008101FB">
        <w:rPr>
          <w:rFonts w:cs="David" w:hint="cs"/>
          <w:rtl/>
        </w:rPr>
        <w:t xml:space="preserve">שיפוץ </w:t>
      </w:r>
      <w:r w:rsidR="003D0853">
        <w:rPr>
          <w:rFonts w:cs="David" w:hint="cs"/>
          <w:rtl/>
        </w:rPr>
        <w:t>ה</w:t>
      </w:r>
      <w:r w:rsidR="008101FB">
        <w:rPr>
          <w:rFonts w:cs="David" w:hint="cs"/>
          <w:rtl/>
        </w:rPr>
        <w:t>מתוכנן במבנה הבנק בירושלים</w:t>
      </w:r>
      <w:r w:rsidR="001D65F2">
        <w:rPr>
          <w:rFonts w:cs="David" w:hint="cs"/>
          <w:rtl/>
        </w:rPr>
        <w:t>.</w:t>
      </w:r>
      <w:r w:rsidR="008101FB">
        <w:rPr>
          <w:rFonts w:cs="David" w:hint="cs"/>
          <w:rtl/>
        </w:rPr>
        <w:t xml:space="preserve"> </w:t>
      </w:r>
      <w:r w:rsidR="008E47A3">
        <w:rPr>
          <w:rFonts w:cs="David" w:hint="cs"/>
          <w:rtl/>
        </w:rPr>
        <w:t xml:space="preserve">תקציב </w:t>
      </w:r>
      <w:r w:rsidR="003D0853">
        <w:rPr>
          <w:rFonts w:cs="David" w:hint="cs"/>
          <w:rtl/>
        </w:rPr>
        <w:t xml:space="preserve">זה </w:t>
      </w:r>
      <w:r w:rsidR="008E47A3">
        <w:rPr>
          <w:rFonts w:cs="David" w:hint="cs"/>
          <w:rtl/>
        </w:rPr>
        <w:t xml:space="preserve">מתפרס על פני </w:t>
      </w:r>
      <w:r w:rsidR="007B44D5">
        <w:rPr>
          <w:rFonts w:cs="David" w:hint="cs"/>
          <w:rtl/>
        </w:rPr>
        <w:t>4</w:t>
      </w:r>
      <w:r w:rsidR="008E47A3">
        <w:rPr>
          <w:rFonts w:cs="David" w:hint="cs"/>
          <w:rtl/>
        </w:rPr>
        <w:t xml:space="preserve"> שנים.</w:t>
      </w:r>
    </w:p>
    <w:p w:rsidR="0052450E" w:rsidRDefault="008F6845" w:rsidP="00A23320">
      <w:pPr>
        <w:spacing w:before="120" w:line="360" w:lineRule="auto"/>
        <w:jc w:val="both"/>
        <w:rPr>
          <w:rFonts w:ascii="Arial" w:hAnsi="Arial" w:cs="David"/>
          <w:rtl/>
        </w:rPr>
      </w:pPr>
      <w:r w:rsidRPr="00412732">
        <w:rPr>
          <w:rFonts w:ascii="Arial" w:hAnsi="Arial" w:cs="David" w:hint="cs"/>
          <w:rtl/>
        </w:rPr>
        <w:t>תקציב הפע</w:t>
      </w:r>
      <w:bookmarkStart w:id="0" w:name="_GoBack"/>
      <w:bookmarkEnd w:id="0"/>
      <w:r w:rsidRPr="00412732">
        <w:rPr>
          <w:rFonts w:ascii="Arial" w:hAnsi="Arial" w:cs="David" w:hint="cs"/>
          <w:rtl/>
        </w:rPr>
        <w:t xml:space="preserve">ילות המנהלית אינו כולל הכנסות והוצאות הנובעות מיישום כלים מוניטריים, מתן אשראי לתאגידים בנקאיים ולגופים פיננסיים אחרים, ניהול הנזילות במשק, השקעות ביתרות מטבע חוץ וכדומה. הכנסות והוצאות אלו באות לידי ביטוי בדין וחשבון הכספי של בנק ישראל. </w:t>
      </w:r>
    </w:p>
    <w:p w:rsidR="00072C6C" w:rsidRDefault="00072C6C" w:rsidP="008D70A4">
      <w:pPr>
        <w:spacing w:line="360" w:lineRule="auto"/>
        <w:jc w:val="both"/>
        <w:rPr>
          <w:rFonts w:ascii="Arial" w:hAnsi="Arial" w:cs="David"/>
          <w:rtl/>
        </w:rPr>
      </w:pPr>
    </w:p>
    <w:p w:rsidR="00F90DCD" w:rsidRPr="00BD5C80" w:rsidRDefault="00072C6C" w:rsidP="00BD5C80">
      <w:pPr>
        <w:spacing w:before="120" w:line="360" w:lineRule="auto"/>
        <w:ind w:left="26"/>
        <w:jc w:val="both"/>
        <w:rPr>
          <w:rFonts w:ascii="Arial" w:hAnsi="Arial" w:cs="David"/>
          <w:b/>
          <w:bCs/>
          <w:sz w:val="28"/>
          <w:szCs w:val="28"/>
          <w:u w:val="single"/>
          <w:rtl/>
        </w:rPr>
      </w:pPr>
      <w:r w:rsidRPr="00BD5C80">
        <w:rPr>
          <w:rFonts w:ascii="Arial" w:hAnsi="Arial" w:cs="David" w:hint="cs"/>
          <w:b/>
          <w:bCs/>
          <w:sz w:val="28"/>
          <w:szCs w:val="28"/>
          <w:u w:val="single"/>
          <w:rtl/>
        </w:rPr>
        <w:t xml:space="preserve">פרויקטים </w:t>
      </w:r>
      <w:r w:rsidR="00CE2C59" w:rsidRPr="00BD5C80">
        <w:rPr>
          <w:rFonts w:ascii="Arial" w:hAnsi="Arial" w:cs="David" w:hint="cs"/>
          <w:b/>
          <w:bCs/>
          <w:sz w:val="28"/>
          <w:szCs w:val="28"/>
          <w:u w:val="single"/>
          <w:rtl/>
        </w:rPr>
        <w:t xml:space="preserve">נבחרים </w:t>
      </w:r>
      <w:r w:rsidR="00276DEE" w:rsidRPr="00BD5C80">
        <w:rPr>
          <w:rFonts w:ascii="Arial" w:hAnsi="Arial" w:cs="David" w:hint="cs"/>
          <w:b/>
          <w:bCs/>
          <w:sz w:val="28"/>
          <w:szCs w:val="28"/>
          <w:u w:val="single"/>
          <w:rtl/>
        </w:rPr>
        <w:t xml:space="preserve">לטווח הארוך </w:t>
      </w:r>
      <w:r w:rsidRPr="00BD5C80">
        <w:rPr>
          <w:rFonts w:ascii="Arial" w:hAnsi="Arial" w:cs="David" w:hint="cs"/>
          <w:b/>
          <w:bCs/>
          <w:sz w:val="28"/>
          <w:szCs w:val="28"/>
          <w:u w:val="single"/>
          <w:rtl/>
        </w:rPr>
        <w:t>בתקציב לשנת 2014</w:t>
      </w:r>
    </w:p>
    <w:p w:rsidR="00F90DCD" w:rsidRPr="00BD5C80" w:rsidRDefault="00F90DCD" w:rsidP="00BD5C80">
      <w:pPr>
        <w:spacing w:before="120" w:line="360" w:lineRule="auto"/>
        <w:ind w:left="26"/>
        <w:jc w:val="both"/>
        <w:rPr>
          <w:rFonts w:ascii="Arial" w:hAnsi="Arial" w:cs="David"/>
          <w:b/>
          <w:bCs/>
          <w:sz w:val="26"/>
          <w:szCs w:val="26"/>
          <w:rtl/>
        </w:rPr>
      </w:pPr>
      <w:r w:rsidRPr="00BD5C80">
        <w:rPr>
          <w:rFonts w:ascii="Arial" w:hAnsi="Arial" w:cs="David" w:hint="eastAsia"/>
          <w:b/>
          <w:bCs/>
          <w:sz w:val="26"/>
          <w:szCs w:val="26"/>
          <w:rtl/>
        </w:rPr>
        <w:t>הנפקת</w:t>
      </w:r>
      <w:r w:rsidRPr="00BD5C80">
        <w:rPr>
          <w:rFonts w:ascii="Arial" w:hAnsi="Arial" w:cs="David"/>
          <w:b/>
          <w:bCs/>
          <w:sz w:val="26"/>
          <w:szCs w:val="26"/>
          <w:rtl/>
        </w:rPr>
        <w:t xml:space="preserve"> </w:t>
      </w:r>
      <w:r w:rsidRPr="00BD5C80">
        <w:rPr>
          <w:rFonts w:ascii="Arial" w:hAnsi="Arial" w:cs="David" w:hint="eastAsia"/>
          <w:b/>
          <w:bCs/>
          <w:sz w:val="26"/>
          <w:szCs w:val="26"/>
          <w:rtl/>
        </w:rPr>
        <w:t>סדרה</w:t>
      </w:r>
      <w:r w:rsidRPr="00BD5C80">
        <w:rPr>
          <w:rFonts w:ascii="Arial" w:hAnsi="Arial" w:cs="David"/>
          <w:b/>
          <w:bCs/>
          <w:sz w:val="26"/>
          <w:szCs w:val="26"/>
          <w:rtl/>
        </w:rPr>
        <w:t xml:space="preserve"> </w:t>
      </w:r>
      <w:r w:rsidRPr="00BD5C80">
        <w:rPr>
          <w:rFonts w:ascii="Arial" w:hAnsi="Arial" w:cs="David" w:hint="eastAsia"/>
          <w:b/>
          <w:bCs/>
          <w:sz w:val="26"/>
          <w:szCs w:val="26"/>
          <w:rtl/>
        </w:rPr>
        <w:t>חדשה</w:t>
      </w:r>
      <w:r w:rsidRPr="00BD5C80">
        <w:rPr>
          <w:rFonts w:ascii="Arial" w:hAnsi="Arial" w:cs="David"/>
          <w:b/>
          <w:bCs/>
          <w:sz w:val="26"/>
          <w:szCs w:val="26"/>
          <w:rtl/>
        </w:rPr>
        <w:t xml:space="preserve"> </w:t>
      </w:r>
      <w:r w:rsidRPr="00BD5C80">
        <w:rPr>
          <w:rFonts w:ascii="Arial" w:hAnsi="Arial" w:cs="David" w:hint="eastAsia"/>
          <w:b/>
          <w:bCs/>
          <w:sz w:val="26"/>
          <w:szCs w:val="26"/>
          <w:rtl/>
        </w:rPr>
        <w:t>של</w:t>
      </w:r>
      <w:r w:rsidRPr="00BD5C80">
        <w:rPr>
          <w:rFonts w:ascii="Arial" w:hAnsi="Arial" w:cs="David"/>
          <w:b/>
          <w:bCs/>
          <w:sz w:val="26"/>
          <w:szCs w:val="26"/>
          <w:rtl/>
        </w:rPr>
        <w:t xml:space="preserve"> </w:t>
      </w:r>
      <w:r w:rsidRPr="00BD5C80">
        <w:rPr>
          <w:rFonts w:ascii="Arial" w:hAnsi="Arial" w:cs="David" w:hint="eastAsia"/>
          <w:b/>
          <w:bCs/>
          <w:sz w:val="26"/>
          <w:szCs w:val="26"/>
          <w:rtl/>
        </w:rPr>
        <w:t>המטבע</w:t>
      </w:r>
    </w:p>
    <w:p w:rsidR="00F90DCD" w:rsidRDefault="00F90DCD" w:rsidP="006D31A3">
      <w:pPr>
        <w:autoSpaceDE w:val="0"/>
        <w:autoSpaceDN w:val="0"/>
        <w:adjustRightInd w:val="0"/>
        <w:spacing w:before="120" w:line="360" w:lineRule="auto"/>
        <w:ind w:left="28"/>
        <w:jc w:val="both"/>
        <w:rPr>
          <w:rFonts w:ascii="Arial" w:hAnsi="Arial" w:cs="David"/>
          <w:rtl/>
        </w:rPr>
      </w:pPr>
      <w:r>
        <w:rPr>
          <w:rFonts w:ascii="Arial" w:hAnsi="Arial" w:cs="David" w:hint="cs"/>
          <w:rtl/>
        </w:rPr>
        <w:t>ב</w:t>
      </w:r>
      <w:r w:rsidRPr="00A65728">
        <w:rPr>
          <w:rFonts w:ascii="Arial" w:hAnsi="Arial" w:cs="David" w:hint="cs"/>
          <w:rtl/>
        </w:rPr>
        <w:t>מחצית השנייה של שנת 201</w:t>
      </w:r>
      <w:r>
        <w:rPr>
          <w:rFonts w:ascii="Arial" w:hAnsi="Arial" w:cs="David" w:hint="cs"/>
          <w:rtl/>
        </w:rPr>
        <w:t>4 י</w:t>
      </w:r>
      <w:r w:rsidR="00E45920">
        <w:rPr>
          <w:rFonts w:ascii="Arial" w:hAnsi="Arial" w:cs="David" w:hint="cs"/>
          <w:rtl/>
        </w:rPr>
        <w:t xml:space="preserve">ושלמו ההכנות להתחלת </w:t>
      </w:r>
      <w:r>
        <w:rPr>
          <w:rFonts w:ascii="Arial" w:hAnsi="Arial" w:cs="David" w:hint="cs"/>
          <w:rtl/>
        </w:rPr>
        <w:t xml:space="preserve"> תהליך ההנפקה של סדרת השטרות החדשה לציבור. בסדרת השטרות החדשה ישולבו סימני ביטחון</w:t>
      </w:r>
      <w:r w:rsidRPr="00A65728">
        <w:rPr>
          <w:rFonts w:ascii="Arial" w:hAnsi="Arial" w:cs="David" w:hint="cs"/>
          <w:rtl/>
        </w:rPr>
        <w:t xml:space="preserve"> </w:t>
      </w:r>
      <w:r>
        <w:rPr>
          <w:rFonts w:ascii="Arial" w:hAnsi="Arial" w:cs="David" w:hint="cs"/>
          <w:rtl/>
        </w:rPr>
        <w:t xml:space="preserve">חדשניים </w:t>
      </w:r>
      <w:r w:rsidRPr="00A65728">
        <w:rPr>
          <w:rFonts w:ascii="Arial" w:hAnsi="Arial" w:cs="David" w:hint="cs"/>
          <w:rtl/>
        </w:rPr>
        <w:t>מהמובילים בעולם</w:t>
      </w:r>
      <w:r>
        <w:rPr>
          <w:rFonts w:ascii="Arial" w:hAnsi="Arial" w:cs="David" w:hint="cs"/>
          <w:rtl/>
        </w:rPr>
        <w:t xml:space="preserve"> כדי להקשות על זיוף השטרות. תדירות החלפת השטרות המקובלת בקרב מדינות מפותחות בעולם וגם בישראל היא כל 10-15 שנים.</w:t>
      </w:r>
    </w:p>
    <w:p w:rsidR="00072C6C" w:rsidRPr="00BD5C80" w:rsidRDefault="00072C6C" w:rsidP="00BD5C80">
      <w:pPr>
        <w:spacing w:before="120" w:line="360" w:lineRule="auto"/>
        <w:ind w:left="26"/>
        <w:jc w:val="both"/>
        <w:rPr>
          <w:rFonts w:ascii="Arial" w:hAnsi="Arial" w:cs="David"/>
          <w:b/>
          <w:bCs/>
          <w:sz w:val="26"/>
          <w:szCs w:val="26"/>
          <w:rtl/>
        </w:rPr>
      </w:pPr>
      <w:r w:rsidRPr="00BD5C80">
        <w:rPr>
          <w:rFonts w:ascii="Arial" w:hAnsi="Arial" w:cs="David" w:hint="eastAsia"/>
          <w:b/>
          <w:bCs/>
          <w:sz w:val="26"/>
          <w:szCs w:val="26"/>
          <w:rtl/>
        </w:rPr>
        <w:t>הקמת</w:t>
      </w:r>
      <w:r w:rsidRPr="00BD5C80">
        <w:rPr>
          <w:rFonts w:ascii="Arial" w:hAnsi="Arial" w:cs="David"/>
          <w:b/>
          <w:bCs/>
          <w:sz w:val="26"/>
          <w:szCs w:val="26"/>
          <w:rtl/>
        </w:rPr>
        <w:t xml:space="preserve"> </w:t>
      </w:r>
      <w:r w:rsidRPr="00BD5C80">
        <w:rPr>
          <w:rFonts w:ascii="Arial" w:hAnsi="Arial" w:cs="David" w:hint="eastAsia"/>
          <w:b/>
          <w:bCs/>
          <w:sz w:val="26"/>
          <w:szCs w:val="26"/>
          <w:rtl/>
        </w:rPr>
        <w:t>תשתית</w:t>
      </w:r>
      <w:r w:rsidRPr="00BD5C80">
        <w:rPr>
          <w:rFonts w:ascii="Arial" w:hAnsi="Arial" w:cs="David"/>
          <w:b/>
          <w:bCs/>
          <w:sz w:val="26"/>
          <w:szCs w:val="26"/>
          <w:rtl/>
        </w:rPr>
        <w:t xml:space="preserve"> </w:t>
      </w:r>
      <w:r w:rsidRPr="00BD5C80">
        <w:rPr>
          <w:rFonts w:ascii="Arial" w:hAnsi="Arial" w:cs="David" w:hint="eastAsia"/>
          <w:b/>
          <w:bCs/>
          <w:sz w:val="26"/>
          <w:szCs w:val="26"/>
          <w:rtl/>
        </w:rPr>
        <w:t>חדשה</w:t>
      </w:r>
      <w:r w:rsidRPr="00BD5C80">
        <w:rPr>
          <w:rFonts w:ascii="Arial" w:hAnsi="Arial" w:cs="David"/>
          <w:b/>
          <w:bCs/>
          <w:sz w:val="26"/>
          <w:szCs w:val="26"/>
          <w:rtl/>
        </w:rPr>
        <w:t xml:space="preserve"> </w:t>
      </w:r>
      <w:r w:rsidRPr="00BD5C80">
        <w:rPr>
          <w:rFonts w:ascii="Arial" w:hAnsi="Arial" w:cs="David" w:hint="eastAsia"/>
          <w:b/>
          <w:bCs/>
          <w:sz w:val="26"/>
          <w:szCs w:val="26"/>
          <w:rtl/>
        </w:rPr>
        <w:t>לקליטת</w:t>
      </w:r>
      <w:r w:rsidRPr="00BD5C80">
        <w:rPr>
          <w:rFonts w:ascii="Arial" w:hAnsi="Arial" w:cs="David"/>
          <w:b/>
          <w:bCs/>
          <w:sz w:val="26"/>
          <w:szCs w:val="26"/>
          <w:rtl/>
        </w:rPr>
        <w:t xml:space="preserve"> </w:t>
      </w:r>
      <w:r w:rsidRPr="00BD5C80">
        <w:rPr>
          <w:rFonts w:ascii="Arial" w:hAnsi="Arial" w:cs="David" w:hint="eastAsia"/>
          <w:b/>
          <w:bCs/>
          <w:sz w:val="26"/>
          <w:szCs w:val="26"/>
          <w:rtl/>
        </w:rPr>
        <w:t>דיווחים</w:t>
      </w:r>
      <w:r w:rsidRPr="00BD5C80">
        <w:rPr>
          <w:rFonts w:ascii="Arial" w:hAnsi="Arial" w:cs="David"/>
          <w:b/>
          <w:bCs/>
          <w:sz w:val="26"/>
          <w:szCs w:val="26"/>
          <w:rtl/>
        </w:rPr>
        <w:t xml:space="preserve"> </w:t>
      </w:r>
      <w:r w:rsidRPr="00BD5C80">
        <w:rPr>
          <w:rFonts w:ascii="Arial" w:hAnsi="Arial" w:cs="David" w:hint="eastAsia"/>
          <w:b/>
          <w:bCs/>
          <w:sz w:val="26"/>
          <w:szCs w:val="26"/>
          <w:rtl/>
        </w:rPr>
        <w:t>רגולטורים</w:t>
      </w:r>
      <w:r w:rsidRPr="00BD5C80">
        <w:rPr>
          <w:rFonts w:ascii="Arial" w:hAnsi="Arial" w:cs="David"/>
          <w:b/>
          <w:bCs/>
          <w:sz w:val="26"/>
          <w:szCs w:val="26"/>
          <w:rtl/>
        </w:rPr>
        <w:t xml:space="preserve"> </w:t>
      </w:r>
      <w:r w:rsidRPr="00BD5C80">
        <w:rPr>
          <w:rFonts w:ascii="Arial" w:hAnsi="Arial" w:cs="David" w:hint="eastAsia"/>
          <w:b/>
          <w:bCs/>
          <w:sz w:val="26"/>
          <w:szCs w:val="26"/>
          <w:rtl/>
        </w:rPr>
        <w:t>מהמערכת</w:t>
      </w:r>
      <w:r w:rsidRPr="00BD5C80">
        <w:rPr>
          <w:rFonts w:ascii="Arial" w:hAnsi="Arial" w:cs="David"/>
          <w:b/>
          <w:bCs/>
          <w:sz w:val="26"/>
          <w:szCs w:val="26"/>
          <w:rtl/>
        </w:rPr>
        <w:t xml:space="preserve"> </w:t>
      </w:r>
      <w:r w:rsidRPr="00BD5C80">
        <w:rPr>
          <w:rFonts w:ascii="Arial" w:hAnsi="Arial" w:cs="David" w:hint="eastAsia"/>
          <w:b/>
          <w:bCs/>
          <w:sz w:val="26"/>
          <w:szCs w:val="26"/>
          <w:rtl/>
        </w:rPr>
        <w:t>הבנקאית</w:t>
      </w:r>
    </w:p>
    <w:p w:rsidR="00072C6C" w:rsidRDefault="003E04DB" w:rsidP="00276DEE">
      <w:pPr>
        <w:spacing w:before="120" w:line="360" w:lineRule="auto"/>
        <w:ind w:left="28"/>
        <w:jc w:val="both"/>
        <w:rPr>
          <w:rFonts w:ascii="Arial" w:hAnsi="Arial" w:cs="David"/>
          <w:rtl/>
        </w:rPr>
      </w:pPr>
      <w:r>
        <w:rPr>
          <w:rFonts w:ascii="Arial" w:hAnsi="Arial" w:cs="David" w:hint="cs"/>
          <w:rtl/>
        </w:rPr>
        <w:t>בשנת 2013 החל הבנק ב</w:t>
      </w:r>
      <w:r w:rsidR="00072C6C" w:rsidRPr="00072C6C">
        <w:rPr>
          <w:rFonts w:ascii="Arial" w:hAnsi="Arial" w:cs="David" w:hint="cs"/>
          <w:rtl/>
        </w:rPr>
        <w:t>פרויקט להקמת מערכת</w:t>
      </w:r>
      <w:r>
        <w:rPr>
          <w:rFonts w:ascii="Arial" w:hAnsi="Arial" w:cs="David" w:hint="cs"/>
          <w:rtl/>
        </w:rPr>
        <w:t xml:space="preserve"> </w:t>
      </w:r>
      <w:r w:rsidR="00072C6C" w:rsidRPr="00072C6C">
        <w:rPr>
          <w:rFonts w:ascii="Arial" w:hAnsi="Arial" w:cs="David" w:hint="cs"/>
          <w:rtl/>
        </w:rPr>
        <w:t xml:space="preserve">חדשה לקליטת הדיווחים שהבנקים מוסרים לפיקוח על הבנקים, תוך אימוץ תקן הדיווח הבין-לאומי </w:t>
      </w:r>
      <w:r w:rsidR="00072C6C" w:rsidRPr="00072C6C">
        <w:rPr>
          <w:rFonts w:ascii="Arial" w:hAnsi="Arial" w:cs="David"/>
          <w:rtl/>
        </w:rPr>
        <w:t>–</w:t>
      </w:r>
      <w:r w:rsidR="00072C6C" w:rsidRPr="00072C6C">
        <w:rPr>
          <w:rFonts w:ascii="Arial" w:hAnsi="Arial" w:cs="David" w:hint="cs"/>
          <w:rtl/>
        </w:rPr>
        <w:t xml:space="preserve"> </w:t>
      </w:r>
      <w:r w:rsidR="00072C6C" w:rsidRPr="008D70A4">
        <w:t>XBRL</w:t>
      </w:r>
      <w:r w:rsidR="00072C6C" w:rsidRPr="00072C6C">
        <w:rPr>
          <w:rFonts w:ascii="Arial" w:hAnsi="Arial" w:cs="David" w:hint="cs"/>
          <w:rtl/>
        </w:rPr>
        <w:t xml:space="preserve">. במסגרת הפרויקט יותאמו שיטות הדיווח וקליטת הנתונים לתקן הבין-לאומי ותוטמע מערכת מתקדמת לקליטת הנתונים. </w:t>
      </w:r>
    </w:p>
    <w:p w:rsidR="000177D5" w:rsidRPr="00BD5C80" w:rsidRDefault="000177D5" w:rsidP="00BD5C80">
      <w:pPr>
        <w:spacing w:before="120" w:line="360" w:lineRule="auto"/>
        <w:ind w:left="26"/>
        <w:jc w:val="both"/>
        <w:rPr>
          <w:rFonts w:ascii="Arial" w:hAnsi="Arial" w:cs="David"/>
          <w:b/>
          <w:bCs/>
          <w:sz w:val="26"/>
          <w:szCs w:val="26"/>
          <w:rtl/>
        </w:rPr>
      </w:pPr>
      <w:r w:rsidRPr="00BD5C80">
        <w:rPr>
          <w:rFonts w:ascii="Arial" w:hAnsi="Arial" w:cs="David" w:hint="cs"/>
          <w:b/>
          <w:bCs/>
          <w:sz w:val="26"/>
          <w:szCs w:val="26"/>
          <w:rtl/>
        </w:rPr>
        <w:t>פרויקט לריכוז מאגר בנושא הדיור בישראל</w:t>
      </w:r>
    </w:p>
    <w:p w:rsidR="000177D5" w:rsidRDefault="000177D5" w:rsidP="008B111C">
      <w:pPr>
        <w:spacing w:before="120" w:line="360" w:lineRule="auto"/>
        <w:ind w:left="26"/>
        <w:jc w:val="both"/>
        <w:rPr>
          <w:rFonts w:ascii="Arial" w:hAnsi="Arial" w:cs="David"/>
          <w:rtl/>
        </w:rPr>
      </w:pPr>
      <w:r>
        <w:rPr>
          <w:rFonts w:ascii="Arial" w:hAnsi="Arial" w:cs="David" w:hint="cs"/>
          <w:rtl/>
        </w:rPr>
        <w:t xml:space="preserve">נושא הדיור הוא בליבת המדיניות הכלכלית וזו נשענת על מידע רב הנאסף על שוק הדיור והנדל"ן בישראל . על-מנת להבטיח ריכוז יעיל של נתוני הנדל"ן במשק הישראלי, </w:t>
      </w:r>
      <w:r w:rsidR="00820BA9">
        <w:rPr>
          <w:rFonts w:ascii="Arial" w:hAnsi="Arial" w:cs="David" w:hint="cs"/>
          <w:rtl/>
        </w:rPr>
        <w:t xml:space="preserve">ממשיך בנק ישראל בהרחבת </w:t>
      </w:r>
      <w:r>
        <w:rPr>
          <w:rFonts w:ascii="Arial" w:hAnsi="Arial" w:cs="David" w:hint="cs"/>
          <w:rtl/>
        </w:rPr>
        <w:t xml:space="preserve"> בסיס </w:t>
      </w:r>
      <w:r w:rsidR="00CE2C59">
        <w:rPr>
          <w:rFonts w:ascii="Arial" w:hAnsi="Arial" w:cs="David" w:hint="cs"/>
          <w:rtl/>
        </w:rPr>
        <w:t>ה</w:t>
      </w:r>
      <w:r>
        <w:rPr>
          <w:rFonts w:ascii="Arial" w:hAnsi="Arial" w:cs="David" w:hint="cs"/>
          <w:rtl/>
        </w:rPr>
        <w:t xml:space="preserve">נתונים </w:t>
      </w:r>
      <w:r w:rsidR="001A6DCE">
        <w:rPr>
          <w:rFonts w:ascii="Arial" w:hAnsi="Arial" w:cs="David" w:hint="cs"/>
          <w:rtl/>
        </w:rPr>
        <w:t xml:space="preserve">הקיים </w:t>
      </w:r>
      <w:r w:rsidR="00820BA9">
        <w:rPr>
          <w:rFonts w:ascii="Arial" w:hAnsi="Arial" w:cs="David" w:hint="cs"/>
          <w:rtl/>
        </w:rPr>
        <w:t>ו</w:t>
      </w:r>
      <w:r w:rsidR="001A6DCE">
        <w:rPr>
          <w:rFonts w:ascii="Arial" w:hAnsi="Arial" w:cs="David" w:hint="cs"/>
          <w:rtl/>
        </w:rPr>
        <w:t>שילובו ב</w:t>
      </w:r>
      <w:r w:rsidR="00820BA9">
        <w:rPr>
          <w:rFonts w:ascii="Arial" w:hAnsi="Arial" w:cs="David" w:hint="cs"/>
          <w:rtl/>
        </w:rPr>
        <w:t xml:space="preserve">מחסן הנתונים המרכזי של הבנק </w:t>
      </w:r>
      <w:r w:rsidR="001A6DCE">
        <w:rPr>
          <w:rFonts w:ascii="Arial" w:hAnsi="Arial" w:cs="David" w:hint="cs"/>
          <w:rtl/>
        </w:rPr>
        <w:t>כך ש</w:t>
      </w:r>
      <w:r>
        <w:rPr>
          <w:rFonts w:ascii="Arial" w:hAnsi="Arial" w:cs="David" w:hint="cs"/>
          <w:rtl/>
        </w:rPr>
        <w:t>יכלול את מירב המידע על שוק הנדל"ן והדיור בישראל, באופן ש</w:t>
      </w:r>
      <w:r w:rsidRPr="003E04DB">
        <w:rPr>
          <w:rFonts w:ascii="Arial" w:hAnsi="Arial" w:cs="David" w:hint="cs"/>
          <w:rtl/>
        </w:rPr>
        <w:t xml:space="preserve">ישרת </w:t>
      </w:r>
      <w:r w:rsidR="00CE2C59">
        <w:rPr>
          <w:rFonts w:ascii="Arial" w:hAnsi="Arial" w:cs="David" w:hint="cs"/>
          <w:rtl/>
        </w:rPr>
        <w:t xml:space="preserve">באופן מיטבי </w:t>
      </w:r>
      <w:r w:rsidRPr="003E04DB">
        <w:rPr>
          <w:rFonts w:ascii="Arial" w:hAnsi="Arial" w:cs="David" w:hint="cs"/>
          <w:rtl/>
        </w:rPr>
        <w:t xml:space="preserve">את משתמשי </w:t>
      </w:r>
      <w:r w:rsidR="00470E9F">
        <w:rPr>
          <w:rFonts w:ascii="Arial" w:hAnsi="Arial" w:cs="David" w:hint="cs"/>
          <w:rtl/>
        </w:rPr>
        <w:t>ה</w:t>
      </w:r>
      <w:r w:rsidRPr="003E04DB">
        <w:rPr>
          <w:rFonts w:ascii="Arial" w:hAnsi="Arial" w:cs="David" w:hint="cs"/>
          <w:rtl/>
        </w:rPr>
        <w:t>בנק ו</w:t>
      </w:r>
      <w:r>
        <w:rPr>
          <w:rFonts w:ascii="Arial" w:hAnsi="Arial" w:cs="David" w:hint="cs"/>
          <w:rtl/>
        </w:rPr>
        <w:t xml:space="preserve">מקבלי ההחלטות </w:t>
      </w:r>
      <w:r w:rsidRPr="003E04DB">
        <w:rPr>
          <w:rFonts w:ascii="Arial" w:hAnsi="Arial" w:cs="David" w:hint="cs"/>
          <w:rtl/>
        </w:rPr>
        <w:t xml:space="preserve">מחוצה לו. </w:t>
      </w:r>
    </w:p>
    <w:p w:rsidR="00F90DCD" w:rsidRPr="00BD5C80" w:rsidRDefault="00F90DCD" w:rsidP="00F07275">
      <w:pPr>
        <w:spacing w:before="120" w:line="360" w:lineRule="auto"/>
        <w:ind w:left="26"/>
        <w:jc w:val="both"/>
        <w:rPr>
          <w:rFonts w:ascii="Arial" w:hAnsi="Arial" w:cs="David"/>
          <w:b/>
          <w:bCs/>
          <w:sz w:val="26"/>
          <w:szCs w:val="26"/>
          <w:rtl/>
        </w:rPr>
      </w:pPr>
      <w:r w:rsidRPr="00BD5C80">
        <w:rPr>
          <w:rFonts w:ascii="Arial" w:hAnsi="Arial" w:cs="David" w:hint="eastAsia"/>
          <w:b/>
          <w:bCs/>
          <w:sz w:val="26"/>
          <w:szCs w:val="26"/>
          <w:rtl/>
        </w:rPr>
        <w:t>חידוש</w:t>
      </w:r>
      <w:r w:rsidRPr="00BD5C80">
        <w:rPr>
          <w:rFonts w:ascii="Arial" w:hAnsi="Arial" w:cs="David"/>
          <w:b/>
          <w:bCs/>
          <w:sz w:val="26"/>
          <w:szCs w:val="26"/>
          <w:rtl/>
        </w:rPr>
        <w:t xml:space="preserve"> </w:t>
      </w:r>
      <w:r w:rsidRPr="00BD5C80">
        <w:rPr>
          <w:rFonts w:ascii="Arial" w:hAnsi="Arial" w:cs="David" w:hint="eastAsia"/>
          <w:b/>
          <w:bCs/>
          <w:sz w:val="26"/>
          <w:szCs w:val="26"/>
          <w:rtl/>
        </w:rPr>
        <w:t>תשתיות</w:t>
      </w:r>
      <w:r w:rsidRPr="00BD5C80">
        <w:rPr>
          <w:rFonts w:ascii="Arial" w:hAnsi="Arial" w:cs="David"/>
          <w:b/>
          <w:bCs/>
          <w:sz w:val="26"/>
          <w:szCs w:val="26"/>
          <w:rtl/>
        </w:rPr>
        <w:t xml:space="preserve"> </w:t>
      </w:r>
      <w:r w:rsidRPr="00BD5C80">
        <w:rPr>
          <w:rFonts w:ascii="Arial" w:hAnsi="Arial" w:cs="David" w:hint="eastAsia"/>
          <w:b/>
          <w:bCs/>
          <w:sz w:val="26"/>
          <w:szCs w:val="26"/>
          <w:rtl/>
        </w:rPr>
        <w:t>ו</w:t>
      </w:r>
      <w:r w:rsidR="00FC0060" w:rsidRPr="00BD5C80">
        <w:rPr>
          <w:rFonts w:ascii="Arial" w:hAnsi="Arial" w:cs="David" w:hint="eastAsia"/>
          <w:b/>
          <w:bCs/>
          <w:sz w:val="26"/>
          <w:szCs w:val="26"/>
          <w:rtl/>
        </w:rPr>
        <w:t>שיפוץ</w:t>
      </w:r>
      <w:r w:rsidRPr="00BD5C80">
        <w:rPr>
          <w:rFonts w:ascii="Arial" w:hAnsi="Arial" w:cs="David"/>
          <w:b/>
          <w:bCs/>
          <w:sz w:val="26"/>
          <w:szCs w:val="26"/>
          <w:rtl/>
        </w:rPr>
        <w:t xml:space="preserve"> המבנה </w:t>
      </w:r>
      <w:r w:rsidRPr="00BD5C80">
        <w:rPr>
          <w:rFonts w:ascii="Arial" w:hAnsi="Arial" w:cs="David" w:hint="eastAsia"/>
          <w:b/>
          <w:bCs/>
          <w:sz w:val="26"/>
          <w:szCs w:val="26"/>
          <w:rtl/>
        </w:rPr>
        <w:t>הראשי</w:t>
      </w:r>
      <w:r w:rsidRPr="00BD5C80">
        <w:rPr>
          <w:rFonts w:ascii="Arial" w:hAnsi="Arial" w:cs="David"/>
          <w:b/>
          <w:bCs/>
          <w:sz w:val="26"/>
          <w:szCs w:val="26"/>
          <w:rtl/>
        </w:rPr>
        <w:t xml:space="preserve"> בירושלים</w:t>
      </w:r>
    </w:p>
    <w:p w:rsidR="00F90DCD" w:rsidRDefault="00F90DCD" w:rsidP="00C704ED">
      <w:pPr>
        <w:spacing w:before="120" w:line="360" w:lineRule="auto"/>
        <w:jc w:val="both"/>
        <w:rPr>
          <w:rFonts w:ascii="Arial" w:hAnsi="Arial" w:cs="David"/>
          <w:rtl/>
        </w:rPr>
      </w:pPr>
      <w:r>
        <w:rPr>
          <w:rFonts w:ascii="Arial" w:hAnsi="Arial" w:cs="David" w:hint="cs"/>
          <w:rtl/>
        </w:rPr>
        <w:t>כפי שנדון ואושר בדצמבר 2012</w:t>
      </w:r>
      <w:r w:rsidRPr="00A121D7">
        <w:rPr>
          <w:rFonts w:ascii="Arial" w:hAnsi="Arial" w:cs="David"/>
          <w:rtl/>
        </w:rPr>
        <w:t xml:space="preserve"> </w:t>
      </w:r>
      <w:r w:rsidRPr="00F62D0E">
        <w:rPr>
          <w:rFonts w:ascii="Arial" w:hAnsi="Arial" w:cs="David"/>
          <w:rtl/>
        </w:rPr>
        <w:t xml:space="preserve">על-ידי המועצה המנהלית, </w:t>
      </w:r>
      <w:r w:rsidR="001A6DCE">
        <w:rPr>
          <w:rFonts w:ascii="Arial" w:hAnsi="Arial" w:cs="David" w:hint="cs"/>
          <w:rtl/>
        </w:rPr>
        <w:t xml:space="preserve">ישופץ </w:t>
      </w:r>
      <w:r>
        <w:rPr>
          <w:rFonts w:ascii="Arial" w:hAnsi="Arial" w:cs="David" w:hint="cs"/>
          <w:rtl/>
        </w:rPr>
        <w:t xml:space="preserve">המבנה המרכזי של בנק ישראל. מדובר ביישום החלטות שנתקבלו כבר בשנת </w:t>
      </w:r>
      <w:r w:rsidR="009D65B5">
        <w:rPr>
          <w:rFonts w:ascii="Arial" w:hAnsi="Arial" w:cs="David" w:hint="cs"/>
          <w:rtl/>
        </w:rPr>
        <w:t>2006</w:t>
      </w:r>
      <w:r>
        <w:rPr>
          <w:rFonts w:ascii="Arial" w:hAnsi="Arial" w:cs="David" w:hint="cs"/>
          <w:rtl/>
        </w:rPr>
        <w:t xml:space="preserve"> </w:t>
      </w:r>
      <w:r w:rsidRPr="00A121D7">
        <w:rPr>
          <w:rFonts w:ascii="Arial" w:hAnsi="Arial" w:cs="David"/>
          <w:rtl/>
        </w:rPr>
        <w:t>לאחר בחינת חלופות רבות</w:t>
      </w:r>
      <w:r w:rsidR="00C704ED">
        <w:rPr>
          <w:rFonts w:ascii="Arial" w:hAnsi="Arial" w:cs="David" w:hint="cs"/>
          <w:rtl/>
        </w:rPr>
        <w:t xml:space="preserve">. </w:t>
      </w:r>
      <w:r w:rsidR="00D24EAB">
        <w:rPr>
          <w:rFonts w:ascii="Arial" w:hAnsi="Arial" w:cs="David" w:hint="cs"/>
          <w:rtl/>
        </w:rPr>
        <w:t>תקציב השי</w:t>
      </w:r>
      <w:r w:rsidR="001A6DCE">
        <w:rPr>
          <w:rFonts w:ascii="Arial" w:hAnsi="Arial" w:cs="David" w:hint="cs"/>
          <w:rtl/>
        </w:rPr>
        <w:t>פוץ</w:t>
      </w:r>
      <w:r w:rsidR="00D24EAB">
        <w:rPr>
          <w:rFonts w:ascii="Arial" w:hAnsi="Arial" w:cs="David" w:hint="cs"/>
          <w:rtl/>
        </w:rPr>
        <w:t xml:space="preserve"> נקבע </w:t>
      </w:r>
      <w:r w:rsidR="00B95659">
        <w:rPr>
          <w:rFonts w:ascii="Arial" w:hAnsi="Arial" w:cs="David" w:hint="cs"/>
          <w:rtl/>
        </w:rPr>
        <w:t>מתוך מטרה להתאים את תשתיות הבניין להגנה מפני רעידות אדמה, למלא אחר דרישות הרשויות</w:t>
      </w:r>
      <w:r w:rsidR="001A6DCE">
        <w:rPr>
          <w:rFonts w:ascii="Arial" w:hAnsi="Arial" w:cs="David" w:hint="cs"/>
          <w:rtl/>
        </w:rPr>
        <w:t xml:space="preserve"> כדוגמת דרישות בתחום כיבוי אש</w:t>
      </w:r>
      <w:r w:rsidR="00B95659">
        <w:rPr>
          <w:rFonts w:ascii="Arial" w:hAnsi="Arial" w:cs="David" w:hint="cs"/>
          <w:rtl/>
        </w:rPr>
        <w:t xml:space="preserve">, לשדרג את התשתיות הפיזיות ולבצע עבודות גמר בסטנדרט המקובל במשרדי הממשלה. </w:t>
      </w:r>
      <w:r>
        <w:rPr>
          <w:rFonts w:ascii="Arial" w:hAnsi="Arial" w:cs="David" w:hint="cs"/>
          <w:rtl/>
        </w:rPr>
        <w:t>ביצוע העבודות נדרש כדי לה</w:t>
      </w:r>
      <w:r w:rsidR="009D65B5">
        <w:rPr>
          <w:rFonts w:ascii="Arial" w:hAnsi="Arial" w:cs="David" w:hint="cs"/>
          <w:rtl/>
        </w:rPr>
        <w:t>י</w:t>
      </w:r>
      <w:r>
        <w:rPr>
          <w:rFonts w:ascii="Arial" w:hAnsi="Arial" w:cs="David" w:hint="cs"/>
          <w:rtl/>
        </w:rPr>
        <w:t>מנע מנזק לחיי אדם וכדי להבטיח את המשכיות התפקוד של הבנק בכל עת.</w:t>
      </w:r>
      <w:r w:rsidR="00B95659">
        <w:rPr>
          <w:rFonts w:ascii="Arial" w:hAnsi="Arial" w:cs="David" w:hint="cs"/>
          <w:rtl/>
        </w:rPr>
        <w:t xml:space="preserve"> </w:t>
      </w:r>
      <w:r w:rsidR="00EB65F4">
        <w:rPr>
          <w:rFonts w:ascii="Arial" w:hAnsi="Arial" w:cs="David" w:hint="cs"/>
          <w:rtl/>
        </w:rPr>
        <w:t xml:space="preserve">הפרויקט תוקצב בשנת 2014 בסכום כולל הזהה לזה שאושר בעבר וכולל </w:t>
      </w:r>
      <w:r w:rsidRPr="00F501AF">
        <w:rPr>
          <w:rFonts w:ascii="Arial" w:hAnsi="Arial" w:cs="David"/>
          <w:rtl/>
        </w:rPr>
        <w:t xml:space="preserve"> </w:t>
      </w:r>
      <w:r>
        <w:rPr>
          <w:rFonts w:ascii="Arial" w:hAnsi="Arial" w:cs="David" w:hint="cs"/>
          <w:rtl/>
        </w:rPr>
        <w:t xml:space="preserve">20 מיליון ₪ </w:t>
      </w:r>
      <w:r w:rsidR="00EB65F4">
        <w:rPr>
          <w:rFonts w:ascii="Arial" w:hAnsi="Arial" w:cs="David" w:hint="cs"/>
          <w:rtl/>
        </w:rPr>
        <w:t xml:space="preserve">בשנת 2014 </w:t>
      </w:r>
      <w:r>
        <w:rPr>
          <w:rFonts w:ascii="Arial" w:hAnsi="Arial" w:cs="David" w:hint="cs"/>
          <w:rtl/>
        </w:rPr>
        <w:t>ו</w:t>
      </w:r>
      <w:r w:rsidRPr="00F501AF">
        <w:rPr>
          <w:rFonts w:ascii="Arial" w:hAnsi="Arial" w:cs="David"/>
          <w:rtl/>
        </w:rPr>
        <w:t xml:space="preserve">הרשאה להתחייב </w:t>
      </w:r>
      <w:r>
        <w:rPr>
          <w:rFonts w:ascii="Arial" w:hAnsi="Arial" w:cs="David" w:hint="cs"/>
          <w:rtl/>
        </w:rPr>
        <w:t xml:space="preserve">לשלוש שנים </w:t>
      </w:r>
      <w:r w:rsidR="00B11C3D">
        <w:rPr>
          <w:rFonts w:ascii="Arial" w:hAnsi="Arial" w:cs="David" w:hint="cs"/>
          <w:rtl/>
        </w:rPr>
        <w:t>נוספות</w:t>
      </w:r>
      <w:r>
        <w:rPr>
          <w:rFonts w:ascii="Arial" w:hAnsi="Arial" w:cs="David" w:hint="cs"/>
          <w:rtl/>
        </w:rPr>
        <w:t xml:space="preserve"> </w:t>
      </w:r>
      <w:r w:rsidRPr="00F501AF">
        <w:rPr>
          <w:rFonts w:ascii="Arial" w:hAnsi="Arial" w:cs="David"/>
          <w:rtl/>
        </w:rPr>
        <w:t xml:space="preserve">בסכום </w:t>
      </w:r>
      <w:r>
        <w:rPr>
          <w:rFonts w:ascii="Arial" w:hAnsi="Arial" w:cs="David" w:hint="cs"/>
          <w:rtl/>
        </w:rPr>
        <w:t xml:space="preserve">כולל </w:t>
      </w:r>
      <w:r w:rsidRPr="00F501AF">
        <w:rPr>
          <w:rFonts w:ascii="Arial" w:hAnsi="Arial" w:cs="David"/>
          <w:rtl/>
        </w:rPr>
        <w:t xml:space="preserve">של </w:t>
      </w:r>
      <w:r>
        <w:rPr>
          <w:rFonts w:ascii="Arial" w:hAnsi="Arial" w:cs="David" w:hint="cs"/>
          <w:rtl/>
        </w:rPr>
        <w:t>157</w:t>
      </w:r>
      <w:r w:rsidRPr="00F501AF">
        <w:rPr>
          <w:rFonts w:ascii="Arial" w:hAnsi="Arial" w:cs="David"/>
          <w:rtl/>
        </w:rPr>
        <w:t xml:space="preserve"> מ</w:t>
      </w:r>
      <w:r>
        <w:rPr>
          <w:rFonts w:ascii="Arial" w:hAnsi="Arial" w:cs="David" w:hint="cs"/>
          <w:rtl/>
        </w:rPr>
        <w:t>י</w:t>
      </w:r>
      <w:r w:rsidRPr="00F501AF">
        <w:rPr>
          <w:rFonts w:ascii="Arial" w:hAnsi="Arial" w:cs="David"/>
          <w:rtl/>
        </w:rPr>
        <w:t xml:space="preserve">ליון </w:t>
      </w:r>
      <w:r>
        <w:rPr>
          <w:rFonts w:ascii="Arial" w:hAnsi="Arial" w:cs="David" w:hint="cs"/>
          <w:rtl/>
        </w:rPr>
        <w:t>₪</w:t>
      </w:r>
      <w:r w:rsidRPr="00F501AF">
        <w:rPr>
          <w:rFonts w:ascii="Arial" w:hAnsi="Arial" w:cs="David"/>
          <w:rtl/>
        </w:rPr>
        <w:t>.</w:t>
      </w:r>
      <w:r w:rsidRPr="00A52240">
        <w:rPr>
          <w:rFonts w:ascii="Arial" w:hAnsi="Arial" w:cs="David"/>
          <w:rtl/>
        </w:rPr>
        <w:t xml:space="preserve"> </w:t>
      </w:r>
    </w:p>
    <w:p w:rsidR="00F90DCD" w:rsidRPr="00BD5C80" w:rsidRDefault="00F90DCD" w:rsidP="006D31A3">
      <w:pPr>
        <w:spacing w:before="120" w:line="360" w:lineRule="auto"/>
        <w:ind w:left="26"/>
        <w:jc w:val="both"/>
        <w:rPr>
          <w:rFonts w:ascii="Arial" w:hAnsi="Arial" w:cs="David"/>
          <w:b/>
          <w:bCs/>
          <w:sz w:val="26"/>
          <w:szCs w:val="26"/>
          <w:rtl/>
        </w:rPr>
      </w:pPr>
      <w:r w:rsidRPr="00BD5C80">
        <w:rPr>
          <w:rFonts w:ascii="Arial" w:hAnsi="Arial" w:cs="David" w:hint="eastAsia"/>
          <w:b/>
          <w:bCs/>
          <w:sz w:val="26"/>
          <w:szCs w:val="26"/>
          <w:rtl/>
        </w:rPr>
        <w:t>הקמת</w:t>
      </w:r>
      <w:r w:rsidRPr="00BD5C80">
        <w:rPr>
          <w:rFonts w:ascii="Arial" w:hAnsi="Arial" w:cs="David"/>
          <w:b/>
          <w:bCs/>
          <w:sz w:val="26"/>
          <w:szCs w:val="26"/>
          <w:rtl/>
        </w:rPr>
        <w:t xml:space="preserve"> </w:t>
      </w:r>
      <w:r w:rsidRPr="00BD5C80">
        <w:rPr>
          <w:rFonts w:ascii="Arial" w:hAnsi="Arial" w:cs="David" w:hint="eastAsia"/>
          <w:b/>
          <w:bCs/>
          <w:sz w:val="26"/>
          <w:szCs w:val="26"/>
          <w:rtl/>
        </w:rPr>
        <w:t>מרכז</w:t>
      </w:r>
      <w:r w:rsidRPr="00BD5C80">
        <w:rPr>
          <w:rFonts w:ascii="Arial" w:hAnsi="Arial" w:cs="David"/>
          <w:b/>
          <w:bCs/>
          <w:sz w:val="26"/>
          <w:szCs w:val="26"/>
          <w:rtl/>
        </w:rPr>
        <w:t xml:space="preserve"> </w:t>
      </w:r>
      <w:r w:rsidRPr="00BD5C80">
        <w:rPr>
          <w:rFonts w:ascii="Arial" w:hAnsi="Arial" w:cs="David" w:hint="eastAsia"/>
          <w:b/>
          <w:bCs/>
          <w:sz w:val="26"/>
          <w:szCs w:val="26"/>
          <w:rtl/>
        </w:rPr>
        <w:t>טכנולוגי</w:t>
      </w:r>
      <w:r w:rsidRPr="00BD5C80">
        <w:rPr>
          <w:rFonts w:ascii="Arial" w:hAnsi="Arial" w:cs="David"/>
          <w:b/>
          <w:bCs/>
          <w:sz w:val="26"/>
          <w:szCs w:val="26"/>
          <w:rtl/>
        </w:rPr>
        <w:t xml:space="preserve"> </w:t>
      </w:r>
      <w:r w:rsidRPr="00BD5C80">
        <w:rPr>
          <w:rFonts w:ascii="Arial" w:hAnsi="Arial" w:cs="David" w:hint="eastAsia"/>
          <w:b/>
          <w:bCs/>
          <w:sz w:val="26"/>
          <w:szCs w:val="26"/>
          <w:rtl/>
        </w:rPr>
        <w:t>וחירום</w:t>
      </w:r>
      <w:r w:rsidR="00FD4B69" w:rsidRPr="00BD5C80">
        <w:rPr>
          <w:rFonts w:ascii="Arial" w:hAnsi="Arial" w:cs="David" w:hint="cs"/>
          <w:b/>
          <w:bCs/>
          <w:sz w:val="26"/>
          <w:szCs w:val="26"/>
          <w:rtl/>
        </w:rPr>
        <w:t xml:space="preserve"> </w:t>
      </w:r>
    </w:p>
    <w:p w:rsidR="00934011" w:rsidRDefault="00F90DCD" w:rsidP="008B111C">
      <w:pPr>
        <w:pStyle w:val="a"/>
        <w:numPr>
          <w:ilvl w:val="0"/>
          <w:numId w:val="0"/>
        </w:numPr>
        <w:tabs>
          <w:tab w:val="left" w:pos="720"/>
        </w:tabs>
        <w:spacing w:before="60"/>
        <w:ind w:left="26"/>
        <w:rPr>
          <w:rFonts w:ascii="Arial Unicode MS" w:eastAsia="Arial Unicode MS" w:hAnsi="Arial Unicode MS" w:cs="Arial Unicode MS"/>
        </w:rPr>
      </w:pPr>
      <w:r w:rsidRPr="0031303A">
        <w:rPr>
          <w:rFonts w:ascii="Arial"/>
          <w:rtl/>
          <w:lang w:eastAsia="en-US"/>
        </w:rPr>
        <w:t xml:space="preserve">הצורך </w:t>
      </w:r>
      <w:r w:rsidRPr="0031303A">
        <w:rPr>
          <w:rFonts w:ascii="Arial" w:hint="cs"/>
          <w:rtl/>
          <w:lang w:eastAsia="en-US"/>
        </w:rPr>
        <w:t xml:space="preserve">לקדם את </w:t>
      </w:r>
      <w:r w:rsidRPr="0031303A">
        <w:rPr>
          <w:rFonts w:ascii="Arial"/>
          <w:rtl/>
          <w:lang w:eastAsia="en-US"/>
        </w:rPr>
        <w:t>המוכנות לתפק</w:t>
      </w:r>
      <w:r w:rsidR="00E45920">
        <w:rPr>
          <w:rFonts w:ascii="Arial" w:hint="cs"/>
          <w:rtl/>
          <w:lang w:eastAsia="en-US"/>
        </w:rPr>
        <w:t>ו</w:t>
      </w:r>
      <w:r w:rsidRPr="0031303A">
        <w:rPr>
          <w:rFonts w:ascii="Arial"/>
          <w:rtl/>
          <w:lang w:eastAsia="en-US"/>
        </w:rPr>
        <w:t xml:space="preserve">ד במקרי חירום מתעצם </w:t>
      </w:r>
      <w:r w:rsidRPr="0031303A">
        <w:rPr>
          <w:rFonts w:ascii="Arial" w:hint="cs"/>
          <w:rtl/>
          <w:lang w:eastAsia="en-US"/>
        </w:rPr>
        <w:t>ל</w:t>
      </w:r>
      <w:r w:rsidRPr="0031303A">
        <w:rPr>
          <w:rFonts w:ascii="Arial"/>
          <w:rtl/>
          <w:lang w:eastAsia="en-US"/>
        </w:rPr>
        <w:t>נוכח מפת האיומים על מדינת</w:t>
      </w:r>
      <w:r w:rsidRPr="0031303A">
        <w:rPr>
          <w:rFonts w:ascii="Arial"/>
          <w:rtl/>
        </w:rPr>
        <w:t xml:space="preserve"> ישראל ו</w:t>
      </w:r>
      <w:r w:rsidRPr="0031303A">
        <w:rPr>
          <w:rFonts w:ascii="Arial" w:hint="cs"/>
          <w:rtl/>
        </w:rPr>
        <w:t xml:space="preserve">לנוכח </w:t>
      </w:r>
      <w:r w:rsidRPr="0031303A">
        <w:rPr>
          <w:rFonts w:ascii="Arial"/>
          <w:rtl/>
        </w:rPr>
        <w:t>ניסיונות של גורמים עוינים לפגוע בתשתיות החיוניות של המשק, בכלל זה התשתיות הפיננסיות</w:t>
      </w:r>
      <w:r>
        <w:rPr>
          <w:rFonts w:ascii="Arial" w:hint="cs"/>
          <w:rtl/>
        </w:rPr>
        <w:t xml:space="preserve">. </w:t>
      </w:r>
      <w:r w:rsidR="00072C6C">
        <w:rPr>
          <w:rFonts w:ascii="Arial" w:hint="cs"/>
          <w:rtl/>
        </w:rPr>
        <w:t xml:space="preserve">לאור </w:t>
      </w:r>
      <w:r>
        <w:rPr>
          <w:rFonts w:ascii="Arial" w:hint="cs"/>
          <w:rtl/>
        </w:rPr>
        <w:t xml:space="preserve"> זאת, הציב בנק ישראל ברמת עדיפות גבוהה את קיום ההמשכיות העסקית של מערכותיו במצבי קיצון</w:t>
      </w:r>
      <w:r w:rsidR="001A6DCE">
        <w:rPr>
          <w:rFonts w:ascii="Arial" w:hint="cs"/>
          <w:rtl/>
        </w:rPr>
        <w:t xml:space="preserve"> ומקיים </w:t>
      </w:r>
      <w:r w:rsidR="009B20E8">
        <w:rPr>
          <w:rFonts w:ascii="Arial" w:hint="cs"/>
          <w:rtl/>
        </w:rPr>
        <w:t>תכנית</w:t>
      </w:r>
      <w:r w:rsidR="001A6DCE">
        <w:rPr>
          <w:rFonts w:ascii="Arial" w:hint="cs"/>
          <w:rtl/>
        </w:rPr>
        <w:t xml:space="preserve"> סדורה </w:t>
      </w:r>
      <w:r w:rsidR="00934011">
        <w:rPr>
          <w:rFonts w:ascii="Arial" w:hint="cs"/>
          <w:rtl/>
        </w:rPr>
        <w:t xml:space="preserve">להגברת </w:t>
      </w:r>
      <w:r w:rsidR="00934011" w:rsidRPr="00F07275">
        <w:rPr>
          <w:rFonts w:ascii="Arial"/>
          <w:rtl/>
        </w:rPr>
        <w:t>מוכנות</w:t>
      </w:r>
      <w:r w:rsidR="00934011">
        <w:rPr>
          <w:rFonts w:ascii="Arial" w:hint="cs"/>
          <w:rtl/>
        </w:rPr>
        <w:t>ו</w:t>
      </w:r>
      <w:r w:rsidR="00934011" w:rsidRPr="00F07275">
        <w:rPr>
          <w:rFonts w:ascii="Arial"/>
          <w:rtl/>
        </w:rPr>
        <w:t xml:space="preserve"> ל</w:t>
      </w:r>
      <w:r w:rsidR="00934011">
        <w:rPr>
          <w:rFonts w:ascii="Arial" w:hint="cs"/>
          <w:rtl/>
        </w:rPr>
        <w:t xml:space="preserve">איומים שונים דוגמת </w:t>
      </w:r>
      <w:r w:rsidR="00934011" w:rsidRPr="00F07275">
        <w:rPr>
          <w:rFonts w:ascii="Arial" w:hint="eastAsia"/>
          <w:rtl/>
        </w:rPr>
        <w:t>מתקפה</w:t>
      </w:r>
      <w:r w:rsidR="00934011" w:rsidRPr="00F07275">
        <w:rPr>
          <w:rFonts w:ascii="Arial"/>
          <w:rtl/>
        </w:rPr>
        <w:t xml:space="preserve"> </w:t>
      </w:r>
      <w:r w:rsidR="00934011" w:rsidRPr="00F07275">
        <w:rPr>
          <w:rFonts w:ascii="Arial" w:hint="eastAsia"/>
          <w:rtl/>
        </w:rPr>
        <w:t>קיברנטית</w:t>
      </w:r>
      <w:r w:rsidR="00934011" w:rsidRPr="00F07275">
        <w:rPr>
          <w:rFonts w:ascii="Arial"/>
          <w:rtl/>
        </w:rPr>
        <w:t xml:space="preserve">, </w:t>
      </w:r>
      <w:r w:rsidR="00934011" w:rsidRPr="00F07275">
        <w:rPr>
          <w:rFonts w:ascii="Arial" w:hint="eastAsia"/>
          <w:rtl/>
        </w:rPr>
        <w:t>מלחמה</w:t>
      </w:r>
      <w:r w:rsidR="00934011" w:rsidRPr="00F07275">
        <w:rPr>
          <w:rFonts w:ascii="Arial"/>
          <w:rtl/>
        </w:rPr>
        <w:t xml:space="preserve">, </w:t>
      </w:r>
      <w:r w:rsidR="00934011" w:rsidRPr="00F07275">
        <w:rPr>
          <w:rFonts w:ascii="Arial" w:hint="eastAsia"/>
          <w:rtl/>
        </w:rPr>
        <w:t>רעידת</w:t>
      </w:r>
      <w:r w:rsidR="00934011" w:rsidRPr="00F07275">
        <w:rPr>
          <w:rFonts w:ascii="Arial"/>
          <w:rtl/>
        </w:rPr>
        <w:t xml:space="preserve"> </w:t>
      </w:r>
      <w:r w:rsidR="00934011" w:rsidRPr="00F07275">
        <w:rPr>
          <w:rFonts w:ascii="Arial" w:hint="eastAsia"/>
          <w:rtl/>
        </w:rPr>
        <w:t>אדמה</w:t>
      </w:r>
      <w:r w:rsidR="00934011">
        <w:rPr>
          <w:rFonts w:ascii="Arial" w:hint="cs"/>
          <w:rtl/>
        </w:rPr>
        <w:t>, פגעי מזג אוויר</w:t>
      </w:r>
      <w:r w:rsidR="00934011" w:rsidRPr="00F07275">
        <w:rPr>
          <w:rFonts w:ascii="Arial"/>
          <w:rtl/>
        </w:rPr>
        <w:t xml:space="preserve"> ומגפה.</w:t>
      </w:r>
      <w:r w:rsidR="00934011">
        <w:rPr>
          <w:rFonts w:ascii="Arial Unicode MS" w:eastAsia="Arial Unicode MS" w:hAnsi="Arial Unicode MS" w:cs="Arial Unicode MS" w:hint="eastAsia"/>
          <w:rtl/>
        </w:rPr>
        <w:t xml:space="preserve"> </w:t>
      </w:r>
    </w:p>
    <w:p w:rsidR="00F90DCD" w:rsidRPr="00A23320" w:rsidRDefault="00934011" w:rsidP="00470E9F">
      <w:pPr>
        <w:spacing w:before="120" w:line="360" w:lineRule="auto"/>
        <w:jc w:val="both"/>
        <w:rPr>
          <w:rFonts w:ascii="Arial" w:hAnsi="Arial" w:cs="David"/>
          <w:rtl/>
        </w:rPr>
      </w:pPr>
      <w:r>
        <w:rPr>
          <w:rFonts w:ascii="Arial" w:hAnsi="Arial" w:cs="David" w:hint="cs"/>
          <w:rtl/>
        </w:rPr>
        <w:t xml:space="preserve">עם אישור התב"ע לקריית הממשלה, הבשיל הפרויקט </w:t>
      </w:r>
      <w:r w:rsidRPr="00A23320">
        <w:rPr>
          <w:rFonts w:ascii="Arial" w:hAnsi="Arial" w:cs="David" w:hint="cs"/>
          <w:rtl/>
        </w:rPr>
        <w:t xml:space="preserve">להקמתו של מרכז טכנולוגי וחירום </w:t>
      </w:r>
      <w:r w:rsidR="00FD4B69">
        <w:rPr>
          <w:rFonts w:ascii="Arial" w:hAnsi="Arial" w:cs="David" w:hint="cs"/>
          <w:rtl/>
        </w:rPr>
        <w:t xml:space="preserve">ממוגן </w:t>
      </w:r>
      <w:r>
        <w:rPr>
          <w:rFonts w:ascii="Arial" w:hAnsi="Arial" w:cs="David" w:hint="cs"/>
          <w:rtl/>
        </w:rPr>
        <w:t xml:space="preserve">במטרה </w:t>
      </w:r>
      <w:r w:rsidRPr="00A23320">
        <w:rPr>
          <w:rFonts w:ascii="Arial" w:hAnsi="Arial" w:cs="David" w:hint="cs"/>
          <w:rtl/>
        </w:rPr>
        <w:t>להבטיח רציפות תפקודית של המערכות הטכנולוגיות ושל שרשרת האנרגיה של הבנק, בשגרה ובחירום.</w:t>
      </w:r>
      <w:r>
        <w:rPr>
          <w:rFonts w:ascii="Arial" w:hAnsi="Arial" w:cs="David" w:hint="cs"/>
          <w:rtl/>
        </w:rPr>
        <w:t xml:space="preserve"> </w:t>
      </w:r>
      <w:r w:rsidR="008D70A4">
        <w:rPr>
          <w:rFonts w:ascii="Arial" w:hAnsi="Arial" w:cs="David" w:hint="cs"/>
          <w:rtl/>
        </w:rPr>
        <w:t>לאור זאת</w:t>
      </w:r>
      <w:r w:rsidR="00F90DCD">
        <w:rPr>
          <w:rFonts w:ascii="Arial" w:hAnsi="Arial" w:cs="David" w:hint="cs"/>
          <w:rtl/>
        </w:rPr>
        <w:t xml:space="preserve">, </w:t>
      </w:r>
      <w:r w:rsidR="00F90DCD" w:rsidRPr="00A23320">
        <w:rPr>
          <w:rFonts w:ascii="Arial" w:hAnsi="Arial" w:cs="David" w:hint="cs"/>
          <w:rtl/>
        </w:rPr>
        <w:t xml:space="preserve">אישרה המועצה המנהלית </w:t>
      </w:r>
      <w:r w:rsidR="00F90DCD">
        <w:rPr>
          <w:rFonts w:ascii="Arial" w:hAnsi="Arial" w:cs="David" w:hint="cs"/>
          <w:rtl/>
        </w:rPr>
        <w:t xml:space="preserve">בדצמבר 2013 </w:t>
      </w:r>
      <w:r w:rsidR="00F90DCD" w:rsidRPr="00A23320">
        <w:rPr>
          <w:rFonts w:ascii="Arial" w:hAnsi="Arial" w:cs="David" w:hint="cs"/>
          <w:rtl/>
        </w:rPr>
        <w:t xml:space="preserve">תקציב </w:t>
      </w:r>
      <w:r>
        <w:rPr>
          <w:rFonts w:ascii="Arial" w:hAnsi="Arial" w:cs="David" w:hint="cs"/>
          <w:rtl/>
        </w:rPr>
        <w:t xml:space="preserve">לבניית המרכז בסכום של </w:t>
      </w:r>
      <w:r w:rsidR="00FC0060">
        <w:rPr>
          <w:rFonts w:ascii="Arial" w:hAnsi="Arial" w:cs="David" w:hint="cs"/>
          <w:rtl/>
        </w:rPr>
        <w:t xml:space="preserve">1.5 מיליון ₪ </w:t>
      </w:r>
      <w:r>
        <w:rPr>
          <w:rFonts w:ascii="Arial" w:hAnsi="Arial" w:cs="David" w:hint="cs"/>
          <w:rtl/>
        </w:rPr>
        <w:t>לשנת 2014 ו</w:t>
      </w:r>
      <w:r w:rsidR="00FC0060">
        <w:rPr>
          <w:rFonts w:ascii="Arial" w:hAnsi="Arial" w:cs="David" w:hint="cs"/>
          <w:rtl/>
        </w:rPr>
        <w:t>הרשאה להתחייב בסך 72.5 מיליון ₪ בפריסה על פני 4 שנים נוספות</w:t>
      </w:r>
      <w:r w:rsidR="00EF3075">
        <w:rPr>
          <w:rFonts w:ascii="Arial" w:hAnsi="Arial" w:cs="David" w:hint="cs"/>
          <w:rtl/>
        </w:rPr>
        <w:t>.</w:t>
      </w:r>
      <w:r w:rsidR="00276DEE">
        <w:rPr>
          <w:rFonts w:ascii="Arial" w:hAnsi="Arial" w:cs="David" w:hint="cs"/>
          <w:rtl/>
        </w:rPr>
        <w:t xml:space="preserve"> </w:t>
      </w:r>
    </w:p>
    <w:p w:rsidR="00BB3A48" w:rsidRDefault="00BB3A48" w:rsidP="00A23320">
      <w:pPr>
        <w:spacing w:before="120" w:line="360" w:lineRule="auto"/>
        <w:jc w:val="both"/>
        <w:rPr>
          <w:rFonts w:ascii="Arial" w:hAnsi="Arial" w:cs="David"/>
          <w:rtl/>
        </w:rPr>
      </w:pPr>
    </w:p>
    <w:p w:rsidR="007D3BC8" w:rsidRPr="008D70A4" w:rsidRDefault="008D70A4" w:rsidP="008D70A4">
      <w:pPr>
        <w:jc w:val="center"/>
        <w:rPr>
          <w:rFonts w:ascii="Arial" w:hAnsi="Arial" w:cs="David"/>
          <w:u w:val="single"/>
          <w:rtl/>
        </w:rPr>
      </w:pPr>
      <w:r w:rsidRPr="008D70A4">
        <w:rPr>
          <w:rFonts w:ascii="Arial" w:hAnsi="Arial" w:cs="David" w:hint="cs"/>
          <w:sz w:val="22"/>
          <w:szCs w:val="22"/>
          <w:rtl/>
        </w:rPr>
        <w:t>לוח א':</w:t>
      </w:r>
      <w:r>
        <w:rPr>
          <w:rFonts w:ascii="Arial" w:hAnsi="Arial" w:cs="David" w:hint="cs"/>
          <w:rtl/>
        </w:rPr>
        <w:t xml:space="preserve"> </w:t>
      </w:r>
      <w:r w:rsidR="00194DDA" w:rsidRPr="009B20E8">
        <w:rPr>
          <w:rFonts w:ascii="Arial" w:hAnsi="Arial" w:cs="David" w:hint="cs"/>
          <w:b/>
          <w:bCs/>
          <w:sz w:val="26"/>
          <w:szCs w:val="26"/>
          <w:u w:val="single"/>
          <w:rtl/>
        </w:rPr>
        <w:t>תקציב בנק ישראל לשנת</w:t>
      </w:r>
      <w:r w:rsidR="003D0853" w:rsidRPr="009B20E8">
        <w:rPr>
          <w:rFonts w:ascii="Arial" w:hAnsi="Arial" w:cs="David" w:hint="cs"/>
          <w:b/>
          <w:bCs/>
          <w:sz w:val="26"/>
          <w:szCs w:val="26"/>
          <w:u w:val="single"/>
          <w:rtl/>
        </w:rPr>
        <w:t xml:space="preserve"> 2014</w:t>
      </w:r>
    </w:p>
    <w:p w:rsidR="008F6845" w:rsidRDefault="007D3BC8" w:rsidP="009B20E8">
      <w:pPr>
        <w:ind w:firstLine="720"/>
        <w:jc w:val="center"/>
        <w:rPr>
          <w:rFonts w:ascii="Arial" w:hAnsi="Arial" w:cs="David"/>
          <w:sz w:val="18"/>
          <w:szCs w:val="18"/>
          <w:rtl/>
        </w:rPr>
      </w:pPr>
      <w:r w:rsidRPr="008D70A4">
        <w:rPr>
          <w:rFonts w:ascii="Arial" w:hAnsi="Arial" w:cs="David" w:hint="cs"/>
          <w:sz w:val="18"/>
          <w:szCs w:val="18"/>
          <w:rtl/>
        </w:rPr>
        <w:t>(נתונים כספיים מוצגים באלפי שקלים חדשים)</w:t>
      </w:r>
    </w:p>
    <w:p w:rsidR="008D70A4" w:rsidRPr="008D70A4" w:rsidRDefault="008D70A4" w:rsidP="008D70A4">
      <w:pPr>
        <w:spacing w:line="360" w:lineRule="auto"/>
        <w:jc w:val="center"/>
        <w:rPr>
          <w:rFonts w:ascii="Arial" w:hAnsi="Arial" w:cs="David"/>
          <w:sz w:val="18"/>
          <w:szCs w:val="18"/>
          <w:rtl/>
        </w:rPr>
      </w:pPr>
    </w:p>
    <w:tbl>
      <w:tblPr>
        <w:bidiVisual/>
        <w:tblW w:w="9224" w:type="dxa"/>
        <w:tblBorders>
          <w:top w:val="thinThickSmallGap" w:sz="18" w:space="0" w:color="00B0F0"/>
          <w:left w:val="thinThickSmallGap" w:sz="18" w:space="0" w:color="00B0F0"/>
          <w:bottom w:val="thinThickSmallGap" w:sz="18" w:space="0" w:color="00B0F0"/>
          <w:right w:val="thinThickSmallGap" w:sz="18" w:space="0" w:color="00B0F0"/>
          <w:insideH w:val="single" w:sz="4" w:space="0" w:color="00B0F0"/>
          <w:insideV w:val="single" w:sz="4" w:space="0" w:color="00B0F0"/>
        </w:tblBorders>
        <w:tblLook w:val="01E0" w:firstRow="1" w:lastRow="1" w:firstColumn="1" w:lastColumn="1" w:noHBand="0" w:noVBand="0"/>
      </w:tblPr>
      <w:tblGrid>
        <w:gridCol w:w="468"/>
        <w:gridCol w:w="2314"/>
        <w:gridCol w:w="1255"/>
        <w:gridCol w:w="1078"/>
        <w:gridCol w:w="1095"/>
        <w:gridCol w:w="782"/>
        <w:gridCol w:w="1083"/>
        <w:gridCol w:w="1149"/>
      </w:tblGrid>
      <w:tr w:rsidR="003D0853" w:rsidRPr="00646718" w:rsidTr="0009369D">
        <w:tc>
          <w:tcPr>
            <w:tcW w:w="2782" w:type="dxa"/>
            <w:gridSpan w:val="2"/>
            <w:vMerge w:val="restart"/>
            <w:shd w:val="clear" w:color="auto" w:fill="auto"/>
          </w:tcPr>
          <w:p w:rsidR="003D0853" w:rsidRPr="0009369D" w:rsidRDefault="003D0853" w:rsidP="00470E9F">
            <w:pPr>
              <w:jc w:val="both"/>
              <w:rPr>
                <w:rFonts w:ascii="Arial" w:hAnsi="Arial" w:cs="Arial"/>
                <w:b/>
                <w:bCs/>
                <w:rtl/>
              </w:rPr>
            </w:pPr>
          </w:p>
        </w:tc>
        <w:tc>
          <w:tcPr>
            <w:tcW w:w="4210" w:type="dxa"/>
            <w:gridSpan w:val="4"/>
            <w:shd w:val="clear" w:color="auto" w:fill="auto"/>
          </w:tcPr>
          <w:p w:rsidR="003D0853" w:rsidRPr="00470E9F" w:rsidRDefault="003D0853" w:rsidP="00470E9F">
            <w:pPr>
              <w:pStyle w:val="3"/>
              <w:spacing w:before="0" w:line="240" w:lineRule="auto"/>
              <w:jc w:val="center"/>
              <w:rPr>
                <w:rFonts w:cs="Arial"/>
                <w:color w:val="00B0F0"/>
                <w:sz w:val="22"/>
                <w:szCs w:val="22"/>
                <w:rtl/>
              </w:rPr>
            </w:pPr>
            <w:r w:rsidRPr="00470E9F">
              <w:rPr>
                <w:rFonts w:cs="Arial"/>
                <w:color w:val="00B0F0"/>
                <w:sz w:val="22"/>
                <w:szCs w:val="22"/>
              </w:rPr>
              <w:t>2014</w:t>
            </w:r>
          </w:p>
        </w:tc>
        <w:tc>
          <w:tcPr>
            <w:tcW w:w="1083" w:type="dxa"/>
            <w:vMerge w:val="restart"/>
            <w:shd w:val="clear" w:color="auto" w:fill="auto"/>
          </w:tcPr>
          <w:p w:rsidR="003D0853" w:rsidRPr="00470E9F" w:rsidRDefault="003D0853" w:rsidP="00470E9F">
            <w:pPr>
              <w:pStyle w:val="3"/>
              <w:spacing w:before="0" w:line="240" w:lineRule="auto"/>
              <w:rPr>
                <w:rFonts w:cs="Arial"/>
                <w:color w:val="00B0F0"/>
                <w:sz w:val="22"/>
                <w:szCs w:val="22"/>
                <w:rtl/>
              </w:rPr>
            </w:pPr>
          </w:p>
          <w:p w:rsidR="003D0853" w:rsidRPr="00470E9F" w:rsidRDefault="003D0853" w:rsidP="00470E9F">
            <w:pPr>
              <w:pStyle w:val="3"/>
              <w:spacing w:before="0" w:line="240" w:lineRule="auto"/>
              <w:rPr>
                <w:rFonts w:cs="Arial"/>
                <w:color w:val="00B0F0"/>
                <w:sz w:val="22"/>
                <w:szCs w:val="22"/>
                <w:rtl/>
              </w:rPr>
            </w:pPr>
            <w:r w:rsidRPr="00470E9F">
              <w:rPr>
                <w:rFonts w:cs="Arial"/>
                <w:color w:val="00B0F0"/>
                <w:sz w:val="22"/>
                <w:szCs w:val="22"/>
                <w:rtl/>
              </w:rPr>
              <w:t>תקציב</w:t>
            </w:r>
          </w:p>
          <w:p w:rsidR="003D0853" w:rsidRPr="00470E9F" w:rsidRDefault="003D0853" w:rsidP="00470E9F">
            <w:pPr>
              <w:pStyle w:val="3"/>
              <w:spacing w:before="0" w:line="240" w:lineRule="auto"/>
              <w:rPr>
                <w:rFonts w:cs="Arial"/>
                <w:color w:val="00B0F0"/>
                <w:sz w:val="22"/>
                <w:szCs w:val="22"/>
                <w:rtl/>
              </w:rPr>
            </w:pPr>
            <w:r w:rsidRPr="00470E9F">
              <w:rPr>
                <w:rFonts w:cs="Arial" w:hint="cs"/>
                <w:color w:val="00B0F0"/>
                <w:sz w:val="22"/>
                <w:szCs w:val="22"/>
                <w:rtl/>
              </w:rPr>
              <w:t>2013</w:t>
            </w:r>
          </w:p>
        </w:tc>
        <w:tc>
          <w:tcPr>
            <w:tcW w:w="1149" w:type="dxa"/>
            <w:vMerge w:val="restart"/>
            <w:shd w:val="clear" w:color="auto" w:fill="auto"/>
          </w:tcPr>
          <w:p w:rsidR="003D0853" w:rsidRPr="00470E9F" w:rsidRDefault="003D0853" w:rsidP="00470E9F">
            <w:pPr>
              <w:pStyle w:val="3"/>
              <w:spacing w:before="0" w:line="240" w:lineRule="auto"/>
              <w:rPr>
                <w:rFonts w:cs="Arial"/>
                <w:color w:val="00B0F0"/>
                <w:sz w:val="22"/>
                <w:szCs w:val="22"/>
                <w:rtl/>
              </w:rPr>
            </w:pPr>
            <w:r w:rsidRPr="00470E9F">
              <w:rPr>
                <w:rFonts w:cs="Arial"/>
                <w:color w:val="00B0F0"/>
                <w:sz w:val="22"/>
                <w:szCs w:val="22"/>
                <w:rtl/>
              </w:rPr>
              <w:t>ביצוע התקציב בשנת 201</w:t>
            </w:r>
            <w:r w:rsidRPr="00470E9F">
              <w:rPr>
                <w:rFonts w:cs="Arial" w:hint="cs"/>
                <w:color w:val="00B0F0"/>
                <w:sz w:val="22"/>
                <w:szCs w:val="22"/>
                <w:rtl/>
              </w:rPr>
              <w:t>2</w:t>
            </w:r>
          </w:p>
        </w:tc>
      </w:tr>
      <w:tr w:rsidR="003D0853" w:rsidRPr="00646718" w:rsidTr="0009369D">
        <w:tc>
          <w:tcPr>
            <w:tcW w:w="2782" w:type="dxa"/>
            <w:gridSpan w:val="2"/>
            <w:vMerge/>
            <w:shd w:val="clear" w:color="auto" w:fill="auto"/>
          </w:tcPr>
          <w:p w:rsidR="003D0853" w:rsidRPr="0009369D" w:rsidRDefault="003D0853" w:rsidP="00470E9F">
            <w:pPr>
              <w:jc w:val="both"/>
              <w:rPr>
                <w:rFonts w:ascii="Arial" w:hAnsi="Arial" w:cs="Arial"/>
                <w:b/>
                <w:bCs/>
                <w:rtl/>
              </w:rPr>
            </w:pPr>
          </w:p>
        </w:tc>
        <w:tc>
          <w:tcPr>
            <w:tcW w:w="1255" w:type="dxa"/>
            <w:shd w:val="clear" w:color="auto" w:fill="auto"/>
          </w:tcPr>
          <w:p w:rsidR="003D0853" w:rsidRPr="00470E9F" w:rsidRDefault="003D0853" w:rsidP="00470E9F">
            <w:pPr>
              <w:pStyle w:val="3"/>
              <w:spacing w:before="0" w:line="240" w:lineRule="auto"/>
              <w:rPr>
                <w:rFonts w:cs="Arial"/>
                <w:color w:val="00B0F0"/>
                <w:sz w:val="22"/>
                <w:szCs w:val="22"/>
                <w:rtl/>
              </w:rPr>
            </w:pPr>
            <w:r w:rsidRPr="00470E9F">
              <w:rPr>
                <w:rFonts w:cs="Arial"/>
                <w:color w:val="00B0F0"/>
                <w:sz w:val="22"/>
                <w:szCs w:val="22"/>
                <w:rtl/>
              </w:rPr>
              <w:t>התקציב</w:t>
            </w:r>
          </w:p>
        </w:tc>
        <w:tc>
          <w:tcPr>
            <w:tcW w:w="1078" w:type="dxa"/>
            <w:shd w:val="clear" w:color="auto" w:fill="auto"/>
          </w:tcPr>
          <w:p w:rsidR="003D0853" w:rsidRPr="00470E9F" w:rsidRDefault="003D0853" w:rsidP="00470E9F">
            <w:pPr>
              <w:pStyle w:val="3"/>
              <w:spacing w:before="0" w:line="240" w:lineRule="auto"/>
              <w:rPr>
                <w:rFonts w:cs="Arial"/>
                <w:color w:val="00B0F0"/>
                <w:sz w:val="22"/>
                <w:szCs w:val="22"/>
                <w:rtl/>
              </w:rPr>
            </w:pPr>
            <w:r w:rsidRPr="00470E9F">
              <w:rPr>
                <w:rFonts w:cs="Arial"/>
                <w:color w:val="00B0F0"/>
                <w:sz w:val="22"/>
                <w:szCs w:val="22"/>
                <w:rtl/>
              </w:rPr>
              <w:t xml:space="preserve">העברות משנת </w:t>
            </w:r>
            <w:r w:rsidRPr="00470E9F">
              <w:rPr>
                <w:rFonts w:cs="Arial" w:hint="cs"/>
                <w:color w:val="00B0F0"/>
                <w:sz w:val="22"/>
                <w:szCs w:val="22"/>
                <w:rtl/>
              </w:rPr>
              <w:t>2013</w:t>
            </w:r>
          </w:p>
        </w:tc>
        <w:tc>
          <w:tcPr>
            <w:tcW w:w="1095" w:type="dxa"/>
            <w:shd w:val="clear" w:color="auto" w:fill="auto"/>
          </w:tcPr>
          <w:p w:rsidR="003D0853" w:rsidRPr="00470E9F" w:rsidRDefault="003D0853" w:rsidP="00470E9F">
            <w:pPr>
              <w:pStyle w:val="3"/>
              <w:spacing w:before="0" w:line="240" w:lineRule="auto"/>
              <w:rPr>
                <w:rFonts w:cs="Arial"/>
                <w:color w:val="00B0F0"/>
                <w:sz w:val="22"/>
                <w:szCs w:val="22"/>
                <w:rtl/>
              </w:rPr>
            </w:pPr>
            <w:r w:rsidRPr="00470E9F">
              <w:rPr>
                <w:rFonts w:cs="Arial"/>
                <w:color w:val="00B0F0"/>
                <w:sz w:val="22"/>
                <w:szCs w:val="22"/>
                <w:rtl/>
              </w:rPr>
              <w:t>ההרשאה להתחייב</w:t>
            </w:r>
          </w:p>
          <w:p w:rsidR="003D0853" w:rsidRPr="00470E9F" w:rsidRDefault="003D0853" w:rsidP="00470E9F">
            <w:pPr>
              <w:pStyle w:val="3"/>
              <w:spacing w:before="0" w:line="240" w:lineRule="auto"/>
              <w:rPr>
                <w:rFonts w:cs="Arial"/>
                <w:color w:val="00B0F0"/>
                <w:sz w:val="22"/>
                <w:szCs w:val="22"/>
                <w:rtl/>
              </w:rPr>
            </w:pPr>
          </w:p>
        </w:tc>
        <w:tc>
          <w:tcPr>
            <w:tcW w:w="782" w:type="dxa"/>
            <w:shd w:val="clear" w:color="auto" w:fill="auto"/>
          </w:tcPr>
          <w:p w:rsidR="003D0853" w:rsidRPr="00470E9F" w:rsidRDefault="003D0853" w:rsidP="00470E9F">
            <w:pPr>
              <w:pStyle w:val="3"/>
              <w:spacing w:before="0" w:line="240" w:lineRule="auto"/>
              <w:rPr>
                <w:rFonts w:cs="Arial"/>
                <w:color w:val="00B0F0"/>
                <w:sz w:val="22"/>
                <w:szCs w:val="22"/>
                <w:rtl/>
              </w:rPr>
            </w:pPr>
            <w:r w:rsidRPr="00470E9F">
              <w:rPr>
                <w:rFonts w:cs="Arial"/>
                <w:color w:val="00B0F0"/>
                <w:sz w:val="22"/>
                <w:szCs w:val="22"/>
                <w:rtl/>
              </w:rPr>
              <w:t>שיא כוח האדם</w:t>
            </w:r>
          </w:p>
        </w:tc>
        <w:tc>
          <w:tcPr>
            <w:tcW w:w="1083" w:type="dxa"/>
            <w:vMerge/>
            <w:shd w:val="clear" w:color="auto" w:fill="auto"/>
          </w:tcPr>
          <w:p w:rsidR="003D0853" w:rsidRPr="00470E9F" w:rsidRDefault="003D0853" w:rsidP="00470E9F">
            <w:pPr>
              <w:jc w:val="both"/>
              <w:rPr>
                <w:rFonts w:ascii="Arial" w:hAnsi="Arial" w:cs="Arial"/>
                <w:b/>
                <w:bCs/>
                <w:color w:val="00B0F0"/>
                <w:sz w:val="22"/>
                <w:szCs w:val="22"/>
                <w:rtl/>
              </w:rPr>
            </w:pPr>
          </w:p>
        </w:tc>
        <w:tc>
          <w:tcPr>
            <w:tcW w:w="1149" w:type="dxa"/>
            <w:vMerge/>
            <w:shd w:val="clear" w:color="auto" w:fill="auto"/>
          </w:tcPr>
          <w:p w:rsidR="003D0853" w:rsidRPr="00470E9F" w:rsidRDefault="003D0853" w:rsidP="00470E9F">
            <w:pPr>
              <w:jc w:val="both"/>
              <w:rPr>
                <w:rFonts w:ascii="Arial" w:hAnsi="Arial" w:cs="Arial"/>
                <w:b/>
                <w:bCs/>
                <w:color w:val="00B0F0"/>
                <w:sz w:val="22"/>
                <w:szCs w:val="22"/>
                <w:rtl/>
              </w:rPr>
            </w:pPr>
          </w:p>
        </w:tc>
      </w:tr>
      <w:tr w:rsidR="003D0853" w:rsidRPr="00646718" w:rsidTr="0009369D">
        <w:tc>
          <w:tcPr>
            <w:tcW w:w="2782" w:type="dxa"/>
            <w:gridSpan w:val="2"/>
            <w:shd w:val="clear" w:color="auto" w:fill="auto"/>
          </w:tcPr>
          <w:p w:rsidR="003D0853" w:rsidRPr="0009369D" w:rsidRDefault="003D0853" w:rsidP="00470E9F">
            <w:pPr>
              <w:jc w:val="both"/>
              <w:rPr>
                <w:rFonts w:ascii="Arial" w:hAnsi="Arial" w:cs="Arial"/>
                <w:b/>
                <w:bCs/>
                <w:sz w:val="22"/>
                <w:szCs w:val="22"/>
                <w:rtl/>
              </w:rPr>
            </w:pPr>
          </w:p>
          <w:p w:rsidR="003D0853" w:rsidRPr="0009369D" w:rsidRDefault="003D0853" w:rsidP="00470E9F">
            <w:pPr>
              <w:jc w:val="both"/>
              <w:rPr>
                <w:rFonts w:ascii="Arial" w:hAnsi="Arial" w:cs="Arial"/>
                <w:b/>
                <w:bCs/>
                <w:sz w:val="22"/>
                <w:szCs w:val="22"/>
                <w:rtl/>
              </w:rPr>
            </w:pPr>
            <w:r w:rsidRPr="0009369D">
              <w:rPr>
                <w:rFonts w:ascii="Arial" w:hAnsi="Arial" w:cs="Arial"/>
                <w:b/>
                <w:bCs/>
                <w:sz w:val="22"/>
                <w:szCs w:val="22"/>
                <w:rtl/>
              </w:rPr>
              <w:t>בנק ישראל</w:t>
            </w:r>
          </w:p>
        </w:tc>
        <w:tc>
          <w:tcPr>
            <w:tcW w:w="1255" w:type="dxa"/>
            <w:shd w:val="clear" w:color="auto" w:fill="auto"/>
            <w:vAlign w:val="bottom"/>
          </w:tcPr>
          <w:p w:rsidR="003D0853" w:rsidRPr="0009369D" w:rsidRDefault="003D0853" w:rsidP="00470E9F">
            <w:pPr>
              <w:jc w:val="both"/>
              <w:rPr>
                <w:rFonts w:ascii="Arial" w:hAnsi="Arial" w:cs="Arial"/>
                <w:b/>
                <w:bCs/>
                <w:sz w:val="22"/>
                <w:szCs w:val="22"/>
                <w:rtl/>
              </w:rPr>
            </w:pPr>
            <w:r w:rsidRPr="0009369D">
              <w:rPr>
                <w:rFonts w:ascii="Arial" w:hAnsi="Arial" w:cs="Arial" w:hint="cs"/>
                <w:b/>
                <w:bCs/>
                <w:sz w:val="22"/>
                <w:szCs w:val="22"/>
                <w:rtl/>
              </w:rPr>
              <w:t>939,325</w:t>
            </w:r>
          </w:p>
        </w:tc>
        <w:tc>
          <w:tcPr>
            <w:tcW w:w="1078" w:type="dxa"/>
            <w:shd w:val="clear" w:color="auto" w:fill="auto"/>
            <w:vAlign w:val="bottom"/>
          </w:tcPr>
          <w:p w:rsidR="003D0853" w:rsidRPr="0009369D" w:rsidRDefault="003D0853" w:rsidP="00470E9F">
            <w:pPr>
              <w:jc w:val="both"/>
              <w:rPr>
                <w:rFonts w:ascii="Arial" w:hAnsi="Arial" w:cs="Arial"/>
                <w:b/>
                <w:bCs/>
                <w:color w:val="FF0000"/>
                <w:sz w:val="22"/>
                <w:szCs w:val="22"/>
              </w:rPr>
            </w:pPr>
            <w:r w:rsidRPr="0009369D">
              <w:rPr>
                <w:rFonts w:ascii="Arial" w:hAnsi="Arial" w:cs="Arial" w:hint="cs"/>
                <w:b/>
                <w:bCs/>
                <w:sz w:val="22"/>
                <w:szCs w:val="22"/>
                <w:rtl/>
              </w:rPr>
              <w:t>65,807</w:t>
            </w:r>
          </w:p>
        </w:tc>
        <w:tc>
          <w:tcPr>
            <w:tcW w:w="1095" w:type="dxa"/>
            <w:shd w:val="clear" w:color="auto" w:fill="auto"/>
            <w:vAlign w:val="bottom"/>
          </w:tcPr>
          <w:p w:rsidR="003D0853" w:rsidRPr="0009369D" w:rsidRDefault="003D0853" w:rsidP="00470E9F">
            <w:pPr>
              <w:jc w:val="both"/>
              <w:rPr>
                <w:rFonts w:ascii="Arial" w:hAnsi="Arial" w:cs="Arial"/>
                <w:b/>
                <w:bCs/>
                <w:sz w:val="22"/>
                <w:szCs w:val="22"/>
                <w:rtl/>
              </w:rPr>
            </w:pPr>
            <w:r w:rsidRPr="0009369D">
              <w:rPr>
                <w:rFonts w:ascii="Arial" w:hAnsi="Arial" w:cs="Arial" w:hint="cs"/>
                <w:b/>
                <w:bCs/>
                <w:sz w:val="22"/>
                <w:szCs w:val="22"/>
                <w:rtl/>
              </w:rPr>
              <w:t>644,814</w:t>
            </w:r>
          </w:p>
        </w:tc>
        <w:tc>
          <w:tcPr>
            <w:tcW w:w="782" w:type="dxa"/>
            <w:shd w:val="clear" w:color="auto" w:fill="auto"/>
            <w:vAlign w:val="bottom"/>
          </w:tcPr>
          <w:p w:rsidR="003D0853" w:rsidRPr="0009369D" w:rsidRDefault="003D0853" w:rsidP="00470E9F">
            <w:pPr>
              <w:jc w:val="both"/>
              <w:rPr>
                <w:rFonts w:ascii="Arial" w:hAnsi="Arial" w:cs="Arial"/>
                <w:b/>
                <w:bCs/>
                <w:sz w:val="22"/>
                <w:szCs w:val="22"/>
              </w:rPr>
            </w:pPr>
            <w:r w:rsidRPr="0009369D">
              <w:rPr>
                <w:rFonts w:ascii="Arial" w:hAnsi="Arial" w:cs="Arial" w:hint="cs"/>
                <w:b/>
                <w:bCs/>
                <w:sz w:val="22"/>
                <w:szCs w:val="22"/>
                <w:rtl/>
              </w:rPr>
              <w:t>745</w:t>
            </w:r>
          </w:p>
        </w:tc>
        <w:tc>
          <w:tcPr>
            <w:tcW w:w="1083" w:type="dxa"/>
            <w:shd w:val="clear" w:color="auto" w:fill="auto"/>
            <w:vAlign w:val="bottom"/>
          </w:tcPr>
          <w:p w:rsidR="003D0853" w:rsidRPr="0009369D" w:rsidRDefault="003D0853" w:rsidP="00470E9F">
            <w:pPr>
              <w:jc w:val="both"/>
              <w:rPr>
                <w:rFonts w:ascii="Arial" w:hAnsi="Arial" w:cs="Arial"/>
                <w:b/>
                <w:bCs/>
                <w:sz w:val="22"/>
                <w:szCs w:val="22"/>
              </w:rPr>
            </w:pPr>
            <w:r w:rsidRPr="0009369D">
              <w:rPr>
                <w:rFonts w:ascii="Arial" w:hAnsi="Arial" w:cs="Arial" w:hint="cs"/>
                <w:b/>
                <w:bCs/>
                <w:sz w:val="22"/>
                <w:szCs w:val="22"/>
                <w:rtl/>
              </w:rPr>
              <w:t>881,829</w:t>
            </w:r>
          </w:p>
        </w:tc>
        <w:tc>
          <w:tcPr>
            <w:tcW w:w="1149" w:type="dxa"/>
            <w:shd w:val="clear" w:color="auto" w:fill="auto"/>
            <w:vAlign w:val="bottom"/>
          </w:tcPr>
          <w:p w:rsidR="003D0853" w:rsidRPr="0009369D" w:rsidRDefault="003D0853" w:rsidP="00470E9F">
            <w:pPr>
              <w:jc w:val="both"/>
              <w:rPr>
                <w:rFonts w:ascii="Arial" w:hAnsi="Arial" w:cs="Arial"/>
                <w:b/>
                <w:bCs/>
                <w:sz w:val="22"/>
                <w:szCs w:val="22"/>
              </w:rPr>
            </w:pPr>
            <w:r w:rsidRPr="0009369D">
              <w:rPr>
                <w:rFonts w:ascii="Arial" w:hAnsi="Arial" w:cs="Arial" w:hint="cs"/>
                <w:b/>
                <w:bCs/>
                <w:sz w:val="22"/>
                <w:szCs w:val="22"/>
                <w:rtl/>
              </w:rPr>
              <w:t>686,618</w:t>
            </w:r>
          </w:p>
        </w:tc>
      </w:tr>
      <w:tr w:rsidR="003D0853" w:rsidRPr="00646718" w:rsidTr="0009369D">
        <w:tc>
          <w:tcPr>
            <w:tcW w:w="468" w:type="dxa"/>
            <w:shd w:val="clear" w:color="auto" w:fill="auto"/>
          </w:tcPr>
          <w:p w:rsidR="003D0853" w:rsidRPr="0009369D" w:rsidRDefault="003D0853" w:rsidP="00470E9F">
            <w:pPr>
              <w:jc w:val="both"/>
              <w:rPr>
                <w:rFonts w:ascii="Arial" w:hAnsi="Arial" w:cs="Arial"/>
                <w:sz w:val="22"/>
                <w:szCs w:val="22"/>
                <w:rtl/>
              </w:rPr>
            </w:pPr>
          </w:p>
        </w:tc>
        <w:tc>
          <w:tcPr>
            <w:tcW w:w="2314" w:type="dxa"/>
            <w:shd w:val="clear" w:color="auto" w:fill="auto"/>
          </w:tcPr>
          <w:p w:rsidR="003D0853" w:rsidRPr="0009369D" w:rsidRDefault="003D0853" w:rsidP="00470E9F">
            <w:pPr>
              <w:jc w:val="both"/>
              <w:rPr>
                <w:rFonts w:ascii="Arial" w:hAnsi="Arial" w:cs="Arial"/>
                <w:b/>
                <w:bCs/>
                <w:sz w:val="22"/>
                <w:szCs w:val="22"/>
                <w:rtl/>
              </w:rPr>
            </w:pPr>
          </w:p>
          <w:p w:rsidR="003D0853" w:rsidRPr="0009369D" w:rsidRDefault="003D0853" w:rsidP="00470E9F">
            <w:pPr>
              <w:jc w:val="both"/>
              <w:rPr>
                <w:rFonts w:ascii="Arial" w:hAnsi="Arial" w:cs="Arial"/>
                <w:b/>
                <w:bCs/>
                <w:sz w:val="22"/>
                <w:szCs w:val="22"/>
                <w:rtl/>
              </w:rPr>
            </w:pPr>
            <w:r w:rsidRPr="0009369D">
              <w:rPr>
                <w:rFonts w:ascii="Arial" w:hAnsi="Arial" w:cs="Arial"/>
                <w:b/>
                <w:bCs/>
                <w:sz w:val="22"/>
                <w:szCs w:val="22"/>
                <w:rtl/>
              </w:rPr>
              <w:t>סה"כ ללא הדפסת כסף</w:t>
            </w:r>
          </w:p>
          <w:p w:rsidR="003D0853" w:rsidRPr="0009369D" w:rsidRDefault="003D0853" w:rsidP="00470E9F">
            <w:pPr>
              <w:jc w:val="both"/>
              <w:rPr>
                <w:rFonts w:ascii="Arial" w:hAnsi="Arial" w:cs="Arial"/>
                <w:sz w:val="22"/>
                <w:szCs w:val="22"/>
                <w:rtl/>
              </w:rPr>
            </w:pPr>
            <w:r w:rsidRPr="0009369D">
              <w:rPr>
                <w:rFonts w:ascii="Arial" w:hAnsi="Arial" w:cs="Arial"/>
                <w:sz w:val="22"/>
                <w:szCs w:val="22"/>
                <w:rtl/>
              </w:rPr>
              <w:t xml:space="preserve">= = = = = = = = = = = </w:t>
            </w:r>
          </w:p>
          <w:p w:rsidR="003D0853" w:rsidRPr="0009369D" w:rsidRDefault="003D0853" w:rsidP="00470E9F">
            <w:pPr>
              <w:jc w:val="both"/>
              <w:rPr>
                <w:rFonts w:ascii="Arial" w:hAnsi="Arial" w:cs="Arial"/>
                <w:b/>
                <w:bCs/>
                <w:sz w:val="22"/>
                <w:szCs w:val="22"/>
                <w:rtl/>
              </w:rPr>
            </w:pPr>
          </w:p>
        </w:tc>
        <w:tc>
          <w:tcPr>
            <w:tcW w:w="1255" w:type="dxa"/>
            <w:shd w:val="clear" w:color="auto" w:fill="auto"/>
          </w:tcPr>
          <w:p w:rsidR="003D0853" w:rsidRPr="0009369D" w:rsidRDefault="003D0853" w:rsidP="00470E9F">
            <w:pPr>
              <w:jc w:val="both"/>
              <w:rPr>
                <w:rFonts w:ascii="Arial" w:hAnsi="Arial" w:cs="Arial"/>
                <w:b/>
                <w:bCs/>
                <w:sz w:val="22"/>
                <w:szCs w:val="22"/>
                <w:rtl/>
              </w:rPr>
            </w:pPr>
          </w:p>
          <w:p w:rsidR="003D0853" w:rsidRPr="0009369D" w:rsidRDefault="003D0853" w:rsidP="00470E9F">
            <w:pPr>
              <w:jc w:val="both"/>
              <w:rPr>
                <w:rFonts w:ascii="Arial" w:hAnsi="Arial" w:cs="Arial"/>
                <w:b/>
                <w:bCs/>
                <w:sz w:val="22"/>
                <w:szCs w:val="22"/>
                <w:rtl/>
              </w:rPr>
            </w:pPr>
            <w:r w:rsidRPr="0009369D">
              <w:rPr>
                <w:rFonts w:ascii="Arial" w:hAnsi="Arial" w:cs="Arial" w:hint="cs"/>
                <w:b/>
                <w:bCs/>
                <w:sz w:val="22"/>
                <w:szCs w:val="22"/>
                <w:rtl/>
              </w:rPr>
              <w:t>850,019</w:t>
            </w:r>
          </w:p>
          <w:p w:rsidR="003D0853" w:rsidRPr="0009369D" w:rsidRDefault="003D0853" w:rsidP="00470E9F">
            <w:pPr>
              <w:jc w:val="both"/>
              <w:rPr>
                <w:rFonts w:ascii="Arial" w:hAnsi="Arial" w:cs="Arial"/>
                <w:sz w:val="22"/>
                <w:szCs w:val="22"/>
                <w:rtl/>
              </w:rPr>
            </w:pPr>
            <w:r w:rsidRPr="0009369D">
              <w:rPr>
                <w:rFonts w:ascii="Arial" w:hAnsi="Arial" w:cs="Arial"/>
                <w:sz w:val="22"/>
                <w:szCs w:val="22"/>
                <w:rtl/>
              </w:rPr>
              <w:t xml:space="preserve">= = = = = </w:t>
            </w:r>
          </w:p>
        </w:tc>
        <w:tc>
          <w:tcPr>
            <w:tcW w:w="1078" w:type="dxa"/>
            <w:shd w:val="clear" w:color="auto" w:fill="auto"/>
          </w:tcPr>
          <w:p w:rsidR="003D0853" w:rsidRPr="0009369D" w:rsidRDefault="003D0853" w:rsidP="00470E9F">
            <w:pPr>
              <w:jc w:val="both"/>
              <w:rPr>
                <w:rFonts w:ascii="Arial" w:hAnsi="Arial" w:cs="Arial"/>
                <w:b/>
                <w:bCs/>
                <w:sz w:val="22"/>
                <w:szCs w:val="22"/>
                <w:rtl/>
              </w:rPr>
            </w:pPr>
          </w:p>
          <w:p w:rsidR="003D0853" w:rsidRPr="0009369D" w:rsidRDefault="003D0853" w:rsidP="00470E9F">
            <w:pPr>
              <w:jc w:val="both"/>
              <w:rPr>
                <w:rFonts w:ascii="Arial" w:hAnsi="Arial" w:cs="Arial"/>
                <w:b/>
                <w:bCs/>
                <w:sz w:val="22"/>
                <w:szCs w:val="22"/>
                <w:rtl/>
              </w:rPr>
            </w:pPr>
            <w:r w:rsidRPr="0009369D">
              <w:rPr>
                <w:rFonts w:ascii="Arial" w:hAnsi="Arial" w:cs="Arial" w:hint="cs"/>
                <w:b/>
                <w:bCs/>
                <w:sz w:val="22"/>
                <w:szCs w:val="22"/>
                <w:rtl/>
              </w:rPr>
              <w:t>65,807</w:t>
            </w:r>
          </w:p>
          <w:p w:rsidR="003D0853" w:rsidRPr="0009369D" w:rsidRDefault="003D0853" w:rsidP="00470E9F">
            <w:pPr>
              <w:jc w:val="both"/>
              <w:rPr>
                <w:rFonts w:ascii="Arial" w:hAnsi="Arial" w:cs="Arial"/>
                <w:sz w:val="22"/>
                <w:szCs w:val="22"/>
                <w:rtl/>
              </w:rPr>
            </w:pPr>
            <w:r w:rsidRPr="0009369D">
              <w:rPr>
                <w:rFonts w:ascii="Arial" w:hAnsi="Arial" w:cs="Arial"/>
                <w:sz w:val="22"/>
                <w:szCs w:val="22"/>
                <w:rtl/>
              </w:rPr>
              <w:t xml:space="preserve">= = = = </w:t>
            </w:r>
          </w:p>
        </w:tc>
        <w:tc>
          <w:tcPr>
            <w:tcW w:w="1095" w:type="dxa"/>
            <w:shd w:val="clear" w:color="auto" w:fill="auto"/>
          </w:tcPr>
          <w:p w:rsidR="003D0853" w:rsidRPr="0009369D" w:rsidRDefault="003D0853" w:rsidP="00470E9F">
            <w:pPr>
              <w:jc w:val="both"/>
              <w:rPr>
                <w:rFonts w:ascii="Arial" w:hAnsi="Arial" w:cs="Arial"/>
                <w:b/>
                <w:bCs/>
                <w:sz w:val="22"/>
                <w:szCs w:val="22"/>
                <w:rtl/>
              </w:rPr>
            </w:pPr>
          </w:p>
          <w:p w:rsidR="003D0853" w:rsidRPr="0009369D" w:rsidRDefault="003D0853" w:rsidP="00470E9F">
            <w:pPr>
              <w:jc w:val="both"/>
              <w:rPr>
                <w:rFonts w:ascii="Arial" w:hAnsi="Arial" w:cs="Arial"/>
                <w:b/>
                <w:bCs/>
                <w:sz w:val="22"/>
                <w:szCs w:val="22"/>
                <w:rtl/>
              </w:rPr>
            </w:pPr>
            <w:r w:rsidRPr="0009369D">
              <w:rPr>
                <w:rFonts w:ascii="Arial" w:hAnsi="Arial" w:cs="Arial" w:hint="cs"/>
                <w:b/>
                <w:bCs/>
                <w:sz w:val="22"/>
                <w:szCs w:val="22"/>
                <w:rtl/>
              </w:rPr>
              <w:t>468,144</w:t>
            </w:r>
          </w:p>
          <w:p w:rsidR="003D0853" w:rsidRPr="0009369D" w:rsidRDefault="003D0853" w:rsidP="00470E9F">
            <w:pPr>
              <w:jc w:val="both"/>
              <w:rPr>
                <w:rFonts w:ascii="Arial" w:hAnsi="Arial" w:cs="Arial"/>
                <w:sz w:val="22"/>
                <w:szCs w:val="22"/>
                <w:rtl/>
              </w:rPr>
            </w:pPr>
            <w:r w:rsidRPr="0009369D">
              <w:rPr>
                <w:rFonts w:ascii="Arial" w:hAnsi="Arial" w:cs="Arial"/>
                <w:sz w:val="22"/>
                <w:szCs w:val="22"/>
                <w:rtl/>
              </w:rPr>
              <w:t>= = = =</w:t>
            </w:r>
          </w:p>
        </w:tc>
        <w:tc>
          <w:tcPr>
            <w:tcW w:w="782" w:type="dxa"/>
            <w:shd w:val="clear" w:color="auto" w:fill="auto"/>
          </w:tcPr>
          <w:p w:rsidR="003D0853" w:rsidRPr="0009369D" w:rsidRDefault="003D0853" w:rsidP="00470E9F">
            <w:pPr>
              <w:jc w:val="both"/>
              <w:rPr>
                <w:rFonts w:ascii="Arial" w:hAnsi="Arial" w:cs="Arial"/>
                <w:b/>
                <w:bCs/>
                <w:sz w:val="22"/>
                <w:szCs w:val="22"/>
                <w:rtl/>
              </w:rPr>
            </w:pPr>
          </w:p>
          <w:p w:rsidR="003D0853" w:rsidRPr="0009369D" w:rsidRDefault="003D0853" w:rsidP="00470E9F">
            <w:pPr>
              <w:jc w:val="both"/>
              <w:rPr>
                <w:rFonts w:ascii="Arial" w:hAnsi="Arial" w:cs="Arial"/>
                <w:b/>
                <w:bCs/>
                <w:sz w:val="22"/>
                <w:szCs w:val="22"/>
                <w:rtl/>
              </w:rPr>
            </w:pPr>
            <w:r w:rsidRPr="0009369D">
              <w:rPr>
                <w:rFonts w:ascii="Arial" w:hAnsi="Arial" w:cs="Arial" w:hint="cs"/>
                <w:b/>
                <w:bCs/>
                <w:sz w:val="22"/>
                <w:szCs w:val="22"/>
                <w:rtl/>
              </w:rPr>
              <w:t>745</w:t>
            </w:r>
          </w:p>
          <w:p w:rsidR="003D0853" w:rsidRPr="0009369D" w:rsidRDefault="003D0853" w:rsidP="00470E9F">
            <w:pPr>
              <w:jc w:val="both"/>
              <w:rPr>
                <w:rFonts w:ascii="Arial" w:hAnsi="Arial" w:cs="Arial"/>
                <w:sz w:val="22"/>
                <w:szCs w:val="22"/>
                <w:rtl/>
              </w:rPr>
            </w:pPr>
            <w:r w:rsidRPr="0009369D">
              <w:rPr>
                <w:rFonts w:ascii="Arial" w:hAnsi="Arial" w:cs="Arial"/>
                <w:sz w:val="22"/>
                <w:szCs w:val="22"/>
                <w:rtl/>
              </w:rPr>
              <w:t xml:space="preserve">= = = </w:t>
            </w:r>
          </w:p>
        </w:tc>
        <w:tc>
          <w:tcPr>
            <w:tcW w:w="1083" w:type="dxa"/>
            <w:shd w:val="clear" w:color="auto" w:fill="auto"/>
          </w:tcPr>
          <w:p w:rsidR="003D0853" w:rsidRPr="0009369D" w:rsidRDefault="003D0853" w:rsidP="00470E9F">
            <w:pPr>
              <w:jc w:val="both"/>
              <w:rPr>
                <w:rFonts w:ascii="Arial" w:hAnsi="Arial" w:cs="Arial"/>
                <w:b/>
                <w:bCs/>
                <w:sz w:val="22"/>
                <w:szCs w:val="22"/>
                <w:rtl/>
              </w:rPr>
            </w:pPr>
          </w:p>
          <w:p w:rsidR="003D0853" w:rsidRPr="0009369D" w:rsidRDefault="003D0853" w:rsidP="00470E9F">
            <w:pPr>
              <w:jc w:val="both"/>
              <w:rPr>
                <w:rFonts w:ascii="Arial" w:hAnsi="Arial" w:cs="Arial"/>
                <w:b/>
                <w:bCs/>
                <w:sz w:val="22"/>
                <w:szCs w:val="22"/>
                <w:rtl/>
              </w:rPr>
            </w:pPr>
            <w:r w:rsidRPr="0009369D">
              <w:rPr>
                <w:rFonts w:ascii="Arial" w:hAnsi="Arial" w:cs="Arial" w:hint="cs"/>
                <w:b/>
                <w:bCs/>
                <w:sz w:val="22"/>
                <w:szCs w:val="22"/>
                <w:rtl/>
              </w:rPr>
              <w:t>731,095</w:t>
            </w:r>
          </w:p>
          <w:p w:rsidR="003D0853" w:rsidRPr="0009369D" w:rsidRDefault="003D0853" w:rsidP="00470E9F">
            <w:pPr>
              <w:jc w:val="both"/>
              <w:rPr>
                <w:rFonts w:ascii="Arial" w:hAnsi="Arial" w:cs="Arial"/>
                <w:sz w:val="22"/>
                <w:szCs w:val="22"/>
                <w:rtl/>
              </w:rPr>
            </w:pPr>
            <w:r w:rsidRPr="0009369D">
              <w:rPr>
                <w:rFonts w:ascii="Arial" w:hAnsi="Arial" w:cs="Arial"/>
                <w:sz w:val="22"/>
                <w:szCs w:val="22"/>
                <w:rtl/>
              </w:rPr>
              <w:t>= = = =</w:t>
            </w:r>
          </w:p>
        </w:tc>
        <w:tc>
          <w:tcPr>
            <w:tcW w:w="1149" w:type="dxa"/>
            <w:shd w:val="clear" w:color="auto" w:fill="auto"/>
          </w:tcPr>
          <w:p w:rsidR="003D0853" w:rsidRPr="0009369D" w:rsidRDefault="003D0853" w:rsidP="00470E9F">
            <w:pPr>
              <w:jc w:val="both"/>
              <w:rPr>
                <w:rFonts w:ascii="Arial" w:hAnsi="Arial" w:cs="Arial"/>
                <w:b/>
                <w:bCs/>
                <w:sz w:val="22"/>
                <w:szCs w:val="22"/>
                <w:rtl/>
              </w:rPr>
            </w:pPr>
          </w:p>
          <w:p w:rsidR="003D0853" w:rsidRPr="0009369D" w:rsidRDefault="003D0853" w:rsidP="00470E9F">
            <w:pPr>
              <w:jc w:val="both"/>
              <w:rPr>
                <w:rFonts w:ascii="Arial" w:hAnsi="Arial" w:cs="Arial"/>
                <w:b/>
                <w:bCs/>
                <w:sz w:val="22"/>
                <w:szCs w:val="22"/>
                <w:rtl/>
              </w:rPr>
            </w:pPr>
            <w:r w:rsidRPr="0009369D">
              <w:rPr>
                <w:rFonts w:ascii="Arial" w:hAnsi="Arial" w:cs="Arial" w:hint="cs"/>
                <w:b/>
                <w:bCs/>
                <w:sz w:val="22"/>
                <w:szCs w:val="22"/>
                <w:rtl/>
              </w:rPr>
              <w:t>635,130</w:t>
            </w:r>
          </w:p>
          <w:p w:rsidR="003D0853" w:rsidRPr="0009369D" w:rsidRDefault="003D0853" w:rsidP="00470E9F">
            <w:pPr>
              <w:jc w:val="both"/>
              <w:rPr>
                <w:rFonts w:ascii="Arial" w:hAnsi="Arial" w:cs="Arial"/>
                <w:sz w:val="22"/>
                <w:szCs w:val="22"/>
                <w:rtl/>
              </w:rPr>
            </w:pPr>
            <w:r w:rsidRPr="0009369D">
              <w:rPr>
                <w:rFonts w:ascii="Arial" w:hAnsi="Arial" w:cs="Arial"/>
                <w:sz w:val="22"/>
                <w:szCs w:val="22"/>
                <w:rtl/>
              </w:rPr>
              <w:t xml:space="preserve">= = = = </w:t>
            </w:r>
          </w:p>
        </w:tc>
      </w:tr>
      <w:tr w:rsidR="003D0853" w:rsidRPr="00646718" w:rsidTr="009B20E8">
        <w:trPr>
          <w:trHeight w:val="510"/>
        </w:trPr>
        <w:tc>
          <w:tcPr>
            <w:tcW w:w="468" w:type="dxa"/>
            <w:shd w:val="clear" w:color="auto" w:fill="auto"/>
            <w:vAlign w:val="center"/>
          </w:tcPr>
          <w:p w:rsidR="003D0853" w:rsidRPr="0009369D" w:rsidRDefault="003D0853" w:rsidP="009B20E8">
            <w:pPr>
              <w:rPr>
                <w:rFonts w:ascii="Arial" w:hAnsi="Arial" w:cs="Arial"/>
                <w:sz w:val="20"/>
                <w:szCs w:val="20"/>
                <w:rtl/>
              </w:rPr>
            </w:pPr>
            <w:r w:rsidRPr="0009369D">
              <w:rPr>
                <w:rFonts w:ascii="Arial" w:hAnsi="Arial" w:cs="Arial"/>
                <w:sz w:val="20"/>
                <w:szCs w:val="20"/>
                <w:rtl/>
              </w:rPr>
              <w:t>01</w:t>
            </w:r>
          </w:p>
        </w:tc>
        <w:tc>
          <w:tcPr>
            <w:tcW w:w="2314" w:type="dxa"/>
            <w:shd w:val="clear" w:color="auto" w:fill="auto"/>
            <w:vAlign w:val="center"/>
          </w:tcPr>
          <w:p w:rsidR="003D0853" w:rsidRPr="0009369D" w:rsidRDefault="003D0853" w:rsidP="009B20E8">
            <w:pPr>
              <w:rPr>
                <w:rFonts w:ascii="Arial" w:hAnsi="Arial" w:cs="Arial"/>
                <w:sz w:val="20"/>
                <w:szCs w:val="20"/>
                <w:rtl/>
              </w:rPr>
            </w:pPr>
            <w:r w:rsidRPr="0009369D">
              <w:rPr>
                <w:rFonts w:ascii="Arial" w:hAnsi="Arial" w:cs="Arial"/>
                <w:sz w:val="20"/>
                <w:szCs w:val="20"/>
                <w:rtl/>
              </w:rPr>
              <w:t>מטה וסיוע</w:t>
            </w:r>
          </w:p>
        </w:tc>
        <w:tc>
          <w:tcPr>
            <w:tcW w:w="1255" w:type="dxa"/>
            <w:shd w:val="clear" w:color="auto" w:fill="auto"/>
            <w:vAlign w:val="center"/>
          </w:tcPr>
          <w:p w:rsidR="003D0853" w:rsidRPr="0009369D" w:rsidRDefault="003D0853" w:rsidP="009B20E8">
            <w:pPr>
              <w:rPr>
                <w:rFonts w:ascii="Arial" w:hAnsi="Arial" w:cs="Arial"/>
                <w:sz w:val="20"/>
                <w:szCs w:val="20"/>
              </w:rPr>
            </w:pPr>
            <w:r w:rsidRPr="0009369D">
              <w:rPr>
                <w:rFonts w:ascii="Arial" w:hAnsi="Arial" w:cs="Arial" w:hint="cs"/>
                <w:sz w:val="20"/>
                <w:szCs w:val="20"/>
                <w:rtl/>
              </w:rPr>
              <w:t>236,529</w:t>
            </w:r>
          </w:p>
        </w:tc>
        <w:tc>
          <w:tcPr>
            <w:tcW w:w="1078" w:type="dxa"/>
            <w:shd w:val="clear" w:color="auto" w:fill="auto"/>
            <w:vAlign w:val="center"/>
          </w:tcPr>
          <w:p w:rsidR="003D0853" w:rsidRPr="0009369D" w:rsidRDefault="003D0853" w:rsidP="009B20E8">
            <w:pPr>
              <w:rPr>
                <w:rFonts w:ascii="Arial" w:hAnsi="Arial" w:cs="Arial"/>
                <w:sz w:val="20"/>
                <w:szCs w:val="20"/>
                <w:rtl/>
              </w:rPr>
            </w:pPr>
            <w:r w:rsidRPr="0009369D">
              <w:rPr>
                <w:rFonts w:ascii="Arial" w:hAnsi="Arial" w:cs="Arial" w:hint="cs"/>
                <w:sz w:val="20"/>
                <w:szCs w:val="20"/>
                <w:rtl/>
              </w:rPr>
              <w:t>2,500</w:t>
            </w:r>
          </w:p>
        </w:tc>
        <w:tc>
          <w:tcPr>
            <w:tcW w:w="1095" w:type="dxa"/>
            <w:shd w:val="clear" w:color="auto" w:fill="auto"/>
            <w:vAlign w:val="center"/>
          </w:tcPr>
          <w:p w:rsidR="003D0853" w:rsidRPr="0009369D" w:rsidRDefault="003D0853" w:rsidP="009B20E8">
            <w:pPr>
              <w:rPr>
                <w:rFonts w:ascii="Arial" w:hAnsi="Arial" w:cs="Arial"/>
                <w:sz w:val="20"/>
                <w:szCs w:val="20"/>
              </w:rPr>
            </w:pPr>
            <w:r w:rsidRPr="0009369D">
              <w:rPr>
                <w:rFonts w:ascii="Arial" w:hAnsi="Arial" w:cs="Arial" w:hint="cs"/>
                <w:sz w:val="20"/>
                <w:szCs w:val="20"/>
                <w:rtl/>
              </w:rPr>
              <w:t>74,570</w:t>
            </w:r>
          </w:p>
        </w:tc>
        <w:tc>
          <w:tcPr>
            <w:tcW w:w="782" w:type="dxa"/>
            <w:shd w:val="clear" w:color="auto" w:fill="auto"/>
            <w:vAlign w:val="center"/>
          </w:tcPr>
          <w:p w:rsidR="003D0853" w:rsidRPr="0009369D" w:rsidRDefault="003D0853" w:rsidP="009B20E8">
            <w:pPr>
              <w:rPr>
                <w:rFonts w:ascii="Arial" w:hAnsi="Arial" w:cs="Arial"/>
                <w:sz w:val="20"/>
                <w:szCs w:val="20"/>
              </w:rPr>
            </w:pPr>
            <w:r w:rsidRPr="0009369D">
              <w:rPr>
                <w:rFonts w:ascii="Arial" w:hAnsi="Arial" w:cs="Arial"/>
                <w:sz w:val="20"/>
                <w:szCs w:val="20"/>
              </w:rPr>
              <w:t>316</w:t>
            </w:r>
          </w:p>
        </w:tc>
        <w:tc>
          <w:tcPr>
            <w:tcW w:w="1083" w:type="dxa"/>
            <w:shd w:val="clear" w:color="auto" w:fill="auto"/>
            <w:vAlign w:val="center"/>
          </w:tcPr>
          <w:p w:rsidR="003D0853" w:rsidRPr="0009369D" w:rsidRDefault="003D0853" w:rsidP="009B20E8">
            <w:pPr>
              <w:rPr>
                <w:rFonts w:ascii="Arial" w:hAnsi="Arial" w:cs="Arial"/>
                <w:sz w:val="20"/>
                <w:szCs w:val="20"/>
              </w:rPr>
            </w:pPr>
            <w:r w:rsidRPr="0009369D">
              <w:rPr>
                <w:rFonts w:ascii="Arial" w:hAnsi="Arial" w:cs="Arial"/>
                <w:sz w:val="20"/>
                <w:szCs w:val="20"/>
                <w:rtl/>
              </w:rPr>
              <w:t>194,139</w:t>
            </w:r>
          </w:p>
        </w:tc>
        <w:tc>
          <w:tcPr>
            <w:tcW w:w="1149" w:type="dxa"/>
            <w:shd w:val="clear" w:color="auto" w:fill="auto"/>
            <w:vAlign w:val="center"/>
          </w:tcPr>
          <w:p w:rsidR="003D0853" w:rsidRPr="0009369D" w:rsidRDefault="003D0853" w:rsidP="009B20E8">
            <w:pPr>
              <w:rPr>
                <w:rFonts w:ascii="Arial" w:hAnsi="Arial" w:cs="Arial"/>
                <w:sz w:val="20"/>
                <w:szCs w:val="20"/>
              </w:rPr>
            </w:pPr>
            <w:r w:rsidRPr="0009369D">
              <w:rPr>
                <w:rFonts w:ascii="Arial" w:hAnsi="Arial" w:cs="Arial" w:hint="cs"/>
                <w:sz w:val="20"/>
                <w:szCs w:val="20"/>
                <w:rtl/>
              </w:rPr>
              <w:t>173,471</w:t>
            </w:r>
          </w:p>
        </w:tc>
      </w:tr>
      <w:tr w:rsidR="003D0853" w:rsidRPr="00646718" w:rsidTr="009B20E8">
        <w:trPr>
          <w:trHeight w:val="510"/>
        </w:trPr>
        <w:tc>
          <w:tcPr>
            <w:tcW w:w="468" w:type="dxa"/>
            <w:shd w:val="clear" w:color="auto" w:fill="auto"/>
            <w:vAlign w:val="center"/>
          </w:tcPr>
          <w:p w:rsidR="003D0853" w:rsidRPr="0009369D" w:rsidRDefault="003D0853" w:rsidP="009B20E8">
            <w:pPr>
              <w:rPr>
                <w:rFonts w:ascii="Arial" w:hAnsi="Arial" w:cs="Arial"/>
                <w:sz w:val="20"/>
                <w:szCs w:val="20"/>
                <w:rtl/>
              </w:rPr>
            </w:pPr>
            <w:r w:rsidRPr="0009369D">
              <w:rPr>
                <w:rFonts w:ascii="Arial" w:hAnsi="Arial" w:cs="Arial"/>
                <w:sz w:val="20"/>
                <w:szCs w:val="20"/>
                <w:rtl/>
              </w:rPr>
              <w:t>02</w:t>
            </w:r>
          </w:p>
        </w:tc>
        <w:tc>
          <w:tcPr>
            <w:tcW w:w="2314" w:type="dxa"/>
            <w:shd w:val="clear" w:color="auto" w:fill="auto"/>
            <w:vAlign w:val="center"/>
          </w:tcPr>
          <w:p w:rsidR="003D0853" w:rsidRPr="0009369D" w:rsidRDefault="003D0853" w:rsidP="009B20E8">
            <w:pPr>
              <w:rPr>
                <w:rFonts w:ascii="Arial" w:hAnsi="Arial" w:cs="Arial"/>
                <w:sz w:val="20"/>
                <w:szCs w:val="20"/>
                <w:rtl/>
              </w:rPr>
            </w:pPr>
            <w:r w:rsidRPr="0009369D">
              <w:rPr>
                <w:rFonts w:ascii="Arial" w:hAnsi="Arial" w:cs="Arial"/>
                <w:sz w:val="20"/>
                <w:szCs w:val="20"/>
                <w:rtl/>
              </w:rPr>
              <w:t>ביצוע תפקידי הבנק</w:t>
            </w:r>
          </w:p>
        </w:tc>
        <w:tc>
          <w:tcPr>
            <w:tcW w:w="1255" w:type="dxa"/>
            <w:shd w:val="clear" w:color="auto" w:fill="auto"/>
            <w:vAlign w:val="center"/>
          </w:tcPr>
          <w:p w:rsidR="003D0853" w:rsidRPr="0009369D" w:rsidRDefault="003D0853" w:rsidP="009B20E8">
            <w:pPr>
              <w:rPr>
                <w:rFonts w:ascii="Arial" w:hAnsi="Arial" w:cs="Arial"/>
                <w:sz w:val="20"/>
                <w:szCs w:val="20"/>
                <w:rtl/>
              </w:rPr>
            </w:pPr>
            <w:r w:rsidRPr="0009369D">
              <w:rPr>
                <w:rFonts w:ascii="Arial" w:hAnsi="Arial" w:cs="Arial" w:hint="cs"/>
                <w:sz w:val="20"/>
                <w:szCs w:val="20"/>
                <w:rtl/>
              </w:rPr>
              <w:t>189,775</w:t>
            </w:r>
          </w:p>
        </w:tc>
        <w:tc>
          <w:tcPr>
            <w:tcW w:w="1078" w:type="dxa"/>
            <w:shd w:val="clear" w:color="auto" w:fill="auto"/>
            <w:vAlign w:val="center"/>
          </w:tcPr>
          <w:p w:rsidR="003D0853" w:rsidRPr="0009369D" w:rsidRDefault="003D0853" w:rsidP="009B20E8">
            <w:pPr>
              <w:rPr>
                <w:rFonts w:ascii="Arial" w:hAnsi="Arial" w:cs="Arial"/>
                <w:sz w:val="20"/>
                <w:szCs w:val="20"/>
              </w:rPr>
            </w:pPr>
            <w:r w:rsidRPr="0009369D">
              <w:rPr>
                <w:rFonts w:ascii="Arial" w:hAnsi="Arial" w:cs="Arial"/>
                <w:sz w:val="20"/>
                <w:szCs w:val="20"/>
              </w:rPr>
              <w:t>171</w:t>
            </w:r>
          </w:p>
        </w:tc>
        <w:tc>
          <w:tcPr>
            <w:tcW w:w="1095" w:type="dxa"/>
            <w:shd w:val="clear" w:color="auto" w:fill="auto"/>
            <w:vAlign w:val="center"/>
          </w:tcPr>
          <w:p w:rsidR="003D0853" w:rsidRPr="0009369D" w:rsidRDefault="003D0853" w:rsidP="009B20E8">
            <w:pPr>
              <w:rPr>
                <w:rFonts w:ascii="Arial" w:hAnsi="Arial" w:cs="Arial"/>
                <w:sz w:val="20"/>
                <w:szCs w:val="20"/>
                <w:rtl/>
              </w:rPr>
            </w:pPr>
            <w:r w:rsidRPr="0009369D">
              <w:rPr>
                <w:rFonts w:ascii="Arial" w:hAnsi="Arial" w:cs="Arial" w:hint="cs"/>
                <w:sz w:val="20"/>
                <w:szCs w:val="20"/>
                <w:rtl/>
              </w:rPr>
              <w:t>57,142</w:t>
            </w:r>
          </w:p>
        </w:tc>
        <w:tc>
          <w:tcPr>
            <w:tcW w:w="782" w:type="dxa"/>
            <w:shd w:val="clear" w:color="auto" w:fill="auto"/>
            <w:vAlign w:val="center"/>
          </w:tcPr>
          <w:p w:rsidR="003D0853" w:rsidRPr="0009369D" w:rsidRDefault="003D0853" w:rsidP="009B20E8">
            <w:pPr>
              <w:rPr>
                <w:rFonts w:ascii="Arial" w:hAnsi="Arial" w:cs="Arial"/>
                <w:sz w:val="20"/>
                <w:szCs w:val="20"/>
              </w:rPr>
            </w:pPr>
            <w:r w:rsidRPr="0009369D">
              <w:rPr>
                <w:rFonts w:ascii="Arial" w:hAnsi="Arial" w:cs="Arial"/>
                <w:sz w:val="20"/>
                <w:szCs w:val="20"/>
              </w:rPr>
              <w:t>427</w:t>
            </w:r>
          </w:p>
        </w:tc>
        <w:tc>
          <w:tcPr>
            <w:tcW w:w="1083" w:type="dxa"/>
            <w:shd w:val="clear" w:color="auto" w:fill="auto"/>
            <w:vAlign w:val="center"/>
          </w:tcPr>
          <w:p w:rsidR="003D0853" w:rsidRPr="0009369D" w:rsidRDefault="003D0853" w:rsidP="009B20E8">
            <w:pPr>
              <w:rPr>
                <w:rFonts w:ascii="Arial" w:hAnsi="Arial" w:cs="Arial"/>
                <w:sz w:val="20"/>
                <w:szCs w:val="20"/>
                <w:rtl/>
              </w:rPr>
            </w:pPr>
            <w:r w:rsidRPr="0009369D">
              <w:rPr>
                <w:rFonts w:ascii="Arial" w:hAnsi="Arial" w:cs="Arial"/>
                <w:sz w:val="20"/>
                <w:szCs w:val="20"/>
              </w:rPr>
              <w:t>180,862</w:t>
            </w:r>
          </w:p>
        </w:tc>
        <w:tc>
          <w:tcPr>
            <w:tcW w:w="1149" w:type="dxa"/>
            <w:shd w:val="clear" w:color="auto" w:fill="auto"/>
            <w:vAlign w:val="center"/>
          </w:tcPr>
          <w:p w:rsidR="003D0853" w:rsidRPr="0009369D" w:rsidRDefault="003D0853" w:rsidP="009B20E8">
            <w:pPr>
              <w:rPr>
                <w:rFonts w:ascii="Arial" w:hAnsi="Arial" w:cs="Arial"/>
                <w:sz w:val="20"/>
                <w:szCs w:val="20"/>
              </w:rPr>
            </w:pPr>
            <w:r w:rsidRPr="0009369D">
              <w:rPr>
                <w:rFonts w:ascii="Arial" w:hAnsi="Arial" w:cs="Arial" w:hint="cs"/>
                <w:sz w:val="20"/>
                <w:szCs w:val="20"/>
                <w:rtl/>
              </w:rPr>
              <w:t>160,555</w:t>
            </w:r>
          </w:p>
        </w:tc>
      </w:tr>
      <w:tr w:rsidR="003D0853" w:rsidRPr="00646718" w:rsidTr="009B20E8">
        <w:trPr>
          <w:trHeight w:val="510"/>
        </w:trPr>
        <w:tc>
          <w:tcPr>
            <w:tcW w:w="468" w:type="dxa"/>
            <w:shd w:val="clear" w:color="auto" w:fill="auto"/>
            <w:vAlign w:val="center"/>
          </w:tcPr>
          <w:p w:rsidR="003D0853" w:rsidRPr="0009369D" w:rsidRDefault="003D0853" w:rsidP="009B20E8">
            <w:pPr>
              <w:rPr>
                <w:rFonts w:ascii="Arial" w:hAnsi="Arial" w:cs="Arial"/>
                <w:sz w:val="20"/>
                <w:szCs w:val="20"/>
                <w:rtl/>
              </w:rPr>
            </w:pPr>
            <w:r w:rsidRPr="0009369D">
              <w:rPr>
                <w:rFonts w:ascii="Arial" w:hAnsi="Arial" w:cs="Arial"/>
                <w:sz w:val="20"/>
                <w:szCs w:val="20"/>
                <w:rtl/>
              </w:rPr>
              <w:t>03</w:t>
            </w:r>
          </w:p>
        </w:tc>
        <w:tc>
          <w:tcPr>
            <w:tcW w:w="2314" w:type="dxa"/>
            <w:shd w:val="clear" w:color="auto" w:fill="auto"/>
            <w:vAlign w:val="center"/>
          </w:tcPr>
          <w:p w:rsidR="003D0853" w:rsidRPr="0009369D" w:rsidRDefault="003D0853" w:rsidP="009B20E8">
            <w:pPr>
              <w:rPr>
                <w:rFonts w:ascii="Arial" w:hAnsi="Arial" w:cs="Arial"/>
                <w:sz w:val="20"/>
                <w:szCs w:val="20"/>
                <w:rtl/>
              </w:rPr>
            </w:pPr>
            <w:r w:rsidRPr="0009369D">
              <w:rPr>
                <w:rFonts w:ascii="Arial" w:hAnsi="Arial" w:cs="Arial"/>
                <w:sz w:val="20"/>
                <w:szCs w:val="20"/>
                <w:rtl/>
              </w:rPr>
              <w:t>נציגות בחו"ל</w:t>
            </w:r>
          </w:p>
        </w:tc>
        <w:tc>
          <w:tcPr>
            <w:tcW w:w="1255" w:type="dxa"/>
            <w:shd w:val="clear" w:color="auto" w:fill="auto"/>
            <w:vAlign w:val="center"/>
          </w:tcPr>
          <w:p w:rsidR="003D0853" w:rsidRPr="0009369D" w:rsidRDefault="003D0853" w:rsidP="009B20E8">
            <w:pPr>
              <w:rPr>
                <w:rFonts w:ascii="Arial" w:hAnsi="Arial" w:cs="Arial"/>
                <w:sz w:val="20"/>
                <w:szCs w:val="20"/>
              </w:rPr>
            </w:pPr>
            <w:r w:rsidRPr="0009369D">
              <w:rPr>
                <w:rFonts w:ascii="Arial" w:hAnsi="Arial" w:cs="Arial" w:hint="cs"/>
                <w:sz w:val="20"/>
                <w:szCs w:val="20"/>
                <w:rtl/>
              </w:rPr>
              <w:t>3,284</w:t>
            </w:r>
          </w:p>
        </w:tc>
        <w:tc>
          <w:tcPr>
            <w:tcW w:w="1078" w:type="dxa"/>
            <w:shd w:val="clear" w:color="auto" w:fill="auto"/>
            <w:vAlign w:val="center"/>
          </w:tcPr>
          <w:p w:rsidR="003D0853" w:rsidRPr="0009369D" w:rsidRDefault="003D0853" w:rsidP="009B20E8">
            <w:pPr>
              <w:rPr>
                <w:rFonts w:ascii="Arial" w:hAnsi="Arial" w:cs="Arial"/>
                <w:sz w:val="20"/>
                <w:szCs w:val="20"/>
              </w:rPr>
            </w:pPr>
          </w:p>
        </w:tc>
        <w:tc>
          <w:tcPr>
            <w:tcW w:w="1095" w:type="dxa"/>
            <w:shd w:val="clear" w:color="auto" w:fill="auto"/>
            <w:vAlign w:val="center"/>
          </w:tcPr>
          <w:p w:rsidR="003D0853" w:rsidRPr="0009369D" w:rsidRDefault="003D0853" w:rsidP="009B20E8">
            <w:pPr>
              <w:rPr>
                <w:rFonts w:ascii="Arial" w:hAnsi="Arial" w:cs="Arial"/>
                <w:sz w:val="20"/>
                <w:szCs w:val="20"/>
              </w:rPr>
            </w:pPr>
            <w:r w:rsidRPr="0009369D">
              <w:rPr>
                <w:rFonts w:ascii="Arial" w:hAnsi="Arial" w:cs="Arial" w:hint="cs"/>
                <w:sz w:val="20"/>
                <w:szCs w:val="20"/>
                <w:rtl/>
              </w:rPr>
              <w:t>366</w:t>
            </w:r>
          </w:p>
        </w:tc>
        <w:tc>
          <w:tcPr>
            <w:tcW w:w="782" w:type="dxa"/>
            <w:shd w:val="clear" w:color="auto" w:fill="auto"/>
            <w:vAlign w:val="center"/>
          </w:tcPr>
          <w:p w:rsidR="003D0853" w:rsidRPr="0009369D" w:rsidRDefault="003D0853" w:rsidP="009B20E8">
            <w:pPr>
              <w:rPr>
                <w:rFonts w:ascii="Arial" w:hAnsi="Arial" w:cs="Arial"/>
                <w:sz w:val="20"/>
                <w:szCs w:val="20"/>
              </w:rPr>
            </w:pPr>
            <w:r w:rsidRPr="0009369D">
              <w:rPr>
                <w:rFonts w:ascii="Arial" w:hAnsi="Arial" w:cs="Arial"/>
                <w:sz w:val="20"/>
                <w:szCs w:val="20"/>
                <w:rtl/>
              </w:rPr>
              <w:t>2</w:t>
            </w:r>
          </w:p>
        </w:tc>
        <w:tc>
          <w:tcPr>
            <w:tcW w:w="1083" w:type="dxa"/>
            <w:shd w:val="clear" w:color="auto" w:fill="auto"/>
            <w:vAlign w:val="center"/>
          </w:tcPr>
          <w:p w:rsidR="003D0853" w:rsidRPr="0009369D" w:rsidRDefault="003D0853" w:rsidP="009B20E8">
            <w:pPr>
              <w:rPr>
                <w:rFonts w:ascii="Arial" w:hAnsi="Arial" w:cs="Arial"/>
                <w:sz w:val="20"/>
                <w:szCs w:val="20"/>
              </w:rPr>
            </w:pPr>
            <w:r w:rsidRPr="0009369D">
              <w:rPr>
                <w:rFonts w:ascii="Arial" w:hAnsi="Arial" w:cs="Arial"/>
                <w:sz w:val="20"/>
                <w:szCs w:val="20"/>
                <w:rtl/>
              </w:rPr>
              <w:t>3,763</w:t>
            </w:r>
          </w:p>
        </w:tc>
        <w:tc>
          <w:tcPr>
            <w:tcW w:w="1149" w:type="dxa"/>
            <w:shd w:val="clear" w:color="auto" w:fill="auto"/>
            <w:vAlign w:val="center"/>
          </w:tcPr>
          <w:p w:rsidR="003D0853" w:rsidRPr="0009369D" w:rsidRDefault="003D0853" w:rsidP="009B20E8">
            <w:pPr>
              <w:rPr>
                <w:rFonts w:ascii="Arial" w:hAnsi="Arial" w:cs="Arial"/>
                <w:sz w:val="20"/>
                <w:szCs w:val="20"/>
              </w:rPr>
            </w:pPr>
            <w:r w:rsidRPr="0009369D">
              <w:rPr>
                <w:rFonts w:ascii="Arial" w:hAnsi="Arial" w:cs="Arial" w:hint="cs"/>
                <w:sz w:val="20"/>
                <w:szCs w:val="20"/>
                <w:rtl/>
              </w:rPr>
              <w:t>3,095</w:t>
            </w:r>
          </w:p>
        </w:tc>
      </w:tr>
      <w:tr w:rsidR="003D0853" w:rsidRPr="00646718" w:rsidTr="009B20E8">
        <w:trPr>
          <w:trHeight w:val="510"/>
        </w:trPr>
        <w:tc>
          <w:tcPr>
            <w:tcW w:w="468" w:type="dxa"/>
            <w:shd w:val="clear" w:color="auto" w:fill="auto"/>
            <w:vAlign w:val="center"/>
          </w:tcPr>
          <w:p w:rsidR="003D0853" w:rsidRPr="0009369D" w:rsidRDefault="003D0853" w:rsidP="009B20E8">
            <w:pPr>
              <w:rPr>
                <w:rFonts w:ascii="Arial" w:hAnsi="Arial" w:cs="Arial"/>
                <w:sz w:val="20"/>
                <w:szCs w:val="20"/>
                <w:rtl/>
              </w:rPr>
            </w:pPr>
            <w:r w:rsidRPr="0009369D">
              <w:rPr>
                <w:rFonts w:ascii="Arial" w:hAnsi="Arial" w:cs="Arial"/>
                <w:sz w:val="20"/>
                <w:szCs w:val="20"/>
                <w:rtl/>
              </w:rPr>
              <w:t>04</w:t>
            </w:r>
          </w:p>
        </w:tc>
        <w:tc>
          <w:tcPr>
            <w:tcW w:w="2314" w:type="dxa"/>
            <w:shd w:val="clear" w:color="auto" w:fill="auto"/>
            <w:vAlign w:val="center"/>
          </w:tcPr>
          <w:p w:rsidR="003D0853" w:rsidRPr="0009369D" w:rsidRDefault="003D0853" w:rsidP="009B20E8">
            <w:pPr>
              <w:rPr>
                <w:rFonts w:ascii="Arial" w:hAnsi="Arial" w:cs="Arial"/>
                <w:sz w:val="20"/>
                <w:szCs w:val="20"/>
                <w:rtl/>
              </w:rPr>
            </w:pPr>
            <w:r w:rsidRPr="0009369D">
              <w:rPr>
                <w:rFonts w:ascii="Arial" w:hAnsi="Arial" w:cs="Arial"/>
                <w:sz w:val="20"/>
                <w:szCs w:val="20"/>
                <w:rtl/>
              </w:rPr>
              <w:t>גמלאות</w:t>
            </w:r>
          </w:p>
        </w:tc>
        <w:tc>
          <w:tcPr>
            <w:tcW w:w="1255" w:type="dxa"/>
            <w:shd w:val="clear" w:color="auto" w:fill="auto"/>
            <w:vAlign w:val="center"/>
          </w:tcPr>
          <w:p w:rsidR="003D0853" w:rsidRPr="0009369D" w:rsidRDefault="003D0853" w:rsidP="009B20E8">
            <w:pPr>
              <w:rPr>
                <w:rFonts w:ascii="Arial" w:hAnsi="Arial" w:cs="Arial"/>
                <w:sz w:val="20"/>
                <w:szCs w:val="20"/>
              </w:rPr>
            </w:pPr>
            <w:r w:rsidRPr="0009369D">
              <w:rPr>
                <w:rFonts w:ascii="Arial" w:hAnsi="Arial" w:cs="Arial" w:hint="cs"/>
                <w:sz w:val="20"/>
                <w:szCs w:val="20"/>
                <w:rtl/>
              </w:rPr>
              <w:t>259,966</w:t>
            </w:r>
          </w:p>
        </w:tc>
        <w:tc>
          <w:tcPr>
            <w:tcW w:w="1078" w:type="dxa"/>
            <w:shd w:val="clear" w:color="auto" w:fill="auto"/>
            <w:vAlign w:val="center"/>
          </w:tcPr>
          <w:p w:rsidR="003D0853" w:rsidRPr="0009369D" w:rsidRDefault="003D0853" w:rsidP="009B20E8">
            <w:pPr>
              <w:rPr>
                <w:rFonts w:ascii="Arial" w:hAnsi="Arial" w:cs="Arial"/>
                <w:sz w:val="20"/>
                <w:szCs w:val="20"/>
              </w:rPr>
            </w:pPr>
          </w:p>
        </w:tc>
        <w:tc>
          <w:tcPr>
            <w:tcW w:w="1095" w:type="dxa"/>
            <w:shd w:val="clear" w:color="auto" w:fill="auto"/>
            <w:vAlign w:val="center"/>
          </w:tcPr>
          <w:p w:rsidR="003D0853" w:rsidRPr="0009369D" w:rsidRDefault="003D0853" w:rsidP="009B20E8">
            <w:pPr>
              <w:rPr>
                <w:rFonts w:ascii="Arial" w:hAnsi="Arial" w:cs="Arial"/>
                <w:sz w:val="20"/>
                <w:szCs w:val="20"/>
              </w:rPr>
            </w:pPr>
            <w:r w:rsidRPr="0009369D">
              <w:rPr>
                <w:rFonts w:ascii="Arial" w:hAnsi="Arial" w:cs="Arial" w:hint="cs"/>
                <w:sz w:val="20"/>
                <w:szCs w:val="20"/>
                <w:rtl/>
              </w:rPr>
              <w:t>117</w:t>
            </w:r>
          </w:p>
        </w:tc>
        <w:tc>
          <w:tcPr>
            <w:tcW w:w="782" w:type="dxa"/>
            <w:shd w:val="clear" w:color="auto" w:fill="auto"/>
            <w:vAlign w:val="center"/>
          </w:tcPr>
          <w:p w:rsidR="003D0853" w:rsidRPr="0009369D" w:rsidRDefault="003D0853" w:rsidP="009B20E8">
            <w:pPr>
              <w:rPr>
                <w:rFonts w:ascii="Arial" w:hAnsi="Arial" w:cs="Arial"/>
                <w:sz w:val="20"/>
                <w:szCs w:val="20"/>
              </w:rPr>
            </w:pPr>
          </w:p>
        </w:tc>
        <w:tc>
          <w:tcPr>
            <w:tcW w:w="1083" w:type="dxa"/>
            <w:shd w:val="clear" w:color="auto" w:fill="auto"/>
            <w:vAlign w:val="center"/>
          </w:tcPr>
          <w:p w:rsidR="003D0853" w:rsidRPr="0009369D" w:rsidRDefault="003D0853" w:rsidP="009B20E8">
            <w:pPr>
              <w:rPr>
                <w:rFonts w:ascii="Arial" w:hAnsi="Arial" w:cs="Arial"/>
                <w:sz w:val="20"/>
                <w:szCs w:val="20"/>
              </w:rPr>
            </w:pPr>
            <w:r w:rsidRPr="0009369D">
              <w:rPr>
                <w:rFonts w:ascii="Arial" w:hAnsi="Arial" w:cs="Arial"/>
                <w:sz w:val="20"/>
                <w:szCs w:val="20"/>
                <w:rtl/>
              </w:rPr>
              <w:t>238,057</w:t>
            </w:r>
          </w:p>
        </w:tc>
        <w:tc>
          <w:tcPr>
            <w:tcW w:w="1149" w:type="dxa"/>
            <w:shd w:val="clear" w:color="auto" w:fill="auto"/>
            <w:vAlign w:val="center"/>
          </w:tcPr>
          <w:p w:rsidR="003D0853" w:rsidRPr="0009369D" w:rsidRDefault="003D0853" w:rsidP="009B20E8">
            <w:pPr>
              <w:rPr>
                <w:rFonts w:ascii="Arial" w:hAnsi="Arial" w:cs="Arial"/>
                <w:sz w:val="20"/>
                <w:szCs w:val="20"/>
                <w:rtl/>
              </w:rPr>
            </w:pPr>
            <w:r w:rsidRPr="0009369D">
              <w:rPr>
                <w:rFonts w:ascii="Arial" w:hAnsi="Arial" w:cs="Arial" w:hint="cs"/>
                <w:sz w:val="20"/>
                <w:szCs w:val="20"/>
                <w:rtl/>
              </w:rPr>
              <w:t>232,279</w:t>
            </w:r>
          </w:p>
        </w:tc>
      </w:tr>
      <w:tr w:rsidR="003D0853" w:rsidRPr="00646718" w:rsidTr="009B20E8">
        <w:trPr>
          <w:trHeight w:val="510"/>
        </w:trPr>
        <w:tc>
          <w:tcPr>
            <w:tcW w:w="468" w:type="dxa"/>
            <w:shd w:val="clear" w:color="auto" w:fill="auto"/>
            <w:vAlign w:val="center"/>
          </w:tcPr>
          <w:p w:rsidR="003D0853" w:rsidRPr="0009369D" w:rsidRDefault="003D0853" w:rsidP="009B20E8">
            <w:pPr>
              <w:rPr>
                <w:rFonts w:ascii="Arial" w:hAnsi="Arial" w:cs="Arial"/>
                <w:sz w:val="20"/>
                <w:szCs w:val="20"/>
                <w:rtl/>
              </w:rPr>
            </w:pPr>
            <w:r w:rsidRPr="0009369D">
              <w:rPr>
                <w:rFonts w:ascii="Arial" w:hAnsi="Arial" w:cs="Arial"/>
                <w:sz w:val="20"/>
                <w:szCs w:val="20"/>
                <w:rtl/>
              </w:rPr>
              <w:t>05</w:t>
            </w:r>
          </w:p>
        </w:tc>
        <w:tc>
          <w:tcPr>
            <w:tcW w:w="2314" w:type="dxa"/>
            <w:shd w:val="clear" w:color="auto" w:fill="auto"/>
            <w:vAlign w:val="center"/>
          </w:tcPr>
          <w:p w:rsidR="003D0853" w:rsidRPr="0009369D" w:rsidRDefault="003D0853" w:rsidP="009B20E8">
            <w:pPr>
              <w:rPr>
                <w:rFonts w:ascii="Arial" w:hAnsi="Arial" w:cs="Arial"/>
                <w:sz w:val="20"/>
                <w:szCs w:val="20"/>
                <w:rtl/>
              </w:rPr>
            </w:pPr>
            <w:r w:rsidRPr="0009369D">
              <w:rPr>
                <w:rFonts w:ascii="Arial" w:hAnsi="Arial" w:cs="Arial"/>
                <w:sz w:val="20"/>
                <w:szCs w:val="20"/>
                <w:rtl/>
              </w:rPr>
              <w:t>השקעות</w:t>
            </w:r>
          </w:p>
        </w:tc>
        <w:tc>
          <w:tcPr>
            <w:tcW w:w="1255" w:type="dxa"/>
            <w:shd w:val="clear" w:color="auto" w:fill="auto"/>
            <w:vAlign w:val="center"/>
          </w:tcPr>
          <w:p w:rsidR="003D0853" w:rsidRPr="0009369D" w:rsidRDefault="003D0853" w:rsidP="009B20E8">
            <w:pPr>
              <w:rPr>
                <w:rFonts w:ascii="Arial" w:hAnsi="Arial" w:cs="Arial"/>
                <w:sz w:val="20"/>
                <w:szCs w:val="20"/>
              </w:rPr>
            </w:pPr>
            <w:r w:rsidRPr="0009369D">
              <w:rPr>
                <w:rFonts w:ascii="Arial" w:hAnsi="Arial" w:cs="Arial"/>
                <w:sz w:val="20"/>
                <w:szCs w:val="20"/>
                <w:rtl/>
              </w:rPr>
              <w:t>6</w:t>
            </w:r>
            <w:r w:rsidRPr="0009369D">
              <w:rPr>
                <w:rFonts w:ascii="Arial" w:hAnsi="Arial" w:cs="Arial" w:hint="cs"/>
                <w:sz w:val="20"/>
                <w:szCs w:val="20"/>
                <w:rtl/>
              </w:rPr>
              <w:t>3</w:t>
            </w:r>
            <w:r w:rsidRPr="0009369D">
              <w:rPr>
                <w:rFonts w:ascii="Arial" w:hAnsi="Arial" w:cs="Arial"/>
                <w:sz w:val="20"/>
                <w:szCs w:val="20"/>
                <w:rtl/>
              </w:rPr>
              <w:t>,000</w:t>
            </w:r>
          </w:p>
        </w:tc>
        <w:tc>
          <w:tcPr>
            <w:tcW w:w="1078" w:type="dxa"/>
            <w:shd w:val="clear" w:color="auto" w:fill="auto"/>
            <w:vAlign w:val="center"/>
          </w:tcPr>
          <w:p w:rsidR="003D0853" w:rsidRPr="0009369D" w:rsidRDefault="003D0853" w:rsidP="009B20E8">
            <w:pPr>
              <w:rPr>
                <w:rFonts w:ascii="Arial" w:hAnsi="Arial" w:cs="Arial"/>
                <w:sz w:val="20"/>
                <w:szCs w:val="20"/>
                <w:rtl/>
              </w:rPr>
            </w:pPr>
            <w:r w:rsidRPr="0009369D">
              <w:rPr>
                <w:rFonts w:ascii="Arial" w:hAnsi="Arial" w:cs="Arial" w:hint="cs"/>
                <w:sz w:val="20"/>
                <w:szCs w:val="20"/>
                <w:rtl/>
              </w:rPr>
              <w:t>15,684</w:t>
            </w:r>
          </w:p>
        </w:tc>
        <w:tc>
          <w:tcPr>
            <w:tcW w:w="1095" w:type="dxa"/>
            <w:shd w:val="clear" w:color="auto" w:fill="auto"/>
            <w:vAlign w:val="center"/>
          </w:tcPr>
          <w:p w:rsidR="003D0853" w:rsidRPr="0009369D" w:rsidRDefault="003D0853" w:rsidP="009B20E8">
            <w:pPr>
              <w:rPr>
                <w:rFonts w:ascii="Arial" w:hAnsi="Arial" w:cs="Arial"/>
                <w:sz w:val="20"/>
                <w:szCs w:val="20"/>
              </w:rPr>
            </w:pPr>
            <w:r w:rsidRPr="0009369D">
              <w:rPr>
                <w:rFonts w:ascii="Arial" w:hAnsi="Arial" w:cs="Arial" w:hint="cs"/>
                <w:sz w:val="20"/>
                <w:szCs w:val="20"/>
                <w:rtl/>
              </w:rPr>
              <w:t>286,214</w:t>
            </w:r>
          </w:p>
        </w:tc>
        <w:tc>
          <w:tcPr>
            <w:tcW w:w="782" w:type="dxa"/>
            <w:shd w:val="clear" w:color="auto" w:fill="auto"/>
            <w:vAlign w:val="center"/>
          </w:tcPr>
          <w:p w:rsidR="003D0853" w:rsidRPr="0009369D" w:rsidRDefault="003D0853" w:rsidP="009B20E8">
            <w:pPr>
              <w:rPr>
                <w:rFonts w:ascii="Arial" w:hAnsi="Arial" w:cs="Arial"/>
                <w:sz w:val="20"/>
                <w:szCs w:val="20"/>
              </w:rPr>
            </w:pPr>
          </w:p>
        </w:tc>
        <w:tc>
          <w:tcPr>
            <w:tcW w:w="1083" w:type="dxa"/>
            <w:shd w:val="clear" w:color="auto" w:fill="auto"/>
            <w:vAlign w:val="center"/>
          </w:tcPr>
          <w:p w:rsidR="003D0853" w:rsidRPr="0009369D" w:rsidRDefault="003D0853" w:rsidP="009B20E8">
            <w:pPr>
              <w:rPr>
                <w:rFonts w:ascii="Arial" w:hAnsi="Arial" w:cs="Arial"/>
                <w:sz w:val="20"/>
                <w:szCs w:val="20"/>
              </w:rPr>
            </w:pPr>
            <w:r w:rsidRPr="0009369D">
              <w:rPr>
                <w:rFonts w:ascii="Arial" w:hAnsi="Arial" w:cs="Arial"/>
                <w:sz w:val="20"/>
                <w:szCs w:val="20"/>
                <w:rtl/>
              </w:rPr>
              <w:t>66,000</w:t>
            </w:r>
          </w:p>
        </w:tc>
        <w:tc>
          <w:tcPr>
            <w:tcW w:w="1149" w:type="dxa"/>
            <w:shd w:val="clear" w:color="auto" w:fill="auto"/>
            <w:vAlign w:val="center"/>
          </w:tcPr>
          <w:p w:rsidR="003D0853" w:rsidRPr="0009369D" w:rsidRDefault="003D0853" w:rsidP="009B20E8">
            <w:pPr>
              <w:rPr>
                <w:rFonts w:ascii="Arial" w:hAnsi="Arial" w:cs="Arial"/>
                <w:sz w:val="20"/>
                <w:szCs w:val="20"/>
              </w:rPr>
            </w:pPr>
            <w:r w:rsidRPr="0009369D">
              <w:rPr>
                <w:rFonts w:ascii="Arial" w:hAnsi="Arial" w:cs="Arial" w:hint="cs"/>
                <w:sz w:val="20"/>
                <w:szCs w:val="20"/>
                <w:rtl/>
              </w:rPr>
              <w:t>66,257</w:t>
            </w:r>
          </w:p>
        </w:tc>
      </w:tr>
      <w:tr w:rsidR="003D0853" w:rsidRPr="00646718" w:rsidTr="009B20E8">
        <w:trPr>
          <w:trHeight w:val="510"/>
        </w:trPr>
        <w:tc>
          <w:tcPr>
            <w:tcW w:w="468" w:type="dxa"/>
            <w:shd w:val="clear" w:color="auto" w:fill="auto"/>
            <w:vAlign w:val="center"/>
          </w:tcPr>
          <w:p w:rsidR="003D0853" w:rsidRPr="0009369D" w:rsidRDefault="003D0853" w:rsidP="009B20E8">
            <w:pPr>
              <w:rPr>
                <w:rFonts w:ascii="Arial" w:hAnsi="Arial" w:cs="Arial"/>
                <w:sz w:val="20"/>
                <w:szCs w:val="20"/>
                <w:rtl/>
              </w:rPr>
            </w:pPr>
            <w:r w:rsidRPr="0009369D">
              <w:rPr>
                <w:rFonts w:ascii="Arial" w:hAnsi="Arial" w:cs="Arial"/>
                <w:sz w:val="20"/>
                <w:szCs w:val="20"/>
                <w:rtl/>
              </w:rPr>
              <w:t>06</w:t>
            </w:r>
          </w:p>
        </w:tc>
        <w:tc>
          <w:tcPr>
            <w:tcW w:w="2314" w:type="dxa"/>
            <w:shd w:val="clear" w:color="auto" w:fill="auto"/>
            <w:vAlign w:val="center"/>
          </w:tcPr>
          <w:p w:rsidR="003D0853" w:rsidRPr="0009369D" w:rsidRDefault="003D0853" w:rsidP="009B20E8">
            <w:pPr>
              <w:rPr>
                <w:rFonts w:ascii="Arial" w:hAnsi="Arial" w:cs="Arial"/>
                <w:sz w:val="20"/>
                <w:szCs w:val="20"/>
                <w:rtl/>
              </w:rPr>
            </w:pPr>
            <w:r w:rsidRPr="0009369D">
              <w:rPr>
                <w:rFonts w:ascii="Arial" w:hAnsi="Arial" w:cs="Arial"/>
                <w:sz w:val="20"/>
                <w:szCs w:val="20"/>
                <w:rtl/>
              </w:rPr>
              <w:t>הכנסות</w:t>
            </w:r>
          </w:p>
        </w:tc>
        <w:tc>
          <w:tcPr>
            <w:tcW w:w="1255" w:type="dxa"/>
            <w:shd w:val="clear" w:color="auto" w:fill="auto"/>
            <w:vAlign w:val="center"/>
          </w:tcPr>
          <w:p w:rsidR="003D0853" w:rsidRPr="0009369D" w:rsidRDefault="003D0853" w:rsidP="009B20E8">
            <w:pPr>
              <w:rPr>
                <w:rFonts w:ascii="Arial" w:hAnsi="Arial" w:cs="Arial"/>
                <w:sz w:val="20"/>
                <w:szCs w:val="20"/>
                <w:rtl/>
              </w:rPr>
            </w:pPr>
            <w:r w:rsidRPr="0009369D">
              <w:rPr>
                <w:rFonts w:ascii="Arial" w:hAnsi="Arial" w:cs="Arial"/>
                <w:sz w:val="20"/>
                <w:szCs w:val="20"/>
                <w:rtl/>
              </w:rPr>
              <w:t>(</w:t>
            </w:r>
            <w:r w:rsidRPr="0009369D">
              <w:rPr>
                <w:rFonts w:ascii="Arial" w:hAnsi="Arial" w:cs="Arial" w:hint="cs"/>
                <w:sz w:val="20"/>
                <w:szCs w:val="20"/>
                <w:rtl/>
              </w:rPr>
              <w:t>780</w:t>
            </w:r>
            <w:r w:rsidRPr="0009369D">
              <w:rPr>
                <w:rFonts w:ascii="Arial" w:hAnsi="Arial" w:cs="Arial"/>
                <w:sz w:val="20"/>
                <w:szCs w:val="20"/>
                <w:rtl/>
              </w:rPr>
              <w:t>)</w:t>
            </w:r>
          </w:p>
        </w:tc>
        <w:tc>
          <w:tcPr>
            <w:tcW w:w="1078" w:type="dxa"/>
            <w:shd w:val="clear" w:color="auto" w:fill="auto"/>
            <w:vAlign w:val="center"/>
          </w:tcPr>
          <w:p w:rsidR="003D0853" w:rsidRPr="0009369D" w:rsidRDefault="003D0853" w:rsidP="009B20E8">
            <w:pPr>
              <w:rPr>
                <w:rFonts w:ascii="Arial" w:hAnsi="Arial" w:cs="Arial"/>
                <w:sz w:val="20"/>
                <w:szCs w:val="20"/>
                <w:rtl/>
              </w:rPr>
            </w:pPr>
          </w:p>
        </w:tc>
        <w:tc>
          <w:tcPr>
            <w:tcW w:w="1095" w:type="dxa"/>
            <w:shd w:val="clear" w:color="auto" w:fill="auto"/>
            <w:vAlign w:val="center"/>
          </w:tcPr>
          <w:p w:rsidR="003D0853" w:rsidRPr="0009369D" w:rsidRDefault="003D0853" w:rsidP="009B20E8">
            <w:pPr>
              <w:rPr>
                <w:rFonts w:ascii="Arial" w:hAnsi="Arial" w:cs="Arial"/>
                <w:sz w:val="20"/>
                <w:szCs w:val="20"/>
              </w:rPr>
            </w:pPr>
          </w:p>
        </w:tc>
        <w:tc>
          <w:tcPr>
            <w:tcW w:w="782" w:type="dxa"/>
            <w:shd w:val="clear" w:color="auto" w:fill="auto"/>
            <w:vAlign w:val="center"/>
          </w:tcPr>
          <w:p w:rsidR="003D0853" w:rsidRPr="0009369D" w:rsidRDefault="003D0853" w:rsidP="009B20E8">
            <w:pPr>
              <w:rPr>
                <w:rFonts w:ascii="Arial" w:hAnsi="Arial" w:cs="Arial"/>
                <w:sz w:val="20"/>
                <w:szCs w:val="20"/>
                <w:rtl/>
              </w:rPr>
            </w:pPr>
          </w:p>
        </w:tc>
        <w:tc>
          <w:tcPr>
            <w:tcW w:w="1083" w:type="dxa"/>
            <w:shd w:val="clear" w:color="auto" w:fill="auto"/>
            <w:vAlign w:val="center"/>
          </w:tcPr>
          <w:p w:rsidR="003D0853" w:rsidRPr="0009369D" w:rsidRDefault="003D0853" w:rsidP="009B20E8">
            <w:pPr>
              <w:rPr>
                <w:rFonts w:ascii="Arial" w:hAnsi="Arial" w:cs="Arial"/>
                <w:sz w:val="20"/>
                <w:szCs w:val="20"/>
                <w:rtl/>
              </w:rPr>
            </w:pPr>
            <w:r w:rsidRPr="0009369D">
              <w:rPr>
                <w:rFonts w:ascii="Arial" w:hAnsi="Arial" w:cs="Arial"/>
                <w:sz w:val="20"/>
                <w:szCs w:val="20"/>
                <w:rtl/>
              </w:rPr>
              <w:t>(397)</w:t>
            </w:r>
          </w:p>
        </w:tc>
        <w:tc>
          <w:tcPr>
            <w:tcW w:w="1149" w:type="dxa"/>
            <w:shd w:val="clear" w:color="auto" w:fill="auto"/>
            <w:vAlign w:val="center"/>
          </w:tcPr>
          <w:p w:rsidR="003D0853" w:rsidRPr="0009369D" w:rsidRDefault="003D0853" w:rsidP="009B20E8">
            <w:pPr>
              <w:rPr>
                <w:rFonts w:ascii="Arial" w:hAnsi="Arial" w:cs="Arial"/>
                <w:sz w:val="20"/>
                <w:szCs w:val="20"/>
                <w:rtl/>
              </w:rPr>
            </w:pPr>
            <w:r w:rsidRPr="0009369D">
              <w:rPr>
                <w:rFonts w:ascii="Arial" w:hAnsi="Arial" w:cs="Arial"/>
                <w:sz w:val="20"/>
                <w:szCs w:val="20"/>
                <w:rtl/>
              </w:rPr>
              <w:t>(</w:t>
            </w:r>
            <w:r w:rsidRPr="0009369D">
              <w:rPr>
                <w:rFonts w:ascii="Arial" w:hAnsi="Arial" w:cs="Arial" w:hint="cs"/>
                <w:sz w:val="20"/>
                <w:szCs w:val="20"/>
                <w:rtl/>
              </w:rPr>
              <w:t>527</w:t>
            </w:r>
            <w:r w:rsidRPr="0009369D">
              <w:rPr>
                <w:rFonts w:ascii="Arial" w:hAnsi="Arial" w:cs="Arial"/>
                <w:sz w:val="20"/>
                <w:szCs w:val="20"/>
                <w:rtl/>
              </w:rPr>
              <w:t>)</w:t>
            </w:r>
          </w:p>
        </w:tc>
      </w:tr>
      <w:tr w:rsidR="003D0853" w:rsidRPr="00646718" w:rsidTr="009B20E8">
        <w:trPr>
          <w:trHeight w:val="510"/>
        </w:trPr>
        <w:tc>
          <w:tcPr>
            <w:tcW w:w="468" w:type="dxa"/>
            <w:shd w:val="clear" w:color="auto" w:fill="auto"/>
            <w:vAlign w:val="center"/>
          </w:tcPr>
          <w:p w:rsidR="003D0853" w:rsidRPr="0009369D" w:rsidRDefault="003D0853" w:rsidP="009B20E8">
            <w:pPr>
              <w:rPr>
                <w:rFonts w:ascii="Arial" w:hAnsi="Arial" w:cs="Arial"/>
                <w:sz w:val="20"/>
                <w:szCs w:val="20"/>
                <w:rtl/>
              </w:rPr>
            </w:pPr>
            <w:r w:rsidRPr="0009369D">
              <w:rPr>
                <w:rFonts w:ascii="Arial" w:hAnsi="Arial" w:cs="Arial"/>
                <w:sz w:val="20"/>
                <w:szCs w:val="20"/>
                <w:rtl/>
              </w:rPr>
              <w:t>07</w:t>
            </w:r>
          </w:p>
        </w:tc>
        <w:tc>
          <w:tcPr>
            <w:tcW w:w="2314" w:type="dxa"/>
            <w:shd w:val="clear" w:color="auto" w:fill="auto"/>
            <w:vAlign w:val="center"/>
          </w:tcPr>
          <w:p w:rsidR="003D0853" w:rsidRPr="0009369D" w:rsidRDefault="003D0853" w:rsidP="009B20E8">
            <w:pPr>
              <w:rPr>
                <w:rFonts w:ascii="Arial" w:hAnsi="Arial" w:cs="Arial"/>
                <w:sz w:val="20"/>
                <w:szCs w:val="20"/>
                <w:rtl/>
              </w:rPr>
            </w:pPr>
            <w:r w:rsidRPr="0009369D">
              <w:rPr>
                <w:rFonts w:ascii="Arial" w:hAnsi="Arial" w:cs="Arial"/>
                <w:sz w:val="20"/>
                <w:szCs w:val="20"/>
                <w:rtl/>
              </w:rPr>
              <w:t>עתודה</w:t>
            </w:r>
          </w:p>
        </w:tc>
        <w:tc>
          <w:tcPr>
            <w:tcW w:w="1255" w:type="dxa"/>
            <w:shd w:val="clear" w:color="auto" w:fill="auto"/>
            <w:vAlign w:val="center"/>
          </w:tcPr>
          <w:p w:rsidR="003D0853" w:rsidRPr="0009369D" w:rsidRDefault="003D0853" w:rsidP="009B20E8">
            <w:pPr>
              <w:rPr>
                <w:rFonts w:ascii="Arial" w:hAnsi="Arial" w:cs="Arial"/>
                <w:sz w:val="20"/>
                <w:szCs w:val="20"/>
              </w:rPr>
            </w:pPr>
            <w:r w:rsidRPr="0009369D">
              <w:rPr>
                <w:rFonts w:ascii="Arial" w:hAnsi="Arial" w:cs="Arial" w:hint="cs"/>
                <w:sz w:val="20"/>
                <w:szCs w:val="20"/>
                <w:rtl/>
              </w:rPr>
              <w:t>98,245</w:t>
            </w:r>
          </w:p>
        </w:tc>
        <w:tc>
          <w:tcPr>
            <w:tcW w:w="1078" w:type="dxa"/>
            <w:shd w:val="clear" w:color="auto" w:fill="auto"/>
            <w:vAlign w:val="center"/>
          </w:tcPr>
          <w:p w:rsidR="003D0853" w:rsidRPr="0009369D" w:rsidRDefault="003D0853" w:rsidP="009B20E8">
            <w:pPr>
              <w:rPr>
                <w:rFonts w:ascii="Arial" w:hAnsi="Arial" w:cs="Arial"/>
                <w:sz w:val="20"/>
                <w:szCs w:val="20"/>
              </w:rPr>
            </w:pPr>
            <w:r w:rsidRPr="0009369D">
              <w:rPr>
                <w:rFonts w:ascii="Arial" w:hAnsi="Arial" w:cs="Arial" w:hint="cs"/>
                <w:sz w:val="20"/>
                <w:szCs w:val="20"/>
                <w:rtl/>
              </w:rPr>
              <w:t>47,452</w:t>
            </w:r>
          </w:p>
        </w:tc>
        <w:tc>
          <w:tcPr>
            <w:tcW w:w="1095" w:type="dxa"/>
            <w:shd w:val="clear" w:color="auto" w:fill="auto"/>
            <w:vAlign w:val="center"/>
          </w:tcPr>
          <w:p w:rsidR="003D0853" w:rsidRPr="0009369D" w:rsidRDefault="003D0853" w:rsidP="009B20E8">
            <w:pPr>
              <w:rPr>
                <w:rFonts w:ascii="Arial" w:hAnsi="Arial" w:cs="Arial"/>
                <w:sz w:val="20"/>
                <w:szCs w:val="20"/>
                <w:rtl/>
              </w:rPr>
            </w:pPr>
            <w:r w:rsidRPr="0009369D">
              <w:rPr>
                <w:rFonts w:ascii="Arial" w:hAnsi="Arial" w:cs="Arial" w:hint="cs"/>
                <w:sz w:val="20"/>
                <w:szCs w:val="20"/>
                <w:rtl/>
              </w:rPr>
              <w:t>49,735</w:t>
            </w:r>
          </w:p>
        </w:tc>
        <w:tc>
          <w:tcPr>
            <w:tcW w:w="782" w:type="dxa"/>
            <w:shd w:val="clear" w:color="auto" w:fill="auto"/>
            <w:vAlign w:val="center"/>
          </w:tcPr>
          <w:p w:rsidR="003D0853" w:rsidRPr="0009369D" w:rsidRDefault="003D0853" w:rsidP="009B20E8">
            <w:pPr>
              <w:rPr>
                <w:rFonts w:ascii="Arial" w:hAnsi="Arial" w:cs="Arial"/>
                <w:sz w:val="20"/>
                <w:szCs w:val="20"/>
              </w:rPr>
            </w:pPr>
          </w:p>
        </w:tc>
        <w:tc>
          <w:tcPr>
            <w:tcW w:w="1083" w:type="dxa"/>
            <w:shd w:val="clear" w:color="auto" w:fill="auto"/>
            <w:vAlign w:val="center"/>
          </w:tcPr>
          <w:p w:rsidR="003D0853" w:rsidRPr="0009369D" w:rsidRDefault="003D0853" w:rsidP="009B20E8">
            <w:pPr>
              <w:rPr>
                <w:rFonts w:ascii="Arial" w:hAnsi="Arial" w:cs="Arial"/>
                <w:sz w:val="20"/>
                <w:szCs w:val="20"/>
              </w:rPr>
            </w:pPr>
            <w:r w:rsidRPr="0009369D">
              <w:rPr>
                <w:rFonts w:ascii="Arial" w:hAnsi="Arial" w:cs="Arial"/>
                <w:sz w:val="20"/>
                <w:szCs w:val="20"/>
              </w:rPr>
              <w:t>48,671</w:t>
            </w:r>
          </w:p>
        </w:tc>
        <w:tc>
          <w:tcPr>
            <w:tcW w:w="1149" w:type="dxa"/>
            <w:shd w:val="clear" w:color="auto" w:fill="auto"/>
            <w:vAlign w:val="center"/>
          </w:tcPr>
          <w:p w:rsidR="003D0853" w:rsidRPr="0009369D" w:rsidRDefault="003D0853" w:rsidP="009B20E8">
            <w:pPr>
              <w:rPr>
                <w:rFonts w:ascii="Arial" w:hAnsi="Arial" w:cs="Arial"/>
                <w:sz w:val="20"/>
                <w:szCs w:val="20"/>
              </w:rPr>
            </w:pPr>
          </w:p>
        </w:tc>
      </w:tr>
      <w:tr w:rsidR="003D0853" w:rsidRPr="00646718" w:rsidTr="009B20E8">
        <w:trPr>
          <w:trHeight w:val="510"/>
        </w:trPr>
        <w:tc>
          <w:tcPr>
            <w:tcW w:w="468" w:type="dxa"/>
            <w:shd w:val="clear" w:color="auto" w:fill="auto"/>
            <w:vAlign w:val="center"/>
          </w:tcPr>
          <w:p w:rsidR="003D0853" w:rsidRPr="0009369D" w:rsidRDefault="003D0853" w:rsidP="009B20E8">
            <w:pPr>
              <w:rPr>
                <w:rFonts w:ascii="Arial" w:hAnsi="Arial" w:cs="Arial"/>
                <w:sz w:val="20"/>
                <w:szCs w:val="20"/>
                <w:rtl/>
              </w:rPr>
            </w:pPr>
            <w:r w:rsidRPr="0009369D">
              <w:rPr>
                <w:rFonts w:ascii="Arial" w:hAnsi="Arial" w:cs="Arial"/>
                <w:sz w:val="20"/>
                <w:szCs w:val="20"/>
                <w:rtl/>
              </w:rPr>
              <w:t>08</w:t>
            </w:r>
          </w:p>
        </w:tc>
        <w:tc>
          <w:tcPr>
            <w:tcW w:w="2314" w:type="dxa"/>
            <w:shd w:val="clear" w:color="auto" w:fill="auto"/>
            <w:vAlign w:val="center"/>
          </w:tcPr>
          <w:p w:rsidR="003D0853" w:rsidRPr="0009369D" w:rsidRDefault="003D0853" w:rsidP="009B20E8">
            <w:pPr>
              <w:rPr>
                <w:rFonts w:ascii="Arial" w:hAnsi="Arial" w:cs="Arial"/>
                <w:sz w:val="20"/>
                <w:szCs w:val="20"/>
                <w:rtl/>
              </w:rPr>
            </w:pPr>
            <w:r w:rsidRPr="0009369D">
              <w:rPr>
                <w:rFonts w:ascii="Arial" w:hAnsi="Arial" w:cs="Arial"/>
                <w:sz w:val="20"/>
                <w:szCs w:val="20"/>
                <w:rtl/>
              </w:rPr>
              <w:t>הדפסת כסף</w:t>
            </w:r>
          </w:p>
        </w:tc>
        <w:tc>
          <w:tcPr>
            <w:tcW w:w="1255" w:type="dxa"/>
            <w:shd w:val="clear" w:color="auto" w:fill="auto"/>
            <w:vAlign w:val="center"/>
          </w:tcPr>
          <w:p w:rsidR="003D0853" w:rsidRPr="0009369D" w:rsidRDefault="003D0853" w:rsidP="009B20E8">
            <w:pPr>
              <w:rPr>
                <w:rFonts w:ascii="Arial" w:hAnsi="Arial" w:cs="Arial"/>
                <w:sz w:val="20"/>
                <w:szCs w:val="20"/>
                <w:rtl/>
              </w:rPr>
            </w:pPr>
            <w:r w:rsidRPr="0009369D">
              <w:rPr>
                <w:rFonts w:ascii="Arial" w:hAnsi="Arial" w:cs="Arial" w:hint="cs"/>
                <w:sz w:val="20"/>
                <w:szCs w:val="20"/>
                <w:rtl/>
              </w:rPr>
              <w:t>89,306</w:t>
            </w:r>
          </w:p>
        </w:tc>
        <w:tc>
          <w:tcPr>
            <w:tcW w:w="1078" w:type="dxa"/>
            <w:shd w:val="clear" w:color="auto" w:fill="auto"/>
            <w:vAlign w:val="center"/>
          </w:tcPr>
          <w:p w:rsidR="003D0853" w:rsidRPr="0009369D" w:rsidRDefault="003D0853" w:rsidP="009B20E8">
            <w:pPr>
              <w:rPr>
                <w:rFonts w:ascii="Arial" w:hAnsi="Arial" w:cs="Arial"/>
                <w:sz w:val="20"/>
                <w:szCs w:val="20"/>
              </w:rPr>
            </w:pPr>
          </w:p>
        </w:tc>
        <w:tc>
          <w:tcPr>
            <w:tcW w:w="1095" w:type="dxa"/>
            <w:shd w:val="clear" w:color="auto" w:fill="auto"/>
            <w:vAlign w:val="center"/>
          </w:tcPr>
          <w:p w:rsidR="003D0853" w:rsidRPr="0009369D" w:rsidRDefault="003D0853" w:rsidP="009B20E8">
            <w:pPr>
              <w:rPr>
                <w:rFonts w:ascii="Arial" w:hAnsi="Arial" w:cs="Arial"/>
                <w:sz w:val="20"/>
                <w:szCs w:val="20"/>
              </w:rPr>
            </w:pPr>
            <w:r w:rsidRPr="0009369D">
              <w:rPr>
                <w:rFonts w:ascii="Arial" w:hAnsi="Arial" w:cs="Arial" w:hint="cs"/>
                <w:sz w:val="20"/>
                <w:szCs w:val="20"/>
                <w:rtl/>
              </w:rPr>
              <w:t>176,670</w:t>
            </w:r>
          </w:p>
        </w:tc>
        <w:tc>
          <w:tcPr>
            <w:tcW w:w="782" w:type="dxa"/>
            <w:shd w:val="clear" w:color="auto" w:fill="auto"/>
            <w:vAlign w:val="center"/>
          </w:tcPr>
          <w:p w:rsidR="003D0853" w:rsidRPr="0009369D" w:rsidRDefault="003D0853" w:rsidP="009B20E8">
            <w:pPr>
              <w:rPr>
                <w:rFonts w:ascii="Arial" w:hAnsi="Arial" w:cs="Arial"/>
                <w:sz w:val="20"/>
                <w:szCs w:val="20"/>
              </w:rPr>
            </w:pPr>
          </w:p>
        </w:tc>
        <w:tc>
          <w:tcPr>
            <w:tcW w:w="1083" w:type="dxa"/>
            <w:shd w:val="clear" w:color="auto" w:fill="auto"/>
            <w:vAlign w:val="center"/>
          </w:tcPr>
          <w:p w:rsidR="003D0853" w:rsidRPr="0009369D" w:rsidRDefault="003D0853" w:rsidP="009B20E8">
            <w:pPr>
              <w:rPr>
                <w:rFonts w:ascii="Arial" w:hAnsi="Arial" w:cs="Arial"/>
                <w:sz w:val="20"/>
                <w:szCs w:val="20"/>
                <w:rtl/>
              </w:rPr>
            </w:pPr>
            <w:r w:rsidRPr="0009369D">
              <w:rPr>
                <w:rFonts w:ascii="Arial" w:hAnsi="Arial" w:cs="Arial"/>
                <w:sz w:val="20"/>
                <w:szCs w:val="20"/>
              </w:rPr>
              <w:t>150,734</w:t>
            </w:r>
          </w:p>
        </w:tc>
        <w:tc>
          <w:tcPr>
            <w:tcW w:w="1149" w:type="dxa"/>
            <w:shd w:val="clear" w:color="auto" w:fill="auto"/>
            <w:vAlign w:val="center"/>
          </w:tcPr>
          <w:p w:rsidR="003D0853" w:rsidRPr="0009369D" w:rsidRDefault="003D0853" w:rsidP="009B20E8">
            <w:pPr>
              <w:rPr>
                <w:rFonts w:ascii="Arial" w:hAnsi="Arial" w:cs="Arial"/>
                <w:sz w:val="20"/>
                <w:szCs w:val="20"/>
              </w:rPr>
            </w:pPr>
            <w:r w:rsidRPr="0009369D">
              <w:rPr>
                <w:rFonts w:ascii="Arial" w:hAnsi="Arial" w:cs="Arial" w:hint="cs"/>
                <w:sz w:val="20"/>
                <w:szCs w:val="20"/>
                <w:rtl/>
              </w:rPr>
              <w:t>51,488</w:t>
            </w:r>
          </w:p>
        </w:tc>
      </w:tr>
    </w:tbl>
    <w:p w:rsidR="00194DDA" w:rsidRDefault="00194DDA" w:rsidP="00A23320">
      <w:pPr>
        <w:spacing w:before="120" w:line="360" w:lineRule="auto"/>
        <w:jc w:val="both"/>
        <w:rPr>
          <w:rFonts w:ascii="Arial" w:hAnsi="Arial" w:cs="David"/>
          <w:i/>
          <w:iCs/>
          <w:sz w:val="22"/>
          <w:szCs w:val="22"/>
          <w:rtl/>
        </w:rPr>
      </w:pPr>
    </w:p>
    <w:p w:rsidR="003D0853" w:rsidRPr="00194DDA" w:rsidRDefault="003D0853" w:rsidP="00934011">
      <w:pPr>
        <w:spacing w:before="120" w:line="360" w:lineRule="auto"/>
        <w:jc w:val="both"/>
        <w:rPr>
          <w:rFonts w:ascii="Arial" w:hAnsi="Arial" w:cs="David"/>
          <w:i/>
          <w:iCs/>
          <w:sz w:val="22"/>
          <w:szCs w:val="22"/>
          <w:rtl/>
        </w:rPr>
      </w:pPr>
    </w:p>
    <w:sectPr w:rsidR="003D0853" w:rsidRPr="00194DDA" w:rsidSect="00D86318">
      <w:footerReference w:type="even" r:id="rId10"/>
      <w:footerReference w:type="default" r:id="rId11"/>
      <w:footerReference w:type="first" r:id="rId12"/>
      <w:pgSz w:w="11906" w:h="16838" w:code="9"/>
      <w:pgMar w:top="1259" w:right="1644" w:bottom="993" w:left="1440" w:header="454" w:footer="28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EE6" w:rsidRDefault="00AB0EE6">
      <w:r>
        <w:separator/>
      </w:r>
    </w:p>
  </w:endnote>
  <w:endnote w:type="continuationSeparator" w:id="0">
    <w:p w:rsidR="00AB0EE6" w:rsidRDefault="00AB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1FC" w:rsidRDefault="00D721FC" w:rsidP="00B564E6">
    <w:pPr>
      <w:pStyle w:val="a5"/>
      <w:framePr w:wrap="around" w:vAnchor="text" w:hAnchor="text" w:y="1"/>
      <w:rPr>
        <w:rStyle w:val="a7"/>
      </w:rPr>
    </w:pPr>
    <w:r>
      <w:rPr>
        <w:rStyle w:val="a7"/>
        <w:rtl/>
      </w:rPr>
      <w:fldChar w:fldCharType="begin"/>
    </w:r>
    <w:r>
      <w:rPr>
        <w:rStyle w:val="a7"/>
      </w:rPr>
      <w:instrText xml:space="preserve">PAGE  </w:instrText>
    </w:r>
    <w:r>
      <w:rPr>
        <w:rStyle w:val="a7"/>
        <w:rtl/>
      </w:rPr>
      <w:fldChar w:fldCharType="end"/>
    </w:r>
  </w:p>
  <w:p w:rsidR="00D721FC" w:rsidRDefault="00D721FC" w:rsidP="0069598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sz w:val="18"/>
        <w:szCs w:val="18"/>
        <w:rtl/>
      </w:rPr>
      <w:id w:val="-687979046"/>
      <w:docPartObj>
        <w:docPartGallery w:val="Page Numbers (Bottom of Page)"/>
        <w:docPartUnique/>
      </w:docPartObj>
    </w:sdtPr>
    <w:sdtEndPr>
      <w:rPr>
        <w:cs/>
      </w:rPr>
    </w:sdtEndPr>
    <w:sdtContent>
      <w:sdt>
        <w:sdtPr>
          <w:rPr>
            <w:rFonts w:cs="David"/>
            <w:sz w:val="18"/>
            <w:szCs w:val="18"/>
            <w:rtl/>
          </w:rPr>
          <w:id w:val="153725958"/>
          <w:docPartObj>
            <w:docPartGallery w:val="Page Numbers (Top of Page)"/>
            <w:docPartUnique/>
          </w:docPartObj>
        </w:sdtPr>
        <w:sdtEndPr/>
        <w:sdtContent>
          <w:p w:rsidR="00D721FC" w:rsidRPr="004A0CEC" w:rsidRDefault="004A0CEC" w:rsidP="004A0CEC">
            <w:pPr>
              <w:pStyle w:val="a5"/>
              <w:ind w:left="-392"/>
              <w:jc w:val="right"/>
              <w:rPr>
                <w:rFonts w:cs="David"/>
                <w:sz w:val="18"/>
                <w:szCs w:val="18"/>
              </w:rPr>
            </w:pPr>
            <w:r w:rsidRPr="006537C5">
              <w:rPr>
                <w:rFonts w:cs="David" w:hint="cs"/>
                <w:sz w:val="18"/>
                <w:szCs w:val="18"/>
                <w:rtl/>
                <w:cs/>
                <w:lang w:val="he-IL"/>
              </w:rPr>
              <w:t xml:space="preserve">בנק ישראל </w:t>
            </w:r>
            <w:r w:rsidRPr="006537C5">
              <w:rPr>
                <w:rFonts w:cs="David"/>
                <w:sz w:val="18"/>
                <w:szCs w:val="18"/>
                <w:rtl/>
                <w:lang w:val="he-IL"/>
              </w:rPr>
              <w:t>–</w:t>
            </w:r>
            <w:r w:rsidRPr="006537C5">
              <w:rPr>
                <w:rFonts w:cs="David" w:hint="cs"/>
                <w:sz w:val="18"/>
                <w:szCs w:val="18"/>
                <w:rtl/>
                <w:cs/>
                <w:lang w:val="he-IL"/>
              </w:rPr>
              <w:t xml:space="preserve"> </w:t>
            </w:r>
            <w:r w:rsidRPr="006537C5">
              <w:rPr>
                <w:rFonts w:cs="David" w:hint="cs"/>
                <w:sz w:val="18"/>
                <w:szCs w:val="18"/>
                <w:rtl/>
                <w:lang w:val="he-IL"/>
              </w:rPr>
              <w:t xml:space="preserve">הודעה לעיתונות על </w:t>
            </w:r>
            <w:r w:rsidRPr="006537C5">
              <w:rPr>
                <w:rFonts w:cs="David"/>
                <w:sz w:val="18"/>
                <w:szCs w:val="18"/>
                <w:rtl/>
                <w:lang w:val="he-IL"/>
              </w:rPr>
              <w:t>תכנית העבודה ותקציב הבנק לשנת</w:t>
            </w:r>
            <w:r w:rsidRPr="006537C5">
              <w:rPr>
                <w:rFonts w:cs="David" w:hint="cs"/>
                <w:sz w:val="18"/>
                <w:szCs w:val="18"/>
                <w:rtl/>
                <w:lang w:val="he-IL"/>
              </w:rPr>
              <w:t xml:space="preserve"> 2014</w:t>
            </w:r>
            <w:r w:rsidRPr="006537C5">
              <w:rPr>
                <w:rFonts w:cs="David" w:hint="cs"/>
                <w:sz w:val="18"/>
                <w:szCs w:val="18"/>
                <w:rtl/>
                <w:lang w:val="he-IL"/>
              </w:rPr>
              <w:tab/>
            </w:r>
            <w:r w:rsidRPr="006537C5">
              <w:rPr>
                <w:rFonts w:ascii="Arial" w:hAnsi="Arial" w:cs="David" w:hint="cs"/>
                <w:sz w:val="18"/>
                <w:szCs w:val="18"/>
                <w:rtl/>
              </w:rPr>
              <w:t xml:space="preserve"> </w:t>
            </w:r>
            <w:r w:rsidRPr="006537C5">
              <w:rPr>
                <w:rFonts w:cs="David"/>
                <w:sz w:val="18"/>
                <w:szCs w:val="18"/>
                <w:rtl/>
                <w:cs/>
                <w:lang w:val="he-IL"/>
              </w:rPr>
              <w:t xml:space="preserve">עמוד </w:t>
            </w:r>
            <w:r w:rsidRPr="006537C5">
              <w:rPr>
                <w:rFonts w:cs="David"/>
                <w:b/>
                <w:bCs/>
                <w:sz w:val="18"/>
                <w:szCs w:val="18"/>
              </w:rPr>
              <w:fldChar w:fldCharType="begin"/>
            </w:r>
            <w:r w:rsidRPr="006537C5">
              <w:rPr>
                <w:rFonts w:cs="David"/>
                <w:b/>
                <w:bCs/>
                <w:sz w:val="18"/>
                <w:szCs w:val="18"/>
                <w:rtl/>
                <w:cs/>
              </w:rPr>
              <w:instrText>PAGE</w:instrText>
            </w:r>
            <w:r w:rsidRPr="006537C5">
              <w:rPr>
                <w:rFonts w:cs="David"/>
                <w:b/>
                <w:bCs/>
                <w:sz w:val="18"/>
                <w:szCs w:val="18"/>
              </w:rPr>
              <w:fldChar w:fldCharType="separate"/>
            </w:r>
            <w:r w:rsidR="00BD5C80">
              <w:rPr>
                <w:rFonts w:cs="David"/>
                <w:b/>
                <w:bCs/>
                <w:noProof/>
                <w:sz w:val="18"/>
                <w:szCs w:val="18"/>
                <w:rtl/>
              </w:rPr>
              <w:t>1</w:t>
            </w:r>
            <w:r w:rsidRPr="006537C5">
              <w:rPr>
                <w:rFonts w:cs="David"/>
                <w:b/>
                <w:bCs/>
                <w:sz w:val="18"/>
                <w:szCs w:val="18"/>
              </w:rPr>
              <w:fldChar w:fldCharType="end"/>
            </w:r>
            <w:r w:rsidRPr="006537C5">
              <w:rPr>
                <w:rFonts w:cs="David"/>
                <w:sz w:val="18"/>
                <w:szCs w:val="18"/>
                <w:rtl/>
                <w:cs/>
                <w:lang w:val="he-IL"/>
              </w:rPr>
              <w:t xml:space="preserve"> מתוך </w:t>
            </w:r>
            <w:r w:rsidRPr="006537C5">
              <w:rPr>
                <w:rFonts w:cs="David"/>
                <w:b/>
                <w:bCs/>
                <w:sz w:val="18"/>
                <w:szCs w:val="18"/>
              </w:rPr>
              <w:fldChar w:fldCharType="begin"/>
            </w:r>
            <w:r w:rsidRPr="006537C5">
              <w:rPr>
                <w:rFonts w:cs="David"/>
                <w:b/>
                <w:bCs/>
                <w:sz w:val="18"/>
                <w:szCs w:val="18"/>
                <w:rtl/>
                <w:cs/>
              </w:rPr>
              <w:instrText>NUMPAGES</w:instrText>
            </w:r>
            <w:r w:rsidRPr="006537C5">
              <w:rPr>
                <w:rFonts w:cs="David"/>
                <w:b/>
                <w:bCs/>
                <w:sz w:val="18"/>
                <w:szCs w:val="18"/>
              </w:rPr>
              <w:fldChar w:fldCharType="separate"/>
            </w:r>
            <w:r w:rsidR="00BD5C80">
              <w:rPr>
                <w:rFonts w:cs="David"/>
                <w:b/>
                <w:bCs/>
                <w:noProof/>
                <w:sz w:val="18"/>
                <w:szCs w:val="18"/>
                <w:rtl/>
              </w:rPr>
              <w:t>4</w:t>
            </w:r>
            <w:r w:rsidRPr="006537C5">
              <w:rPr>
                <w:rFonts w:cs="David"/>
                <w:b/>
                <w:bCs/>
                <w:sz w:val="18"/>
                <w:szCs w:val="18"/>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sz w:val="18"/>
        <w:szCs w:val="18"/>
        <w:rtl/>
      </w:rPr>
      <w:id w:val="428003741"/>
      <w:docPartObj>
        <w:docPartGallery w:val="Page Numbers (Bottom of Page)"/>
        <w:docPartUnique/>
      </w:docPartObj>
    </w:sdtPr>
    <w:sdtEndPr>
      <w:rPr>
        <w:cs/>
      </w:rPr>
    </w:sdtEndPr>
    <w:sdtContent>
      <w:sdt>
        <w:sdtPr>
          <w:rPr>
            <w:rFonts w:cs="David"/>
            <w:sz w:val="18"/>
            <w:szCs w:val="18"/>
            <w:rtl/>
          </w:rPr>
          <w:id w:val="860082579"/>
          <w:docPartObj>
            <w:docPartGallery w:val="Page Numbers (Top of Page)"/>
            <w:docPartUnique/>
          </w:docPartObj>
        </w:sdtPr>
        <w:sdtEndPr/>
        <w:sdtContent>
          <w:p w:rsidR="006537C5" w:rsidRPr="006537C5" w:rsidRDefault="006537C5" w:rsidP="006537C5">
            <w:pPr>
              <w:pStyle w:val="a5"/>
              <w:ind w:left="-392"/>
              <w:jc w:val="right"/>
              <w:rPr>
                <w:rFonts w:cs="David"/>
                <w:sz w:val="18"/>
                <w:szCs w:val="18"/>
                <w:rtl/>
                <w:cs/>
              </w:rPr>
            </w:pPr>
            <w:r w:rsidRPr="006537C5">
              <w:rPr>
                <w:rFonts w:cs="David" w:hint="cs"/>
                <w:sz w:val="18"/>
                <w:szCs w:val="18"/>
                <w:rtl/>
                <w:cs/>
                <w:lang w:val="he-IL"/>
              </w:rPr>
              <w:t xml:space="preserve">בנק ישראל </w:t>
            </w:r>
            <w:r w:rsidRPr="006537C5">
              <w:rPr>
                <w:rFonts w:cs="David"/>
                <w:sz w:val="18"/>
                <w:szCs w:val="18"/>
                <w:rtl/>
                <w:lang w:val="he-IL"/>
              </w:rPr>
              <w:t>–</w:t>
            </w:r>
            <w:r w:rsidRPr="006537C5">
              <w:rPr>
                <w:rFonts w:cs="David" w:hint="cs"/>
                <w:sz w:val="18"/>
                <w:szCs w:val="18"/>
                <w:rtl/>
                <w:cs/>
                <w:lang w:val="he-IL"/>
              </w:rPr>
              <w:t xml:space="preserve"> </w:t>
            </w:r>
            <w:r w:rsidRPr="006537C5">
              <w:rPr>
                <w:rFonts w:cs="David" w:hint="cs"/>
                <w:sz w:val="18"/>
                <w:szCs w:val="18"/>
                <w:rtl/>
                <w:lang w:val="he-IL"/>
              </w:rPr>
              <w:t xml:space="preserve">הודעה לעיתונות על </w:t>
            </w:r>
            <w:r w:rsidRPr="006537C5">
              <w:rPr>
                <w:rFonts w:cs="David"/>
                <w:sz w:val="18"/>
                <w:szCs w:val="18"/>
                <w:rtl/>
                <w:lang w:val="he-IL"/>
              </w:rPr>
              <w:t>תכנית העבודה ותקציב הבנק לשנת</w:t>
            </w:r>
            <w:r w:rsidRPr="006537C5">
              <w:rPr>
                <w:rFonts w:cs="David" w:hint="cs"/>
                <w:sz w:val="18"/>
                <w:szCs w:val="18"/>
                <w:rtl/>
                <w:lang w:val="he-IL"/>
              </w:rPr>
              <w:t xml:space="preserve"> 2014</w:t>
            </w:r>
            <w:r w:rsidRPr="006537C5">
              <w:rPr>
                <w:rFonts w:cs="David" w:hint="cs"/>
                <w:sz w:val="18"/>
                <w:szCs w:val="18"/>
                <w:rtl/>
                <w:lang w:val="he-IL"/>
              </w:rPr>
              <w:tab/>
            </w:r>
            <w:r w:rsidRPr="006537C5">
              <w:rPr>
                <w:rFonts w:ascii="Arial" w:hAnsi="Arial" w:cs="David" w:hint="cs"/>
                <w:sz w:val="18"/>
                <w:szCs w:val="18"/>
                <w:rtl/>
              </w:rPr>
              <w:t xml:space="preserve"> </w:t>
            </w:r>
            <w:r w:rsidRPr="006537C5">
              <w:rPr>
                <w:rFonts w:cs="David"/>
                <w:sz w:val="18"/>
                <w:szCs w:val="18"/>
                <w:rtl/>
                <w:cs/>
                <w:lang w:val="he-IL"/>
              </w:rPr>
              <w:t xml:space="preserve">עמוד </w:t>
            </w:r>
            <w:r w:rsidRPr="006537C5">
              <w:rPr>
                <w:rFonts w:cs="David"/>
                <w:b/>
                <w:bCs/>
                <w:sz w:val="18"/>
                <w:szCs w:val="18"/>
              </w:rPr>
              <w:fldChar w:fldCharType="begin"/>
            </w:r>
            <w:r w:rsidRPr="006537C5">
              <w:rPr>
                <w:rFonts w:cs="David"/>
                <w:b/>
                <w:bCs/>
                <w:sz w:val="18"/>
                <w:szCs w:val="18"/>
                <w:rtl/>
                <w:cs/>
              </w:rPr>
              <w:instrText>PAGE</w:instrText>
            </w:r>
            <w:r w:rsidRPr="006537C5">
              <w:rPr>
                <w:rFonts w:cs="David"/>
                <w:b/>
                <w:bCs/>
                <w:sz w:val="18"/>
                <w:szCs w:val="18"/>
              </w:rPr>
              <w:fldChar w:fldCharType="separate"/>
            </w:r>
            <w:r w:rsidR="004A0CEC">
              <w:rPr>
                <w:rFonts w:cs="David"/>
                <w:b/>
                <w:bCs/>
                <w:noProof/>
                <w:sz w:val="18"/>
                <w:szCs w:val="18"/>
                <w:rtl/>
              </w:rPr>
              <w:t>1</w:t>
            </w:r>
            <w:r w:rsidRPr="006537C5">
              <w:rPr>
                <w:rFonts w:cs="David"/>
                <w:b/>
                <w:bCs/>
                <w:sz w:val="18"/>
                <w:szCs w:val="18"/>
              </w:rPr>
              <w:fldChar w:fldCharType="end"/>
            </w:r>
            <w:r w:rsidRPr="006537C5">
              <w:rPr>
                <w:rFonts w:cs="David"/>
                <w:sz w:val="18"/>
                <w:szCs w:val="18"/>
                <w:rtl/>
                <w:cs/>
                <w:lang w:val="he-IL"/>
              </w:rPr>
              <w:t xml:space="preserve"> מתוך </w:t>
            </w:r>
            <w:r w:rsidRPr="006537C5">
              <w:rPr>
                <w:rFonts w:cs="David"/>
                <w:b/>
                <w:bCs/>
                <w:sz w:val="18"/>
                <w:szCs w:val="18"/>
              </w:rPr>
              <w:fldChar w:fldCharType="begin"/>
            </w:r>
            <w:r w:rsidRPr="006537C5">
              <w:rPr>
                <w:rFonts w:cs="David"/>
                <w:b/>
                <w:bCs/>
                <w:sz w:val="18"/>
                <w:szCs w:val="18"/>
                <w:rtl/>
                <w:cs/>
              </w:rPr>
              <w:instrText>NUMPAGES</w:instrText>
            </w:r>
            <w:r w:rsidRPr="006537C5">
              <w:rPr>
                <w:rFonts w:cs="David"/>
                <w:b/>
                <w:bCs/>
                <w:sz w:val="18"/>
                <w:szCs w:val="18"/>
              </w:rPr>
              <w:fldChar w:fldCharType="separate"/>
            </w:r>
            <w:r w:rsidR="006D31A3">
              <w:rPr>
                <w:rFonts w:cs="David"/>
                <w:b/>
                <w:bCs/>
                <w:noProof/>
                <w:sz w:val="18"/>
                <w:szCs w:val="18"/>
                <w:rtl/>
              </w:rPr>
              <w:t>5</w:t>
            </w:r>
            <w:r w:rsidRPr="006537C5">
              <w:rPr>
                <w:rFonts w:cs="David"/>
                <w:b/>
                <w:bCs/>
                <w:sz w:val="18"/>
                <w:szCs w:val="18"/>
              </w:rPr>
              <w:fldChar w:fldCharType="end"/>
            </w:r>
          </w:p>
        </w:sdtContent>
      </w:sdt>
    </w:sdtContent>
  </w:sdt>
  <w:p w:rsidR="006537C5" w:rsidRDefault="006537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EE6" w:rsidRDefault="00AB0EE6">
      <w:r>
        <w:separator/>
      </w:r>
    </w:p>
  </w:footnote>
  <w:footnote w:type="continuationSeparator" w:id="0">
    <w:p w:rsidR="00AB0EE6" w:rsidRDefault="00AB0EE6">
      <w:r>
        <w:continuationSeparator/>
      </w:r>
    </w:p>
  </w:footnote>
  <w:footnote w:id="1">
    <w:p w:rsidR="00D721FC" w:rsidRPr="008D70A4" w:rsidRDefault="00D721FC" w:rsidP="00D24EAB">
      <w:pPr>
        <w:spacing w:before="120" w:line="360" w:lineRule="auto"/>
        <w:jc w:val="both"/>
        <w:rPr>
          <w:rFonts w:ascii="Arial" w:hAnsi="Arial" w:cs="David"/>
          <w:sz w:val="18"/>
          <w:szCs w:val="18"/>
          <w:rtl/>
        </w:rPr>
      </w:pPr>
      <w:r w:rsidRPr="008D70A4">
        <w:rPr>
          <w:rStyle w:val="ae"/>
          <w:sz w:val="18"/>
          <w:szCs w:val="18"/>
        </w:rPr>
        <w:footnoteRef/>
      </w:r>
      <w:r w:rsidRPr="008D70A4">
        <w:rPr>
          <w:sz w:val="18"/>
          <w:szCs w:val="18"/>
          <w:rtl/>
        </w:rPr>
        <w:t xml:space="preserve"> </w:t>
      </w:r>
      <w:r w:rsidRPr="008D70A4">
        <w:rPr>
          <w:rFonts w:ascii="Arial" w:hAnsi="Arial" w:cs="David" w:hint="cs"/>
          <w:sz w:val="18"/>
          <w:szCs w:val="18"/>
          <w:rtl/>
        </w:rPr>
        <w:t>זו השנה הש</w:t>
      </w:r>
      <w:r w:rsidR="00C972E4" w:rsidRPr="008D70A4">
        <w:rPr>
          <w:rFonts w:ascii="Arial" w:hAnsi="Arial" w:cs="David" w:hint="cs"/>
          <w:sz w:val="18"/>
          <w:szCs w:val="18"/>
          <w:rtl/>
        </w:rPr>
        <w:t xml:space="preserve">לישית </w:t>
      </w:r>
      <w:r w:rsidRPr="008D70A4">
        <w:rPr>
          <w:rFonts w:ascii="Arial" w:hAnsi="Arial" w:cs="David" w:hint="cs"/>
          <w:sz w:val="18"/>
          <w:szCs w:val="18"/>
          <w:rtl/>
        </w:rPr>
        <w:t>בה תקציב הבנק אושר על ידי המועצה המנהלית</w:t>
      </w:r>
      <w:r w:rsidR="00D24EAB" w:rsidRPr="008D70A4">
        <w:rPr>
          <w:rFonts w:ascii="Arial" w:hAnsi="Arial" w:cs="David" w:hint="cs"/>
          <w:sz w:val="18"/>
          <w:szCs w:val="18"/>
          <w:rtl/>
        </w:rPr>
        <w:t>, גוף שתפקידו לפקח על הפעילות המנהלית של בנק ישאל ו</w:t>
      </w:r>
      <w:r w:rsidR="00C972E4" w:rsidRPr="008D70A4">
        <w:rPr>
          <w:rFonts w:ascii="Arial" w:hAnsi="Arial" w:cs="David" w:hint="cs"/>
          <w:sz w:val="18"/>
          <w:szCs w:val="18"/>
          <w:rtl/>
        </w:rPr>
        <w:t>מורכב ברוב</w:t>
      </w:r>
      <w:r w:rsidR="00D24EAB" w:rsidRPr="008D70A4">
        <w:rPr>
          <w:rFonts w:ascii="Arial" w:hAnsi="Arial" w:cs="David" w:hint="cs"/>
          <w:sz w:val="18"/>
          <w:szCs w:val="18"/>
          <w:rtl/>
        </w:rPr>
        <w:t>ו</w:t>
      </w:r>
      <w:r w:rsidR="00C972E4" w:rsidRPr="008D70A4">
        <w:rPr>
          <w:rFonts w:ascii="Arial" w:hAnsi="Arial" w:cs="David" w:hint="cs"/>
          <w:sz w:val="18"/>
          <w:szCs w:val="18"/>
          <w:rtl/>
        </w:rPr>
        <w:t xml:space="preserve"> מנציגי ציבור. חברי המועצה המנהלית </w:t>
      </w:r>
      <w:r w:rsidR="00FD4B69">
        <w:rPr>
          <w:rFonts w:ascii="Arial" w:hAnsi="Arial" w:cs="David" w:hint="cs"/>
          <w:sz w:val="18"/>
          <w:szCs w:val="18"/>
          <w:rtl/>
        </w:rPr>
        <w:t>מקרב הציבור:</w:t>
      </w:r>
      <w:r w:rsidRPr="008D70A4">
        <w:rPr>
          <w:rFonts w:ascii="Arial" w:hAnsi="Arial" w:cs="David" w:hint="cs"/>
          <w:sz w:val="18"/>
          <w:szCs w:val="18"/>
          <w:rtl/>
        </w:rPr>
        <w:t xml:space="preserve"> מר דן פרופר</w:t>
      </w:r>
      <w:r w:rsidR="00FD4B69">
        <w:rPr>
          <w:rFonts w:ascii="Arial" w:hAnsi="Arial" w:cs="David" w:hint="cs"/>
          <w:sz w:val="18"/>
          <w:szCs w:val="18"/>
          <w:rtl/>
        </w:rPr>
        <w:t xml:space="preserve"> (יו"ר)</w:t>
      </w:r>
      <w:r w:rsidRPr="008D70A4">
        <w:rPr>
          <w:rFonts w:ascii="Arial" w:hAnsi="Arial" w:cs="David" w:hint="cs"/>
          <w:sz w:val="18"/>
          <w:szCs w:val="18"/>
          <w:rtl/>
        </w:rPr>
        <w:t>, רו"ח יצחק אידלמן, מר אורי גלילי, פרופ' נינה זלצמן, גב' מקסין פסברג. חבר</w:t>
      </w:r>
      <w:r w:rsidR="00EB65F4" w:rsidRPr="008D70A4">
        <w:rPr>
          <w:rFonts w:ascii="Arial" w:hAnsi="Arial" w:cs="David" w:hint="cs"/>
          <w:sz w:val="18"/>
          <w:szCs w:val="18"/>
          <w:rtl/>
        </w:rPr>
        <w:t>ת</w:t>
      </w:r>
      <w:r w:rsidR="00C972E4" w:rsidRPr="008D70A4">
        <w:rPr>
          <w:rFonts w:ascii="Arial" w:hAnsi="Arial" w:cs="David" w:hint="cs"/>
          <w:sz w:val="18"/>
          <w:szCs w:val="18"/>
          <w:rtl/>
        </w:rPr>
        <w:t xml:space="preserve"> מועצה </w:t>
      </w:r>
      <w:r w:rsidRPr="008D70A4">
        <w:rPr>
          <w:rFonts w:ascii="Arial" w:hAnsi="Arial" w:cs="David" w:hint="cs"/>
          <w:sz w:val="18"/>
          <w:szCs w:val="18"/>
          <w:rtl/>
        </w:rPr>
        <w:t>פנימי</w:t>
      </w:r>
      <w:r w:rsidR="00EB65F4" w:rsidRPr="008D70A4">
        <w:rPr>
          <w:rFonts w:ascii="Arial" w:hAnsi="Arial" w:cs="David" w:hint="cs"/>
          <w:sz w:val="18"/>
          <w:szCs w:val="18"/>
          <w:rtl/>
        </w:rPr>
        <w:t>ת</w:t>
      </w:r>
      <w:r w:rsidRPr="008D70A4">
        <w:rPr>
          <w:rFonts w:ascii="Arial" w:hAnsi="Arial" w:cs="David" w:hint="cs"/>
          <w:sz w:val="18"/>
          <w:szCs w:val="18"/>
          <w:rtl/>
        </w:rPr>
        <w:t>: ד"ר קרנית פלוג.</w:t>
      </w:r>
    </w:p>
    <w:p w:rsidR="00D721FC" w:rsidRDefault="00D721FC" w:rsidP="00EC5E48">
      <w:pPr>
        <w:pStyle w:val="ad"/>
        <w:rPr>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4B7"/>
    <w:multiLevelType w:val="hybridMultilevel"/>
    <w:tmpl w:val="ED9C20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0717DC"/>
    <w:multiLevelType w:val="multilevel"/>
    <w:tmpl w:val="17D22128"/>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9"/>
        </w:tabs>
        <w:ind w:left="729" w:hanging="360"/>
      </w:pPr>
      <w:rPr>
        <w:rFonts w:hint="default"/>
        <w:b/>
      </w:rPr>
    </w:lvl>
    <w:lvl w:ilvl="2">
      <w:start w:val="1"/>
      <w:numFmt w:val="decimal"/>
      <w:lvlText w:val="%1.%2.%3"/>
      <w:lvlJc w:val="left"/>
      <w:pPr>
        <w:tabs>
          <w:tab w:val="num" w:pos="1458"/>
        </w:tabs>
        <w:ind w:left="1458" w:hanging="720"/>
      </w:pPr>
      <w:rPr>
        <w:rFonts w:hint="default"/>
        <w:b/>
      </w:rPr>
    </w:lvl>
    <w:lvl w:ilvl="3">
      <w:start w:val="1"/>
      <w:numFmt w:val="decimal"/>
      <w:lvlText w:val="%1.%2.%3.%4"/>
      <w:lvlJc w:val="left"/>
      <w:pPr>
        <w:tabs>
          <w:tab w:val="num" w:pos="1827"/>
        </w:tabs>
        <w:ind w:left="1827" w:hanging="720"/>
      </w:pPr>
      <w:rPr>
        <w:rFonts w:hint="default"/>
        <w:b/>
      </w:rPr>
    </w:lvl>
    <w:lvl w:ilvl="4">
      <w:start w:val="1"/>
      <w:numFmt w:val="decimal"/>
      <w:lvlText w:val="%1.%2.%3.%4.%5"/>
      <w:lvlJc w:val="left"/>
      <w:pPr>
        <w:tabs>
          <w:tab w:val="num" w:pos="2556"/>
        </w:tabs>
        <w:ind w:left="2556" w:hanging="1080"/>
      </w:pPr>
      <w:rPr>
        <w:rFonts w:hint="default"/>
        <w:b/>
      </w:rPr>
    </w:lvl>
    <w:lvl w:ilvl="5">
      <w:start w:val="1"/>
      <w:numFmt w:val="decimal"/>
      <w:lvlText w:val="%1.%2.%3.%4.%5.%6"/>
      <w:lvlJc w:val="left"/>
      <w:pPr>
        <w:tabs>
          <w:tab w:val="num" w:pos="2925"/>
        </w:tabs>
        <w:ind w:left="2925" w:hanging="1080"/>
      </w:pPr>
      <w:rPr>
        <w:rFonts w:hint="default"/>
        <w:b/>
      </w:rPr>
    </w:lvl>
    <w:lvl w:ilvl="6">
      <w:start w:val="1"/>
      <w:numFmt w:val="decimal"/>
      <w:lvlText w:val="%1.%2.%3.%4.%5.%6.%7"/>
      <w:lvlJc w:val="left"/>
      <w:pPr>
        <w:tabs>
          <w:tab w:val="num" w:pos="3654"/>
        </w:tabs>
        <w:ind w:left="3654" w:hanging="1440"/>
      </w:pPr>
      <w:rPr>
        <w:rFonts w:hint="default"/>
        <w:b/>
      </w:rPr>
    </w:lvl>
    <w:lvl w:ilvl="7">
      <w:start w:val="1"/>
      <w:numFmt w:val="decimal"/>
      <w:lvlText w:val="%1.%2.%3.%4.%5.%6.%7.%8"/>
      <w:lvlJc w:val="left"/>
      <w:pPr>
        <w:tabs>
          <w:tab w:val="num" w:pos="4023"/>
        </w:tabs>
        <w:ind w:left="4023" w:hanging="1440"/>
      </w:pPr>
      <w:rPr>
        <w:rFonts w:hint="default"/>
        <w:b/>
      </w:rPr>
    </w:lvl>
    <w:lvl w:ilvl="8">
      <w:start w:val="1"/>
      <w:numFmt w:val="decimal"/>
      <w:lvlText w:val="%1.%2.%3.%4.%5.%6.%7.%8.%9"/>
      <w:lvlJc w:val="left"/>
      <w:pPr>
        <w:tabs>
          <w:tab w:val="num" w:pos="4752"/>
        </w:tabs>
        <w:ind w:left="4752" w:hanging="1800"/>
      </w:pPr>
      <w:rPr>
        <w:rFonts w:hint="default"/>
        <w:b/>
      </w:rPr>
    </w:lvl>
  </w:abstractNum>
  <w:abstractNum w:abstractNumId="2">
    <w:nsid w:val="0E963D34"/>
    <w:multiLevelType w:val="hybridMultilevel"/>
    <w:tmpl w:val="7F707D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795961"/>
    <w:multiLevelType w:val="hybridMultilevel"/>
    <w:tmpl w:val="8C74DF3E"/>
    <w:lvl w:ilvl="0" w:tplc="DE5E5124">
      <w:start w:val="1"/>
      <w:numFmt w:val="bullet"/>
      <w:pStyle w:val="a"/>
      <w:lvlText w:val=""/>
      <w:lvlJc w:val="left"/>
      <w:pPr>
        <w:tabs>
          <w:tab w:val="num" w:pos="1106"/>
        </w:tabs>
        <w:ind w:left="1106" w:hanging="360"/>
      </w:pPr>
      <w:rPr>
        <w:rFonts w:ascii="Wingdings" w:hAnsi="Wingdings" w:hint="default"/>
        <w:sz w:val="22"/>
        <w:szCs w:val="20"/>
      </w:rPr>
    </w:lvl>
    <w:lvl w:ilvl="1" w:tplc="04090003">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abstractNum w:abstractNumId="4">
    <w:nsid w:val="22705843"/>
    <w:multiLevelType w:val="multilevel"/>
    <w:tmpl w:val="1D5839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EB05796"/>
    <w:multiLevelType w:val="multilevel"/>
    <w:tmpl w:val="7F52E13E"/>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432194D"/>
    <w:multiLevelType w:val="hybridMultilevel"/>
    <w:tmpl w:val="75E2FC30"/>
    <w:lvl w:ilvl="0" w:tplc="670800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502CC6"/>
    <w:multiLevelType w:val="multilevel"/>
    <w:tmpl w:val="B296B402"/>
    <w:lvl w:ilvl="0">
      <w:start w:val="1"/>
      <w:numFmt w:val="decimal"/>
      <w:lvlText w:val="%1."/>
      <w:lvlJc w:val="left"/>
      <w:pPr>
        <w:tabs>
          <w:tab w:val="num" w:pos="360"/>
        </w:tabs>
        <w:ind w:left="360" w:hanging="360"/>
      </w:pPr>
      <w:rPr>
        <w:rFonts w:ascii="Arial" w:eastAsia="Times New Roman" w:hAnsi="Arial" w:cs="David"/>
        <w:sz w:val="20"/>
      </w:rPr>
    </w:lvl>
    <w:lvl w:ilvl="1">
      <w:start w:val="1"/>
      <w:numFmt w:val="decimal"/>
      <w:lvlText w:val="%2."/>
      <w:lvlJc w:val="left"/>
      <w:pPr>
        <w:tabs>
          <w:tab w:val="num" w:pos="1080"/>
        </w:tabs>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5AA5B43"/>
    <w:multiLevelType w:val="hybridMultilevel"/>
    <w:tmpl w:val="586A34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93E038A"/>
    <w:multiLevelType w:val="hybridMultilevel"/>
    <w:tmpl w:val="0C5A4D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C790E53"/>
    <w:multiLevelType w:val="multilevel"/>
    <w:tmpl w:val="646E6E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EA0B20"/>
    <w:multiLevelType w:val="multilevel"/>
    <w:tmpl w:val="5234126A"/>
    <w:lvl w:ilvl="0">
      <w:start w:val="1"/>
      <w:numFmt w:val="decimal"/>
      <w:lvlText w:val="%1."/>
      <w:lvlJc w:val="left"/>
      <w:pPr>
        <w:tabs>
          <w:tab w:val="num" w:pos="360"/>
        </w:tabs>
        <w:ind w:left="360" w:hanging="360"/>
      </w:pPr>
      <w:rPr>
        <w:rFonts w:ascii="Arial" w:eastAsia="Times New Roman" w:hAnsi="Arial" w:cs="David"/>
        <w:sz w:val="20"/>
      </w:rPr>
    </w:lvl>
    <w:lvl w:ilvl="1">
      <w:start w:val="1"/>
      <w:numFmt w:val="decimal"/>
      <w:lvlText w:val="%2."/>
      <w:lvlJc w:val="left"/>
      <w:pPr>
        <w:tabs>
          <w:tab w:val="num" w:pos="1080"/>
        </w:tabs>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58EB7E42"/>
    <w:multiLevelType w:val="multilevel"/>
    <w:tmpl w:val="1D5839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0143FC"/>
    <w:multiLevelType w:val="hybridMultilevel"/>
    <w:tmpl w:val="4A5E4B66"/>
    <w:lvl w:ilvl="0" w:tplc="12965948">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65461CF"/>
    <w:multiLevelType w:val="hybridMultilevel"/>
    <w:tmpl w:val="38823C30"/>
    <w:lvl w:ilvl="0" w:tplc="398C3776">
      <w:start w:val="1"/>
      <w:numFmt w:val="hebrew1"/>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6FA134FD"/>
    <w:multiLevelType w:val="hybridMultilevel"/>
    <w:tmpl w:val="10A041E4"/>
    <w:lvl w:ilvl="0" w:tplc="06182948">
      <w:start w:val="1"/>
      <w:numFmt w:val="bullet"/>
      <w:lvlText w:val=""/>
      <w:lvlJc w:val="left"/>
      <w:pPr>
        <w:tabs>
          <w:tab w:val="num" w:pos="2904"/>
        </w:tabs>
        <w:ind w:left="2904" w:hanging="360"/>
      </w:pPr>
      <w:rPr>
        <w:rFonts w:ascii="Symbol" w:hAnsi="Symbol" w:hint="default"/>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0DA291A"/>
    <w:multiLevelType w:val="multilevel"/>
    <w:tmpl w:val="1D5839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0DE56E7"/>
    <w:multiLevelType w:val="hybridMultilevel"/>
    <w:tmpl w:val="1DEC4F9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1981CC8"/>
    <w:multiLevelType w:val="hybridMultilevel"/>
    <w:tmpl w:val="C0D8CDC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9"/>
        </w:tabs>
        <w:ind w:left="729" w:hanging="360"/>
      </w:pPr>
    </w:lvl>
    <w:lvl w:ilvl="2" w:tplc="0409001B" w:tentative="1">
      <w:start w:val="1"/>
      <w:numFmt w:val="lowerRoman"/>
      <w:lvlText w:val="%3."/>
      <w:lvlJc w:val="right"/>
      <w:pPr>
        <w:tabs>
          <w:tab w:val="num" w:pos="1449"/>
        </w:tabs>
        <w:ind w:left="1449" w:hanging="180"/>
      </w:pPr>
    </w:lvl>
    <w:lvl w:ilvl="3" w:tplc="0409000F" w:tentative="1">
      <w:start w:val="1"/>
      <w:numFmt w:val="decimal"/>
      <w:lvlText w:val="%4."/>
      <w:lvlJc w:val="left"/>
      <w:pPr>
        <w:tabs>
          <w:tab w:val="num" w:pos="2169"/>
        </w:tabs>
        <w:ind w:left="2169" w:hanging="360"/>
      </w:pPr>
    </w:lvl>
    <w:lvl w:ilvl="4" w:tplc="04090019" w:tentative="1">
      <w:start w:val="1"/>
      <w:numFmt w:val="lowerLetter"/>
      <w:lvlText w:val="%5."/>
      <w:lvlJc w:val="left"/>
      <w:pPr>
        <w:tabs>
          <w:tab w:val="num" w:pos="2889"/>
        </w:tabs>
        <w:ind w:left="2889" w:hanging="360"/>
      </w:pPr>
    </w:lvl>
    <w:lvl w:ilvl="5" w:tplc="0409001B" w:tentative="1">
      <w:start w:val="1"/>
      <w:numFmt w:val="lowerRoman"/>
      <w:lvlText w:val="%6."/>
      <w:lvlJc w:val="right"/>
      <w:pPr>
        <w:tabs>
          <w:tab w:val="num" w:pos="3609"/>
        </w:tabs>
        <w:ind w:left="3609" w:hanging="180"/>
      </w:pPr>
    </w:lvl>
    <w:lvl w:ilvl="6" w:tplc="0409000F" w:tentative="1">
      <w:start w:val="1"/>
      <w:numFmt w:val="decimal"/>
      <w:lvlText w:val="%7."/>
      <w:lvlJc w:val="left"/>
      <w:pPr>
        <w:tabs>
          <w:tab w:val="num" w:pos="4329"/>
        </w:tabs>
        <w:ind w:left="4329" w:hanging="360"/>
      </w:pPr>
    </w:lvl>
    <w:lvl w:ilvl="7" w:tplc="04090019" w:tentative="1">
      <w:start w:val="1"/>
      <w:numFmt w:val="lowerLetter"/>
      <w:lvlText w:val="%8."/>
      <w:lvlJc w:val="left"/>
      <w:pPr>
        <w:tabs>
          <w:tab w:val="num" w:pos="5049"/>
        </w:tabs>
        <w:ind w:left="5049" w:hanging="360"/>
      </w:pPr>
    </w:lvl>
    <w:lvl w:ilvl="8" w:tplc="0409001B" w:tentative="1">
      <w:start w:val="1"/>
      <w:numFmt w:val="lowerRoman"/>
      <w:lvlText w:val="%9."/>
      <w:lvlJc w:val="right"/>
      <w:pPr>
        <w:tabs>
          <w:tab w:val="num" w:pos="5769"/>
        </w:tabs>
        <w:ind w:left="5769" w:hanging="180"/>
      </w:pPr>
    </w:lvl>
  </w:abstractNum>
  <w:abstractNum w:abstractNumId="19">
    <w:nsid w:val="72307261"/>
    <w:multiLevelType w:val="multilevel"/>
    <w:tmpl w:val="5234126A"/>
    <w:lvl w:ilvl="0">
      <w:start w:val="1"/>
      <w:numFmt w:val="decimal"/>
      <w:lvlText w:val="%1."/>
      <w:lvlJc w:val="left"/>
      <w:pPr>
        <w:tabs>
          <w:tab w:val="num" w:pos="360"/>
        </w:tabs>
        <w:ind w:left="360" w:hanging="360"/>
      </w:pPr>
      <w:rPr>
        <w:rFonts w:ascii="Arial" w:eastAsia="Times New Roman" w:hAnsi="Arial" w:cs="David"/>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0">
    <w:nsid w:val="74497625"/>
    <w:multiLevelType w:val="multilevel"/>
    <w:tmpl w:val="1D5839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5"/>
  </w:num>
  <w:num w:numId="3">
    <w:abstractNumId w:val="12"/>
  </w:num>
  <w:num w:numId="4">
    <w:abstractNumId w:val="10"/>
  </w:num>
  <w:num w:numId="5">
    <w:abstractNumId w:val="16"/>
  </w:num>
  <w:num w:numId="6">
    <w:abstractNumId w:val="20"/>
  </w:num>
  <w:num w:numId="7">
    <w:abstractNumId w:val="7"/>
  </w:num>
  <w:num w:numId="8">
    <w:abstractNumId w:val="4"/>
  </w:num>
  <w:num w:numId="9">
    <w:abstractNumId w:val="5"/>
  </w:num>
  <w:num w:numId="10">
    <w:abstractNumId w:val="11"/>
  </w:num>
  <w:num w:numId="11">
    <w:abstractNumId w:val="17"/>
  </w:num>
  <w:num w:numId="12">
    <w:abstractNumId w:val="18"/>
  </w:num>
  <w:num w:numId="13">
    <w:abstractNumId w:val="1"/>
  </w:num>
  <w:num w:numId="14">
    <w:abstractNumId w:val="9"/>
  </w:num>
  <w:num w:numId="15">
    <w:abstractNumId w:val="19"/>
  </w:num>
  <w:num w:numId="16">
    <w:abstractNumId w:val="3"/>
  </w:num>
  <w:num w:numId="17">
    <w:abstractNumId w:val="2"/>
  </w:num>
  <w:num w:numId="18">
    <w:abstractNumId w:val="0"/>
  </w:num>
  <w:num w:numId="19">
    <w:abstractNumId w:val="6"/>
  </w:num>
  <w:num w:numId="20">
    <w:abstractNumId w:val="13"/>
  </w:num>
  <w:num w:numId="21">
    <w:abstractNumId w:val="3"/>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854"/>
    <w:rsid w:val="00001DB3"/>
    <w:rsid w:val="000101BE"/>
    <w:rsid w:val="000153CE"/>
    <w:rsid w:val="000177D5"/>
    <w:rsid w:val="00021264"/>
    <w:rsid w:val="00022B03"/>
    <w:rsid w:val="00023564"/>
    <w:rsid w:val="00025900"/>
    <w:rsid w:val="000327AB"/>
    <w:rsid w:val="0004274A"/>
    <w:rsid w:val="00042A3A"/>
    <w:rsid w:val="000464BF"/>
    <w:rsid w:val="000469FE"/>
    <w:rsid w:val="00046E84"/>
    <w:rsid w:val="0005504C"/>
    <w:rsid w:val="00055822"/>
    <w:rsid w:val="00055AE7"/>
    <w:rsid w:val="00056230"/>
    <w:rsid w:val="00063D51"/>
    <w:rsid w:val="00063EC0"/>
    <w:rsid w:val="00072C6C"/>
    <w:rsid w:val="00073BBE"/>
    <w:rsid w:val="000843F1"/>
    <w:rsid w:val="00092D02"/>
    <w:rsid w:val="0009369D"/>
    <w:rsid w:val="000945A1"/>
    <w:rsid w:val="0009532B"/>
    <w:rsid w:val="000960DA"/>
    <w:rsid w:val="000B0DE8"/>
    <w:rsid w:val="000B1302"/>
    <w:rsid w:val="000B3265"/>
    <w:rsid w:val="000B48ED"/>
    <w:rsid w:val="000B4AE5"/>
    <w:rsid w:val="000B5425"/>
    <w:rsid w:val="000B5AEC"/>
    <w:rsid w:val="000B6D80"/>
    <w:rsid w:val="000C0E8C"/>
    <w:rsid w:val="000C2289"/>
    <w:rsid w:val="000C7BC2"/>
    <w:rsid w:val="000D1B8D"/>
    <w:rsid w:val="000D7DA7"/>
    <w:rsid w:val="000E018D"/>
    <w:rsid w:val="000E1E7C"/>
    <w:rsid w:val="000E25CA"/>
    <w:rsid w:val="000F3736"/>
    <w:rsid w:val="000F4B81"/>
    <w:rsid w:val="00101D61"/>
    <w:rsid w:val="001022CB"/>
    <w:rsid w:val="001032E9"/>
    <w:rsid w:val="001040A0"/>
    <w:rsid w:val="00106142"/>
    <w:rsid w:val="00106D71"/>
    <w:rsid w:val="00121321"/>
    <w:rsid w:val="0012307B"/>
    <w:rsid w:val="00123AC8"/>
    <w:rsid w:val="00124FF4"/>
    <w:rsid w:val="00125873"/>
    <w:rsid w:val="00132722"/>
    <w:rsid w:val="00132E42"/>
    <w:rsid w:val="00134423"/>
    <w:rsid w:val="00134941"/>
    <w:rsid w:val="001359FF"/>
    <w:rsid w:val="00141A84"/>
    <w:rsid w:val="00144553"/>
    <w:rsid w:val="00152D99"/>
    <w:rsid w:val="00162EB2"/>
    <w:rsid w:val="00167F40"/>
    <w:rsid w:val="0017593A"/>
    <w:rsid w:val="0017675E"/>
    <w:rsid w:val="001777B9"/>
    <w:rsid w:val="00182D0A"/>
    <w:rsid w:val="00184A3B"/>
    <w:rsid w:val="00186C2C"/>
    <w:rsid w:val="00194DDA"/>
    <w:rsid w:val="00197B21"/>
    <w:rsid w:val="001A3E72"/>
    <w:rsid w:val="001A6DCE"/>
    <w:rsid w:val="001A79EF"/>
    <w:rsid w:val="001B1657"/>
    <w:rsid w:val="001B7725"/>
    <w:rsid w:val="001B7769"/>
    <w:rsid w:val="001C145D"/>
    <w:rsid w:val="001C346C"/>
    <w:rsid w:val="001C3ACC"/>
    <w:rsid w:val="001C52DF"/>
    <w:rsid w:val="001C6F32"/>
    <w:rsid w:val="001D1A5F"/>
    <w:rsid w:val="001D3DF3"/>
    <w:rsid w:val="001D43EE"/>
    <w:rsid w:val="001D65F2"/>
    <w:rsid w:val="001E224D"/>
    <w:rsid w:val="001E2CE0"/>
    <w:rsid w:val="001E2D16"/>
    <w:rsid w:val="001E49A2"/>
    <w:rsid w:val="001F0EE8"/>
    <w:rsid w:val="001F0F36"/>
    <w:rsid w:val="001F365F"/>
    <w:rsid w:val="001F4F42"/>
    <w:rsid w:val="001F7218"/>
    <w:rsid w:val="00206092"/>
    <w:rsid w:val="00210064"/>
    <w:rsid w:val="00210DCF"/>
    <w:rsid w:val="00212AB1"/>
    <w:rsid w:val="00221696"/>
    <w:rsid w:val="00223558"/>
    <w:rsid w:val="002255AD"/>
    <w:rsid w:val="00231658"/>
    <w:rsid w:val="00237653"/>
    <w:rsid w:val="00243665"/>
    <w:rsid w:val="00244F6D"/>
    <w:rsid w:val="0025203F"/>
    <w:rsid w:val="00252B7D"/>
    <w:rsid w:val="00253CAA"/>
    <w:rsid w:val="00257CB3"/>
    <w:rsid w:val="00260D61"/>
    <w:rsid w:val="00264366"/>
    <w:rsid w:val="00270941"/>
    <w:rsid w:val="00273453"/>
    <w:rsid w:val="00276DEE"/>
    <w:rsid w:val="002851B2"/>
    <w:rsid w:val="002860AD"/>
    <w:rsid w:val="00291EF2"/>
    <w:rsid w:val="00294B74"/>
    <w:rsid w:val="002953B6"/>
    <w:rsid w:val="002A187A"/>
    <w:rsid w:val="002A1987"/>
    <w:rsid w:val="002A6372"/>
    <w:rsid w:val="002A7F82"/>
    <w:rsid w:val="002B0481"/>
    <w:rsid w:val="002B26C9"/>
    <w:rsid w:val="002B307A"/>
    <w:rsid w:val="002B5B6C"/>
    <w:rsid w:val="002B6581"/>
    <w:rsid w:val="002C1DCD"/>
    <w:rsid w:val="002D39AA"/>
    <w:rsid w:val="002D3F95"/>
    <w:rsid w:val="002D4383"/>
    <w:rsid w:val="002D5851"/>
    <w:rsid w:val="002D5C82"/>
    <w:rsid w:val="002D6D48"/>
    <w:rsid w:val="002F32F0"/>
    <w:rsid w:val="002F4E8E"/>
    <w:rsid w:val="002F6E47"/>
    <w:rsid w:val="002F7626"/>
    <w:rsid w:val="00306C82"/>
    <w:rsid w:val="00310215"/>
    <w:rsid w:val="00312B3A"/>
    <w:rsid w:val="0031303A"/>
    <w:rsid w:val="00313159"/>
    <w:rsid w:val="00316086"/>
    <w:rsid w:val="00316634"/>
    <w:rsid w:val="00323D62"/>
    <w:rsid w:val="0032448A"/>
    <w:rsid w:val="00327934"/>
    <w:rsid w:val="0033031B"/>
    <w:rsid w:val="00330496"/>
    <w:rsid w:val="00334226"/>
    <w:rsid w:val="0033474E"/>
    <w:rsid w:val="00336ABC"/>
    <w:rsid w:val="00337A0B"/>
    <w:rsid w:val="00337C49"/>
    <w:rsid w:val="003410E0"/>
    <w:rsid w:val="00341650"/>
    <w:rsid w:val="00342D57"/>
    <w:rsid w:val="00343ACA"/>
    <w:rsid w:val="00344B16"/>
    <w:rsid w:val="00350075"/>
    <w:rsid w:val="00351A57"/>
    <w:rsid w:val="00355514"/>
    <w:rsid w:val="003565B5"/>
    <w:rsid w:val="003613AC"/>
    <w:rsid w:val="003653C9"/>
    <w:rsid w:val="00377450"/>
    <w:rsid w:val="00381B68"/>
    <w:rsid w:val="00381F53"/>
    <w:rsid w:val="00382FC7"/>
    <w:rsid w:val="00383366"/>
    <w:rsid w:val="00384B47"/>
    <w:rsid w:val="00384C04"/>
    <w:rsid w:val="00390F62"/>
    <w:rsid w:val="003A0E65"/>
    <w:rsid w:val="003A3671"/>
    <w:rsid w:val="003A5233"/>
    <w:rsid w:val="003A6317"/>
    <w:rsid w:val="003A6862"/>
    <w:rsid w:val="003A6F57"/>
    <w:rsid w:val="003B230A"/>
    <w:rsid w:val="003B5D79"/>
    <w:rsid w:val="003C033D"/>
    <w:rsid w:val="003C16DC"/>
    <w:rsid w:val="003C2619"/>
    <w:rsid w:val="003C355C"/>
    <w:rsid w:val="003C3817"/>
    <w:rsid w:val="003C50D9"/>
    <w:rsid w:val="003C7A81"/>
    <w:rsid w:val="003D0853"/>
    <w:rsid w:val="003D124A"/>
    <w:rsid w:val="003D64D7"/>
    <w:rsid w:val="003E04DB"/>
    <w:rsid w:val="003E6B3B"/>
    <w:rsid w:val="003E6E94"/>
    <w:rsid w:val="003F1B13"/>
    <w:rsid w:val="003F21D0"/>
    <w:rsid w:val="003F4AA7"/>
    <w:rsid w:val="003F7E8E"/>
    <w:rsid w:val="00401361"/>
    <w:rsid w:val="00405902"/>
    <w:rsid w:val="00407314"/>
    <w:rsid w:val="00412732"/>
    <w:rsid w:val="0041444C"/>
    <w:rsid w:val="00417C63"/>
    <w:rsid w:val="00420772"/>
    <w:rsid w:val="00420BCD"/>
    <w:rsid w:val="00424CE3"/>
    <w:rsid w:val="004319CC"/>
    <w:rsid w:val="004333FA"/>
    <w:rsid w:val="00434A73"/>
    <w:rsid w:val="00436BE2"/>
    <w:rsid w:val="00437448"/>
    <w:rsid w:val="00441B2E"/>
    <w:rsid w:val="004442D6"/>
    <w:rsid w:val="00446C19"/>
    <w:rsid w:val="00452CED"/>
    <w:rsid w:val="00466BB3"/>
    <w:rsid w:val="004679DE"/>
    <w:rsid w:val="00470E9F"/>
    <w:rsid w:val="00472AEB"/>
    <w:rsid w:val="00475886"/>
    <w:rsid w:val="00475DC5"/>
    <w:rsid w:val="00480957"/>
    <w:rsid w:val="004811D2"/>
    <w:rsid w:val="0048525E"/>
    <w:rsid w:val="00491682"/>
    <w:rsid w:val="00491FB5"/>
    <w:rsid w:val="00492448"/>
    <w:rsid w:val="004929D8"/>
    <w:rsid w:val="0049449A"/>
    <w:rsid w:val="004A0CEC"/>
    <w:rsid w:val="004B0C76"/>
    <w:rsid w:val="004B14FD"/>
    <w:rsid w:val="004B307B"/>
    <w:rsid w:val="004B4FB7"/>
    <w:rsid w:val="004B5235"/>
    <w:rsid w:val="004B670A"/>
    <w:rsid w:val="004C40F0"/>
    <w:rsid w:val="004C4B69"/>
    <w:rsid w:val="004C5202"/>
    <w:rsid w:val="004C762D"/>
    <w:rsid w:val="004D2A7E"/>
    <w:rsid w:val="004D2F5C"/>
    <w:rsid w:val="004D3F27"/>
    <w:rsid w:val="004D4C3B"/>
    <w:rsid w:val="004D5168"/>
    <w:rsid w:val="004D5D07"/>
    <w:rsid w:val="004D78BC"/>
    <w:rsid w:val="004E14C3"/>
    <w:rsid w:val="004E1FEB"/>
    <w:rsid w:val="004E45C1"/>
    <w:rsid w:val="004E62B0"/>
    <w:rsid w:val="004F22CB"/>
    <w:rsid w:val="004F2C42"/>
    <w:rsid w:val="004F4823"/>
    <w:rsid w:val="00512DE7"/>
    <w:rsid w:val="00521BC8"/>
    <w:rsid w:val="00523A3B"/>
    <w:rsid w:val="0052450E"/>
    <w:rsid w:val="005245BF"/>
    <w:rsid w:val="00525F22"/>
    <w:rsid w:val="00525FE0"/>
    <w:rsid w:val="00527C1A"/>
    <w:rsid w:val="00527C64"/>
    <w:rsid w:val="00527D3D"/>
    <w:rsid w:val="00530DDE"/>
    <w:rsid w:val="00531177"/>
    <w:rsid w:val="005346D9"/>
    <w:rsid w:val="00541D3E"/>
    <w:rsid w:val="00546161"/>
    <w:rsid w:val="005500BB"/>
    <w:rsid w:val="00550FDA"/>
    <w:rsid w:val="00553B74"/>
    <w:rsid w:val="0055619F"/>
    <w:rsid w:val="005646DD"/>
    <w:rsid w:val="00564A51"/>
    <w:rsid w:val="00572E98"/>
    <w:rsid w:val="00577930"/>
    <w:rsid w:val="005816FF"/>
    <w:rsid w:val="00584389"/>
    <w:rsid w:val="005966DC"/>
    <w:rsid w:val="00596BF1"/>
    <w:rsid w:val="005A44BB"/>
    <w:rsid w:val="005A63E9"/>
    <w:rsid w:val="005A7B02"/>
    <w:rsid w:val="005B1663"/>
    <w:rsid w:val="005B3FC0"/>
    <w:rsid w:val="005B46DC"/>
    <w:rsid w:val="005B591F"/>
    <w:rsid w:val="005C359C"/>
    <w:rsid w:val="005D0063"/>
    <w:rsid w:val="005D18A8"/>
    <w:rsid w:val="005D5E0B"/>
    <w:rsid w:val="005D70DA"/>
    <w:rsid w:val="005E2476"/>
    <w:rsid w:val="005E28A2"/>
    <w:rsid w:val="005E2EBA"/>
    <w:rsid w:val="005E42D3"/>
    <w:rsid w:val="005E5BA0"/>
    <w:rsid w:val="006002DD"/>
    <w:rsid w:val="00602EDA"/>
    <w:rsid w:val="00612215"/>
    <w:rsid w:val="00614D92"/>
    <w:rsid w:val="00615384"/>
    <w:rsid w:val="00617985"/>
    <w:rsid w:val="00621B46"/>
    <w:rsid w:val="0062684C"/>
    <w:rsid w:val="006270C5"/>
    <w:rsid w:val="00627187"/>
    <w:rsid w:val="00630E47"/>
    <w:rsid w:val="00633CE9"/>
    <w:rsid w:val="00634DA5"/>
    <w:rsid w:val="00636F0D"/>
    <w:rsid w:val="006376ED"/>
    <w:rsid w:val="00643C9D"/>
    <w:rsid w:val="006453C6"/>
    <w:rsid w:val="0065101F"/>
    <w:rsid w:val="006513D9"/>
    <w:rsid w:val="006518CD"/>
    <w:rsid w:val="0065284D"/>
    <w:rsid w:val="006537C5"/>
    <w:rsid w:val="00661FF0"/>
    <w:rsid w:val="00664A15"/>
    <w:rsid w:val="00666951"/>
    <w:rsid w:val="0066716A"/>
    <w:rsid w:val="00667644"/>
    <w:rsid w:val="00670250"/>
    <w:rsid w:val="00670600"/>
    <w:rsid w:val="00674B31"/>
    <w:rsid w:val="00675800"/>
    <w:rsid w:val="00675F7F"/>
    <w:rsid w:val="006764DF"/>
    <w:rsid w:val="0067698A"/>
    <w:rsid w:val="006809AB"/>
    <w:rsid w:val="00683008"/>
    <w:rsid w:val="006853D4"/>
    <w:rsid w:val="006864FB"/>
    <w:rsid w:val="00686690"/>
    <w:rsid w:val="00690143"/>
    <w:rsid w:val="00690696"/>
    <w:rsid w:val="0069350D"/>
    <w:rsid w:val="00695982"/>
    <w:rsid w:val="006A2309"/>
    <w:rsid w:val="006A3BC8"/>
    <w:rsid w:val="006A4283"/>
    <w:rsid w:val="006A712A"/>
    <w:rsid w:val="006B1B73"/>
    <w:rsid w:val="006B446B"/>
    <w:rsid w:val="006B7416"/>
    <w:rsid w:val="006C4FB5"/>
    <w:rsid w:val="006C7280"/>
    <w:rsid w:val="006C7506"/>
    <w:rsid w:val="006D1047"/>
    <w:rsid w:val="006D31A3"/>
    <w:rsid w:val="006D3BA7"/>
    <w:rsid w:val="006D61B2"/>
    <w:rsid w:val="006E3531"/>
    <w:rsid w:val="006E4EED"/>
    <w:rsid w:val="006F2B7E"/>
    <w:rsid w:val="006F3147"/>
    <w:rsid w:val="006F4B6C"/>
    <w:rsid w:val="0070175A"/>
    <w:rsid w:val="00704458"/>
    <w:rsid w:val="00706276"/>
    <w:rsid w:val="00712D83"/>
    <w:rsid w:val="007152F0"/>
    <w:rsid w:val="00721627"/>
    <w:rsid w:val="00722F36"/>
    <w:rsid w:val="00725869"/>
    <w:rsid w:val="00726ACE"/>
    <w:rsid w:val="00727DB4"/>
    <w:rsid w:val="00735598"/>
    <w:rsid w:val="0073774A"/>
    <w:rsid w:val="00740098"/>
    <w:rsid w:val="00740FAF"/>
    <w:rsid w:val="00741B27"/>
    <w:rsid w:val="00741FF4"/>
    <w:rsid w:val="00742683"/>
    <w:rsid w:val="007436A4"/>
    <w:rsid w:val="00744B28"/>
    <w:rsid w:val="007452B9"/>
    <w:rsid w:val="007468B3"/>
    <w:rsid w:val="00750CCF"/>
    <w:rsid w:val="00751446"/>
    <w:rsid w:val="007536D2"/>
    <w:rsid w:val="00753F16"/>
    <w:rsid w:val="0075603D"/>
    <w:rsid w:val="00761349"/>
    <w:rsid w:val="00767A0F"/>
    <w:rsid w:val="007777FF"/>
    <w:rsid w:val="00777E87"/>
    <w:rsid w:val="00781E4F"/>
    <w:rsid w:val="007831EB"/>
    <w:rsid w:val="0078584D"/>
    <w:rsid w:val="00795FB4"/>
    <w:rsid w:val="007A0B5C"/>
    <w:rsid w:val="007A2024"/>
    <w:rsid w:val="007A5DCE"/>
    <w:rsid w:val="007B020C"/>
    <w:rsid w:val="007B44D5"/>
    <w:rsid w:val="007B6F8B"/>
    <w:rsid w:val="007C5B53"/>
    <w:rsid w:val="007D14C0"/>
    <w:rsid w:val="007D3BC8"/>
    <w:rsid w:val="007D4BCF"/>
    <w:rsid w:val="007D5E52"/>
    <w:rsid w:val="007E177C"/>
    <w:rsid w:val="007E4C1E"/>
    <w:rsid w:val="007E5801"/>
    <w:rsid w:val="007E5F92"/>
    <w:rsid w:val="007E6C1D"/>
    <w:rsid w:val="007F2FEA"/>
    <w:rsid w:val="008015F6"/>
    <w:rsid w:val="00802787"/>
    <w:rsid w:val="00802DA1"/>
    <w:rsid w:val="008054E5"/>
    <w:rsid w:val="008101FB"/>
    <w:rsid w:val="00811226"/>
    <w:rsid w:val="008123A8"/>
    <w:rsid w:val="008133A4"/>
    <w:rsid w:val="00815191"/>
    <w:rsid w:val="0081588E"/>
    <w:rsid w:val="00817028"/>
    <w:rsid w:val="00820BA9"/>
    <w:rsid w:val="00821DB7"/>
    <w:rsid w:val="00821DC7"/>
    <w:rsid w:val="00822202"/>
    <w:rsid w:val="00823142"/>
    <w:rsid w:val="008244F9"/>
    <w:rsid w:val="00827742"/>
    <w:rsid w:val="008323FD"/>
    <w:rsid w:val="008353C7"/>
    <w:rsid w:val="00841B29"/>
    <w:rsid w:val="00841D6A"/>
    <w:rsid w:val="00843D49"/>
    <w:rsid w:val="008523A4"/>
    <w:rsid w:val="008555E7"/>
    <w:rsid w:val="00856D9F"/>
    <w:rsid w:val="0085763B"/>
    <w:rsid w:val="00862693"/>
    <w:rsid w:val="00865227"/>
    <w:rsid w:val="00866828"/>
    <w:rsid w:val="00866E47"/>
    <w:rsid w:val="00867BC6"/>
    <w:rsid w:val="0087408F"/>
    <w:rsid w:val="00874E33"/>
    <w:rsid w:val="0087569B"/>
    <w:rsid w:val="00881270"/>
    <w:rsid w:val="0088714D"/>
    <w:rsid w:val="008900E3"/>
    <w:rsid w:val="008A04B4"/>
    <w:rsid w:val="008A0B04"/>
    <w:rsid w:val="008A4533"/>
    <w:rsid w:val="008A6DEC"/>
    <w:rsid w:val="008B111C"/>
    <w:rsid w:val="008B1EAB"/>
    <w:rsid w:val="008B4997"/>
    <w:rsid w:val="008B6651"/>
    <w:rsid w:val="008C0AAA"/>
    <w:rsid w:val="008C153D"/>
    <w:rsid w:val="008C1FFB"/>
    <w:rsid w:val="008C782B"/>
    <w:rsid w:val="008D4301"/>
    <w:rsid w:val="008D6DD2"/>
    <w:rsid w:val="008D70A4"/>
    <w:rsid w:val="008E28E9"/>
    <w:rsid w:val="008E3418"/>
    <w:rsid w:val="008E47A3"/>
    <w:rsid w:val="008F0EFA"/>
    <w:rsid w:val="008F147E"/>
    <w:rsid w:val="008F1ABE"/>
    <w:rsid w:val="008F2986"/>
    <w:rsid w:val="008F3977"/>
    <w:rsid w:val="008F3CF4"/>
    <w:rsid w:val="008F6845"/>
    <w:rsid w:val="0090012E"/>
    <w:rsid w:val="00900A93"/>
    <w:rsid w:val="00900E21"/>
    <w:rsid w:val="00901F65"/>
    <w:rsid w:val="0090218B"/>
    <w:rsid w:val="00903BF1"/>
    <w:rsid w:val="00905774"/>
    <w:rsid w:val="00905D3D"/>
    <w:rsid w:val="0090770A"/>
    <w:rsid w:val="00907A36"/>
    <w:rsid w:val="00907EB0"/>
    <w:rsid w:val="009129B6"/>
    <w:rsid w:val="0091438C"/>
    <w:rsid w:val="009163AB"/>
    <w:rsid w:val="00917591"/>
    <w:rsid w:val="00924256"/>
    <w:rsid w:val="00925633"/>
    <w:rsid w:val="00925B40"/>
    <w:rsid w:val="00926666"/>
    <w:rsid w:val="00930E5F"/>
    <w:rsid w:val="009315F7"/>
    <w:rsid w:val="00934011"/>
    <w:rsid w:val="00950AAC"/>
    <w:rsid w:val="00953268"/>
    <w:rsid w:val="00956A07"/>
    <w:rsid w:val="0095734C"/>
    <w:rsid w:val="00957E83"/>
    <w:rsid w:val="00960330"/>
    <w:rsid w:val="00961D3F"/>
    <w:rsid w:val="0096382D"/>
    <w:rsid w:val="00963B43"/>
    <w:rsid w:val="00965D65"/>
    <w:rsid w:val="00966736"/>
    <w:rsid w:val="00971A86"/>
    <w:rsid w:val="00972580"/>
    <w:rsid w:val="009726A5"/>
    <w:rsid w:val="0097771C"/>
    <w:rsid w:val="009825E2"/>
    <w:rsid w:val="009833A1"/>
    <w:rsid w:val="00983BCD"/>
    <w:rsid w:val="00983F99"/>
    <w:rsid w:val="009854CF"/>
    <w:rsid w:val="00986E64"/>
    <w:rsid w:val="009943F2"/>
    <w:rsid w:val="009972CE"/>
    <w:rsid w:val="009A0AEE"/>
    <w:rsid w:val="009B038E"/>
    <w:rsid w:val="009B20E8"/>
    <w:rsid w:val="009B369B"/>
    <w:rsid w:val="009C2BEE"/>
    <w:rsid w:val="009C5A8D"/>
    <w:rsid w:val="009C6FB1"/>
    <w:rsid w:val="009C765A"/>
    <w:rsid w:val="009D4B9E"/>
    <w:rsid w:val="009D65B5"/>
    <w:rsid w:val="009E0D9B"/>
    <w:rsid w:val="009E7F5C"/>
    <w:rsid w:val="009F1B60"/>
    <w:rsid w:val="009F213B"/>
    <w:rsid w:val="009F3A33"/>
    <w:rsid w:val="009F5166"/>
    <w:rsid w:val="009F7887"/>
    <w:rsid w:val="009F7EFD"/>
    <w:rsid w:val="00A008D6"/>
    <w:rsid w:val="00A03ECC"/>
    <w:rsid w:val="00A06567"/>
    <w:rsid w:val="00A10F34"/>
    <w:rsid w:val="00A11AAB"/>
    <w:rsid w:val="00A130D7"/>
    <w:rsid w:val="00A14BBD"/>
    <w:rsid w:val="00A17080"/>
    <w:rsid w:val="00A20CD9"/>
    <w:rsid w:val="00A23320"/>
    <w:rsid w:val="00A3616F"/>
    <w:rsid w:val="00A43B7F"/>
    <w:rsid w:val="00A45307"/>
    <w:rsid w:val="00A45ECD"/>
    <w:rsid w:val="00A51ACB"/>
    <w:rsid w:val="00A52240"/>
    <w:rsid w:val="00A5401C"/>
    <w:rsid w:val="00A54CA2"/>
    <w:rsid w:val="00A61D39"/>
    <w:rsid w:val="00A65087"/>
    <w:rsid w:val="00A654AE"/>
    <w:rsid w:val="00A6553D"/>
    <w:rsid w:val="00A65BB2"/>
    <w:rsid w:val="00A664C7"/>
    <w:rsid w:val="00A66D91"/>
    <w:rsid w:val="00A7417D"/>
    <w:rsid w:val="00A76878"/>
    <w:rsid w:val="00A82DB5"/>
    <w:rsid w:val="00A8403E"/>
    <w:rsid w:val="00A845AA"/>
    <w:rsid w:val="00A84AE3"/>
    <w:rsid w:val="00A90813"/>
    <w:rsid w:val="00A91043"/>
    <w:rsid w:val="00A91BDE"/>
    <w:rsid w:val="00A92649"/>
    <w:rsid w:val="00A92BC9"/>
    <w:rsid w:val="00A94BF0"/>
    <w:rsid w:val="00AA4E4A"/>
    <w:rsid w:val="00AA5221"/>
    <w:rsid w:val="00AA7FA0"/>
    <w:rsid w:val="00AB06F5"/>
    <w:rsid w:val="00AB0977"/>
    <w:rsid w:val="00AB0EE6"/>
    <w:rsid w:val="00AB6033"/>
    <w:rsid w:val="00AB6CA7"/>
    <w:rsid w:val="00AB7635"/>
    <w:rsid w:val="00AB7870"/>
    <w:rsid w:val="00AB7DD6"/>
    <w:rsid w:val="00AC0FFB"/>
    <w:rsid w:val="00AC287F"/>
    <w:rsid w:val="00AC3870"/>
    <w:rsid w:val="00AC6D46"/>
    <w:rsid w:val="00AC7291"/>
    <w:rsid w:val="00AC79E9"/>
    <w:rsid w:val="00AC7BD8"/>
    <w:rsid w:val="00AD0F4A"/>
    <w:rsid w:val="00AD293F"/>
    <w:rsid w:val="00AD33D1"/>
    <w:rsid w:val="00AD5E1F"/>
    <w:rsid w:val="00AD6A18"/>
    <w:rsid w:val="00AD7C36"/>
    <w:rsid w:val="00AE0CB6"/>
    <w:rsid w:val="00AE0CDE"/>
    <w:rsid w:val="00AE3726"/>
    <w:rsid w:val="00AE4318"/>
    <w:rsid w:val="00AE55AE"/>
    <w:rsid w:val="00AF0183"/>
    <w:rsid w:val="00AF29AE"/>
    <w:rsid w:val="00AF4FB7"/>
    <w:rsid w:val="00AF60E9"/>
    <w:rsid w:val="00AF65BE"/>
    <w:rsid w:val="00AF733B"/>
    <w:rsid w:val="00AF7854"/>
    <w:rsid w:val="00B07D6D"/>
    <w:rsid w:val="00B11C3D"/>
    <w:rsid w:val="00B125D7"/>
    <w:rsid w:val="00B17AC9"/>
    <w:rsid w:val="00B25CBF"/>
    <w:rsid w:val="00B27CE1"/>
    <w:rsid w:val="00B30B54"/>
    <w:rsid w:val="00B336AD"/>
    <w:rsid w:val="00B34338"/>
    <w:rsid w:val="00B41492"/>
    <w:rsid w:val="00B4348F"/>
    <w:rsid w:val="00B45F84"/>
    <w:rsid w:val="00B47B91"/>
    <w:rsid w:val="00B51FE3"/>
    <w:rsid w:val="00B52ABE"/>
    <w:rsid w:val="00B564E6"/>
    <w:rsid w:val="00B576FB"/>
    <w:rsid w:val="00B57A06"/>
    <w:rsid w:val="00B60A31"/>
    <w:rsid w:val="00B61B5D"/>
    <w:rsid w:val="00B62E33"/>
    <w:rsid w:val="00B6796E"/>
    <w:rsid w:val="00B73B1F"/>
    <w:rsid w:val="00B840A8"/>
    <w:rsid w:val="00B85E97"/>
    <w:rsid w:val="00B90727"/>
    <w:rsid w:val="00B90B54"/>
    <w:rsid w:val="00B92A5A"/>
    <w:rsid w:val="00B9344F"/>
    <w:rsid w:val="00B95659"/>
    <w:rsid w:val="00B97AE1"/>
    <w:rsid w:val="00BA0463"/>
    <w:rsid w:val="00BA1D87"/>
    <w:rsid w:val="00BB1590"/>
    <w:rsid w:val="00BB2962"/>
    <w:rsid w:val="00BB3376"/>
    <w:rsid w:val="00BB3A48"/>
    <w:rsid w:val="00BB3D30"/>
    <w:rsid w:val="00BB4EBE"/>
    <w:rsid w:val="00BC1702"/>
    <w:rsid w:val="00BC2A2D"/>
    <w:rsid w:val="00BC55A7"/>
    <w:rsid w:val="00BC7ABE"/>
    <w:rsid w:val="00BC7F9F"/>
    <w:rsid w:val="00BD2B71"/>
    <w:rsid w:val="00BD3202"/>
    <w:rsid w:val="00BD4C86"/>
    <w:rsid w:val="00BD5C80"/>
    <w:rsid w:val="00BD699B"/>
    <w:rsid w:val="00BD721B"/>
    <w:rsid w:val="00BE19C3"/>
    <w:rsid w:val="00BE3008"/>
    <w:rsid w:val="00BE58A7"/>
    <w:rsid w:val="00BE6A2E"/>
    <w:rsid w:val="00BE78C8"/>
    <w:rsid w:val="00BF0690"/>
    <w:rsid w:val="00BF25FF"/>
    <w:rsid w:val="00BF2D27"/>
    <w:rsid w:val="00BF3389"/>
    <w:rsid w:val="00BF609B"/>
    <w:rsid w:val="00C0567A"/>
    <w:rsid w:val="00C101DA"/>
    <w:rsid w:val="00C107BE"/>
    <w:rsid w:val="00C15F9D"/>
    <w:rsid w:val="00C22997"/>
    <w:rsid w:val="00C257E3"/>
    <w:rsid w:val="00C34400"/>
    <w:rsid w:val="00C363B9"/>
    <w:rsid w:val="00C373AF"/>
    <w:rsid w:val="00C400C3"/>
    <w:rsid w:val="00C45BC9"/>
    <w:rsid w:val="00C513AA"/>
    <w:rsid w:val="00C52BFC"/>
    <w:rsid w:val="00C53A89"/>
    <w:rsid w:val="00C6194F"/>
    <w:rsid w:val="00C627F7"/>
    <w:rsid w:val="00C6379B"/>
    <w:rsid w:val="00C66895"/>
    <w:rsid w:val="00C7045E"/>
    <w:rsid w:val="00C704ED"/>
    <w:rsid w:val="00C73242"/>
    <w:rsid w:val="00C76A3E"/>
    <w:rsid w:val="00C76E72"/>
    <w:rsid w:val="00C806F0"/>
    <w:rsid w:val="00C83C81"/>
    <w:rsid w:val="00C855ED"/>
    <w:rsid w:val="00C85B83"/>
    <w:rsid w:val="00C85C93"/>
    <w:rsid w:val="00C87716"/>
    <w:rsid w:val="00C87F70"/>
    <w:rsid w:val="00C9228D"/>
    <w:rsid w:val="00C92E18"/>
    <w:rsid w:val="00C972E4"/>
    <w:rsid w:val="00CA0A8A"/>
    <w:rsid w:val="00CA0BB5"/>
    <w:rsid w:val="00CA1CAF"/>
    <w:rsid w:val="00CA4622"/>
    <w:rsid w:val="00CA556E"/>
    <w:rsid w:val="00CA71B0"/>
    <w:rsid w:val="00CB2307"/>
    <w:rsid w:val="00CB253D"/>
    <w:rsid w:val="00CB3AA9"/>
    <w:rsid w:val="00CB5274"/>
    <w:rsid w:val="00CB6FB9"/>
    <w:rsid w:val="00CC560F"/>
    <w:rsid w:val="00CC5EFC"/>
    <w:rsid w:val="00CC639C"/>
    <w:rsid w:val="00CC660A"/>
    <w:rsid w:val="00CC68A0"/>
    <w:rsid w:val="00CC74F5"/>
    <w:rsid w:val="00CD193A"/>
    <w:rsid w:val="00CD4CF8"/>
    <w:rsid w:val="00CE0C26"/>
    <w:rsid w:val="00CE1C38"/>
    <w:rsid w:val="00CE2C59"/>
    <w:rsid w:val="00CE2D48"/>
    <w:rsid w:val="00CE321E"/>
    <w:rsid w:val="00CE341B"/>
    <w:rsid w:val="00CF42E2"/>
    <w:rsid w:val="00D01C99"/>
    <w:rsid w:val="00D01D18"/>
    <w:rsid w:val="00D02D48"/>
    <w:rsid w:val="00D03C6F"/>
    <w:rsid w:val="00D03F86"/>
    <w:rsid w:val="00D06DEC"/>
    <w:rsid w:val="00D10EDE"/>
    <w:rsid w:val="00D1363C"/>
    <w:rsid w:val="00D1563A"/>
    <w:rsid w:val="00D16A2E"/>
    <w:rsid w:val="00D21433"/>
    <w:rsid w:val="00D226D5"/>
    <w:rsid w:val="00D24E3A"/>
    <w:rsid w:val="00D24EAB"/>
    <w:rsid w:val="00D3107C"/>
    <w:rsid w:val="00D3176E"/>
    <w:rsid w:val="00D31E07"/>
    <w:rsid w:val="00D32066"/>
    <w:rsid w:val="00D36504"/>
    <w:rsid w:val="00D40372"/>
    <w:rsid w:val="00D406A8"/>
    <w:rsid w:val="00D44960"/>
    <w:rsid w:val="00D4689E"/>
    <w:rsid w:val="00D51833"/>
    <w:rsid w:val="00D5198B"/>
    <w:rsid w:val="00D52D26"/>
    <w:rsid w:val="00D53956"/>
    <w:rsid w:val="00D558F7"/>
    <w:rsid w:val="00D62158"/>
    <w:rsid w:val="00D645B1"/>
    <w:rsid w:val="00D716AD"/>
    <w:rsid w:val="00D721FC"/>
    <w:rsid w:val="00D7241B"/>
    <w:rsid w:val="00D73CD2"/>
    <w:rsid w:val="00D76466"/>
    <w:rsid w:val="00D7686C"/>
    <w:rsid w:val="00D76932"/>
    <w:rsid w:val="00D8055F"/>
    <w:rsid w:val="00D83577"/>
    <w:rsid w:val="00D83629"/>
    <w:rsid w:val="00D86318"/>
    <w:rsid w:val="00D87CCF"/>
    <w:rsid w:val="00D91465"/>
    <w:rsid w:val="00D94AED"/>
    <w:rsid w:val="00D962C6"/>
    <w:rsid w:val="00DA13C4"/>
    <w:rsid w:val="00DA16BB"/>
    <w:rsid w:val="00DA5FEF"/>
    <w:rsid w:val="00DA7FB9"/>
    <w:rsid w:val="00DB13BE"/>
    <w:rsid w:val="00DB26C3"/>
    <w:rsid w:val="00DB4AA8"/>
    <w:rsid w:val="00DB6399"/>
    <w:rsid w:val="00DC0D4A"/>
    <w:rsid w:val="00DC0F0D"/>
    <w:rsid w:val="00DC2D95"/>
    <w:rsid w:val="00DC3549"/>
    <w:rsid w:val="00DC489F"/>
    <w:rsid w:val="00DC520E"/>
    <w:rsid w:val="00DD078B"/>
    <w:rsid w:val="00DD13F6"/>
    <w:rsid w:val="00DD1E84"/>
    <w:rsid w:val="00DD397A"/>
    <w:rsid w:val="00DD6FBB"/>
    <w:rsid w:val="00DD712E"/>
    <w:rsid w:val="00DE09DE"/>
    <w:rsid w:val="00DE0ABB"/>
    <w:rsid w:val="00DE175A"/>
    <w:rsid w:val="00DE3D28"/>
    <w:rsid w:val="00DE74A8"/>
    <w:rsid w:val="00DF10BA"/>
    <w:rsid w:val="00DF207D"/>
    <w:rsid w:val="00DF2111"/>
    <w:rsid w:val="00DF2DED"/>
    <w:rsid w:val="00DF3182"/>
    <w:rsid w:val="00DF597D"/>
    <w:rsid w:val="00DF736B"/>
    <w:rsid w:val="00E1193C"/>
    <w:rsid w:val="00E12395"/>
    <w:rsid w:val="00E13985"/>
    <w:rsid w:val="00E172FC"/>
    <w:rsid w:val="00E2143D"/>
    <w:rsid w:val="00E22DE3"/>
    <w:rsid w:val="00E23651"/>
    <w:rsid w:val="00E24542"/>
    <w:rsid w:val="00E24AFA"/>
    <w:rsid w:val="00E27F08"/>
    <w:rsid w:val="00E32F82"/>
    <w:rsid w:val="00E34577"/>
    <w:rsid w:val="00E418DE"/>
    <w:rsid w:val="00E42D70"/>
    <w:rsid w:val="00E45920"/>
    <w:rsid w:val="00E4618E"/>
    <w:rsid w:val="00E528C6"/>
    <w:rsid w:val="00E55FEC"/>
    <w:rsid w:val="00E7115F"/>
    <w:rsid w:val="00E74C0E"/>
    <w:rsid w:val="00E7697C"/>
    <w:rsid w:val="00E81B9A"/>
    <w:rsid w:val="00E82120"/>
    <w:rsid w:val="00E834D7"/>
    <w:rsid w:val="00E84B0A"/>
    <w:rsid w:val="00E84ED6"/>
    <w:rsid w:val="00E903D7"/>
    <w:rsid w:val="00E94E37"/>
    <w:rsid w:val="00EA4E7E"/>
    <w:rsid w:val="00EA4F9F"/>
    <w:rsid w:val="00EA60F3"/>
    <w:rsid w:val="00EA67D6"/>
    <w:rsid w:val="00EA7E36"/>
    <w:rsid w:val="00EB65F4"/>
    <w:rsid w:val="00EB6909"/>
    <w:rsid w:val="00EB7FCB"/>
    <w:rsid w:val="00EC4279"/>
    <w:rsid w:val="00EC5E48"/>
    <w:rsid w:val="00ED0164"/>
    <w:rsid w:val="00ED1526"/>
    <w:rsid w:val="00ED1C5C"/>
    <w:rsid w:val="00ED1DD7"/>
    <w:rsid w:val="00ED2D5A"/>
    <w:rsid w:val="00ED4632"/>
    <w:rsid w:val="00ED4CD8"/>
    <w:rsid w:val="00ED5B67"/>
    <w:rsid w:val="00ED5B76"/>
    <w:rsid w:val="00ED732B"/>
    <w:rsid w:val="00ED7437"/>
    <w:rsid w:val="00ED7C23"/>
    <w:rsid w:val="00EE1DEF"/>
    <w:rsid w:val="00EE4576"/>
    <w:rsid w:val="00EE4D04"/>
    <w:rsid w:val="00EF3075"/>
    <w:rsid w:val="00EF322B"/>
    <w:rsid w:val="00F01CBC"/>
    <w:rsid w:val="00F03353"/>
    <w:rsid w:val="00F069E4"/>
    <w:rsid w:val="00F07275"/>
    <w:rsid w:val="00F11963"/>
    <w:rsid w:val="00F13381"/>
    <w:rsid w:val="00F21BF4"/>
    <w:rsid w:val="00F223CF"/>
    <w:rsid w:val="00F242C3"/>
    <w:rsid w:val="00F259E4"/>
    <w:rsid w:val="00F27B8A"/>
    <w:rsid w:val="00F301E4"/>
    <w:rsid w:val="00F30EBB"/>
    <w:rsid w:val="00F320CE"/>
    <w:rsid w:val="00F34F07"/>
    <w:rsid w:val="00F35051"/>
    <w:rsid w:val="00F4241A"/>
    <w:rsid w:val="00F501AF"/>
    <w:rsid w:val="00F5095B"/>
    <w:rsid w:val="00F60B36"/>
    <w:rsid w:val="00F62D0E"/>
    <w:rsid w:val="00F63D09"/>
    <w:rsid w:val="00F66A15"/>
    <w:rsid w:val="00F73485"/>
    <w:rsid w:val="00F747EE"/>
    <w:rsid w:val="00F77EDE"/>
    <w:rsid w:val="00F80E76"/>
    <w:rsid w:val="00F81D8D"/>
    <w:rsid w:val="00F86F5F"/>
    <w:rsid w:val="00F879C1"/>
    <w:rsid w:val="00F87B93"/>
    <w:rsid w:val="00F90DCD"/>
    <w:rsid w:val="00F97D3D"/>
    <w:rsid w:val="00FA212A"/>
    <w:rsid w:val="00FB2BEF"/>
    <w:rsid w:val="00FB3069"/>
    <w:rsid w:val="00FC0060"/>
    <w:rsid w:val="00FC1B01"/>
    <w:rsid w:val="00FC26AD"/>
    <w:rsid w:val="00FC3CB9"/>
    <w:rsid w:val="00FC42F1"/>
    <w:rsid w:val="00FC5E02"/>
    <w:rsid w:val="00FC6123"/>
    <w:rsid w:val="00FC61EB"/>
    <w:rsid w:val="00FD4B69"/>
    <w:rsid w:val="00FE055A"/>
    <w:rsid w:val="00FE6944"/>
    <w:rsid w:val="00FE788E"/>
    <w:rsid w:val="00FF0971"/>
    <w:rsid w:val="00FF11B7"/>
    <w:rsid w:val="00FF3090"/>
    <w:rsid w:val="00FF349A"/>
    <w:rsid w:val="00FF64FF"/>
    <w:rsid w:val="00FF6860"/>
    <w:rsid w:val="00FF7E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bidi/>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52450E"/>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link w:val="a6"/>
    <w:uiPriority w:val="99"/>
    <w:rsid w:val="00695982"/>
    <w:pPr>
      <w:tabs>
        <w:tab w:val="center" w:pos="4153"/>
        <w:tab w:val="right" w:pos="8306"/>
      </w:tabs>
    </w:pPr>
  </w:style>
  <w:style w:type="character" w:styleId="a7">
    <w:name w:val="page number"/>
    <w:basedOn w:val="a1"/>
    <w:rsid w:val="00695982"/>
  </w:style>
  <w:style w:type="paragraph" w:styleId="a8">
    <w:name w:val="Balloon Text"/>
    <w:basedOn w:val="a0"/>
    <w:link w:val="a9"/>
    <w:rsid w:val="002F7626"/>
    <w:rPr>
      <w:rFonts w:ascii="Tahoma" w:hAnsi="Tahoma" w:cs="Tahoma"/>
      <w:sz w:val="16"/>
      <w:szCs w:val="16"/>
    </w:rPr>
  </w:style>
  <w:style w:type="character" w:customStyle="1" w:styleId="a9">
    <w:name w:val="טקסט בלונים תו"/>
    <w:link w:val="a8"/>
    <w:rsid w:val="002F7626"/>
    <w:rPr>
      <w:rFonts w:ascii="Tahoma" w:hAnsi="Tahoma" w:cs="Tahoma"/>
      <w:sz w:val="16"/>
      <w:szCs w:val="16"/>
    </w:rPr>
  </w:style>
  <w:style w:type="character" w:styleId="aa">
    <w:name w:val="annotation reference"/>
    <w:semiHidden/>
    <w:rsid w:val="00BF3389"/>
    <w:rPr>
      <w:sz w:val="16"/>
      <w:szCs w:val="16"/>
    </w:rPr>
  </w:style>
  <w:style w:type="paragraph" w:styleId="ab">
    <w:name w:val="annotation text"/>
    <w:basedOn w:val="a0"/>
    <w:semiHidden/>
    <w:rsid w:val="00BF3389"/>
    <w:rPr>
      <w:sz w:val="20"/>
      <w:szCs w:val="20"/>
    </w:rPr>
  </w:style>
  <w:style w:type="paragraph" w:styleId="ac">
    <w:name w:val="annotation subject"/>
    <w:basedOn w:val="ab"/>
    <w:next w:val="ab"/>
    <w:semiHidden/>
    <w:rsid w:val="00BF3389"/>
    <w:rPr>
      <w:b/>
      <w:bCs/>
    </w:rPr>
  </w:style>
  <w:style w:type="paragraph" w:styleId="NormalWeb">
    <w:name w:val="Normal (Web)"/>
    <w:basedOn w:val="a0"/>
    <w:rsid w:val="00F34F07"/>
    <w:pPr>
      <w:bidi w:val="0"/>
      <w:spacing w:before="100" w:beforeAutospacing="1" w:after="100" w:afterAutospacing="1"/>
    </w:pPr>
  </w:style>
  <w:style w:type="paragraph" w:styleId="ad">
    <w:name w:val="footnote text"/>
    <w:basedOn w:val="a0"/>
    <w:semiHidden/>
    <w:rsid w:val="0078584D"/>
    <w:rPr>
      <w:sz w:val="20"/>
      <w:szCs w:val="20"/>
    </w:rPr>
  </w:style>
  <w:style w:type="character" w:styleId="ae">
    <w:name w:val="footnote reference"/>
    <w:semiHidden/>
    <w:rsid w:val="0078584D"/>
    <w:rPr>
      <w:vertAlign w:val="superscript"/>
    </w:rPr>
  </w:style>
  <w:style w:type="paragraph" w:styleId="af">
    <w:name w:val="header"/>
    <w:basedOn w:val="a0"/>
    <w:rsid w:val="00751446"/>
    <w:pPr>
      <w:tabs>
        <w:tab w:val="center" w:pos="4153"/>
        <w:tab w:val="right" w:pos="8306"/>
      </w:tabs>
    </w:pPr>
  </w:style>
  <w:style w:type="paragraph" w:customStyle="1" w:styleId="a">
    <w:name w:val="תבליט מרכזי"/>
    <w:basedOn w:val="a0"/>
    <w:next w:val="a0"/>
    <w:link w:val="af0"/>
    <w:rsid w:val="00C972E4"/>
    <w:pPr>
      <w:numPr>
        <w:numId w:val="16"/>
      </w:numPr>
      <w:spacing w:line="360" w:lineRule="auto"/>
      <w:jc w:val="both"/>
    </w:pPr>
    <w:rPr>
      <w:rFonts w:ascii="Calibri" w:hAnsi="Arial" w:cs="David"/>
      <w:lang w:eastAsia="he-IL"/>
    </w:rPr>
  </w:style>
  <w:style w:type="character" w:customStyle="1" w:styleId="af0">
    <w:name w:val="תבליט מרכזי תו"/>
    <w:link w:val="a"/>
    <w:rsid w:val="00C972E4"/>
    <w:rPr>
      <w:rFonts w:ascii="Calibri" w:hAnsi="Arial" w:cs="David"/>
      <w:sz w:val="24"/>
      <w:szCs w:val="24"/>
      <w:lang w:eastAsia="he-IL"/>
    </w:rPr>
  </w:style>
  <w:style w:type="paragraph" w:customStyle="1" w:styleId="3">
    <w:name w:val="סגנון 3"/>
    <w:basedOn w:val="a0"/>
    <w:next w:val="a0"/>
    <w:rsid w:val="003D0853"/>
    <w:pPr>
      <w:spacing w:before="120" w:line="360" w:lineRule="auto"/>
      <w:jc w:val="both"/>
    </w:pPr>
    <w:rPr>
      <w:rFonts w:ascii="Arial" w:hAnsi="Arial" w:cs="David"/>
      <w:b/>
      <w:bCs/>
      <w:sz w:val="28"/>
      <w:szCs w:val="28"/>
      <w:lang w:eastAsia="he-IL"/>
    </w:rPr>
  </w:style>
  <w:style w:type="paragraph" w:styleId="af1">
    <w:name w:val="List Paragraph"/>
    <w:basedOn w:val="a0"/>
    <w:uiPriority w:val="34"/>
    <w:qFormat/>
    <w:rsid w:val="00F62D0E"/>
    <w:pPr>
      <w:spacing w:after="200" w:line="276" w:lineRule="auto"/>
      <w:ind w:left="720"/>
      <w:contextualSpacing/>
    </w:pPr>
    <w:rPr>
      <w:rFonts w:ascii="Calibri" w:eastAsia="Calibri" w:hAnsi="Calibri" w:cs="Arial"/>
      <w:sz w:val="22"/>
      <w:szCs w:val="22"/>
    </w:rPr>
  </w:style>
  <w:style w:type="character" w:customStyle="1" w:styleId="a6">
    <w:name w:val="כותרת תחתונה תו"/>
    <w:basedOn w:val="a1"/>
    <w:link w:val="a5"/>
    <w:uiPriority w:val="99"/>
    <w:rsid w:val="006537C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bidi/>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52450E"/>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link w:val="a6"/>
    <w:uiPriority w:val="99"/>
    <w:rsid w:val="00695982"/>
    <w:pPr>
      <w:tabs>
        <w:tab w:val="center" w:pos="4153"/>
        <w:tab w:val="right" w:pos="8306"/>
      </w:tabs>
    </w:pPr>
  </w:style>
  <w:style w:type="character" w:styleId="a7">
    <w:name w:val="page number"/>
    <w:basedOn w:val="a1"/>
    <w:rsid w:val="00695982"/>
  </w:style>
  <w:style w:type="paragraph" w:styleId="a8">
    <w:name w:val="Balloon Text"/>
    <w:basedOn w:val="a0"/>
    <w:link w:val="a9"/>
    <w:rsid w:val="002F7626"/>
    <w:rPr>
      <w:rFonts w:ascii="Tahoma" w:hAnsi="Tahoma" w:cs="Tahoma"/>
      <w:sz w:val="16"/>
      <w:szCs w:val="16"/>
    </w:rPr>
  </w:style>
  <w:style w:type="character" w:customStyle="1" w:styleId="a9">
    <w:name w:val="טקסט בלונים תו"/>
    <w:link w:val="a8"/>
    <w:rsid w:val="002F7626"/>
    <w:rPr>
      <w:rFonts w:ascii="Tahoma" w:hAnsi="Tahoma" w:cs="Tahoma"/>
      <w:sz w:val="16"/>
      <w:szCs w:val="16"/>
    </w:rPr>
  </w:style>
  <w:style w:type="character" w:styleId="aa">
    <w:name w:val="annotation reference"/>
    <w:semiHidden/>
    <w:rsid w:val="00BF3389"/>
    <w:rPr>
      <w:sz w:val="16"/>
      <w:szCs w:val="16"/>
    </w:rPr>
  </w:style>
  <w:style w:type="paragraph" w:styleId="ab">
    <w:name w:val="annotation text"/>
    <w:basedOn w:val="a0"/>
    <w:semiHidden/>
    <w:rsid w:val="00BF3389"/>
    <w:rPr>
      <w:sz w:val="20"/>
      <w:szCs w:val="20"/>
    </w:rPr>
  </w:style>
  <w:style w:type="paragraph" w:styleId="ac">
    <w:name w:val="annotation subject"/>
    <w:basedOn w:val="ab"/>
    <w:next w:val="ab"/>
    <w:semiHidden/>
    <w:rsid w:val="00BF3389"/>
    <w:rPr>
      <w:b/>
      <w:bCs/>
    </w:rPr>
  </w:style>
  <w:style w:type="paragraph" w:styleId="NormalWeb">
    <w:name w:val="Normal (Web)"/>
    <w:basedOn w:val="a0"/>
    <w:rsid w:val="00F34F07"/>
    <w:pPr>
      <w:bidi w:val="0"/>
      <w:spacing w:before="100" w:beforeAutospacing="1" w:after="100" w:afterAutospacing="1"/>
    </w:pPr>
  </w:style>
  <w:style w:type="paragraph" w:styleId="ad">
    <w:name w:val="footnote text"/>
    <w:basedOn w:val="a0"/>
    <w:semiHidden/>
    <w:rsid w:val="0078584D"/>
    <w:rPr>
      <w:sz w:val="20"/>
      <w:szCs w:val="20"/>
    </w:rPr>
  </w:style>
  <w:style w:type="character" w:styleId="ae">
    <w:name w:val="footnote reference"/>
    <w:semiHidden/>
    <w:rsid w:val="0078584D"/>
    <w:rPr>
      <w:vertAlign w:val="superscript"/>
    </w:rPr>
  </w:style>
  <w:style w:type="paragraph" w:styleId="af">
    <w:name w:val="header"/>
    <w:basedOn w:val="a0"/>
    <w:rsid w:val="00751446"/>
    <w:pPr>
      <w:tabs>
        <w:tab w:val="center" w:pos="4153"/>
        <w:tab w:val="right" w:pos="8306"/>
      </w:tabs>
    </w:pPr>
  </w:style>
  <w:style w:type="paragraph" w:customStyle="1" w:styleId="a">
    <w:name w:val="תבליט מרכזי"/>
    <w:basedOn w:val="a0"/>
    <w:next w:val="a0"/>
    <w:link w:val="af0"/>
    <w:rsid w:val="00C972E4"/>
    <w:pPr>
      <w:numPr>
        <w:numId w:val="16"/>
      </w:numPr>
      <w:spacing w:line="360" w:lineRule="auto"/>
      <w:jc w:val="both"/>
    </w:pPr>
    <w:rPr>
      <w:rFonts w:ascii="Calibri" w:hAnsi="Arial" w:cs="David"/>
      <w:lang w:eastAsia="he-IL"/>
    </w:rPr>
  </w:style>
  <w:style w:type="character" w:customStyle="1" w:styleId="af0">
    <w:name w:val="תבליט מרכזי תו"/>
    <w:link w:val="a"/>
    <w:rsid w:val="00C972E4"/>
    <w:rPr>
      <w:rFonts w:ascii="Calibri" w:hAnsi="Arial" w:cs="David"/>
      <w:sz w:val="24"/>
      <w:szCs w:val="24"/>
      <w:lang w:eastAsia="he-IL"/>
    </w:rPr>
  </w:style>
  <w:style w:type="paragraph" w:customStyle="1" w:styleId="3">
    <w:name w:val="סגנון 3"/>
    <w:basedOn w:val="a0"/>
    <w:next w:val="a0"/>
    <w:rsid w:val="003D0853"/>
    <w:pPr>
      <w:spacing w:before="120" w:line="360" w:lineRule="auto"/>
      <w:jc w:val="both"/>
    </w:pPr>
    <w:rPr>
      <w:rFonts w:ascii="Arial" w:hAnsi="Arial" w:cs="David"/>
      <w:b/>
      <w:bCs/>
      <w:sz w:val="28"/>
      <w:szCs w:val="28"/>
      <w:lang w:eastAsia="he-IL"/>
    </w:rPr>
  </w:style>
  <w:style w:type="paragraph" w:styleId="af1">
    <w:name w:val="List Paragraph"/>
    <w:basedOn w:val="a0"/>
    <w:uiPriority w:val="34"/>
    <w:qFormat/>
    <w:rsid w:val="00F62D0E"/>
    <w:pPr>
      <w:spacing w:after="200" w:line="276" w:lineRule="auto"/>
      <w:ind w:left="720"/>
      <w:contextualSpacing/>
    </w:pPr>
    <w:rPr>
      <w:rFonts w:ascii="Calibri" w:eastAsia="Calibri" w:hAnsi="Calibri" w:cs="Arial"/>
      <w:sz w:val="22"/>
      <w:szCs w:val="22"/>
    </w:rPr>
  </w:style>
  <w:style w:type="character" w:customStyle="1" w:styleId="a6">
    <w:name w:val="כותרת תחתונה תו"/>
    <w:basedOn w:val="a1"/>
    <w:link w:val="a5"/>
    <w:uiPriority w:val="99"/>
    <w:rsid w:val="006537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026276">
      <w:bodyDiv w:val="1"/>
      <w:marLeft w:val="0"/>
      <w:marRight w:val="0"/>
      <w:marTop w:val="0"/>
      <w:marBottom w:val="0"/>
      <w:divBdr>
        <w:top w:val="none" w:sz="0" w:space="0" w:color="auto"/>
        <w:left w:val="none" w:sz="0" w:space="0" w:color="auto"/>
        <w:bottom w:val="none" w:sz="0" w:space="0" w:color="auto"/>
        <w:right w:val="none" w:sz="0" w:space="0" w:color="auto"/>
      </w:divBdr>
      <w:divsChild>
        <w:div w:id="234055010">
          <w:marLeft w:val="0"/>
          <w:marRight w:val="0"/>
          <w:marTop w:val="0"/>
          <w:marBottom w:val="0"/>
          <w:divBdr>
            <w:top w:val="none" w:sz="0" w:space="0" w:color="auto"/>
            <w:left w:val="none" w:sz="0" w:space="0" w:color="auto"/>
            <w:bottom w:val="none" w:sz="0" w:space="0" w:color="auto"/>
            <w:right w:val="none" w:sz="0" w:space="0" w:color="auto"/>
          </w:divBdr>
        </w:div>
        <w:div w:id="243799994">
          <w:marLeft w:val="0"/>
          <w:marRight w:val="0"/>
          <w:marTop w:val="0"/>
          <w:marBottom w:val="0"/>
          <w:divBdr>
            <w:top w:val="none" w:sz="0" w:space="0" w:color="auto"/>
            <w:left w:val="none" w:sz="0" w:space="0" w:color="auto"/>
            <w:bottom w:val="none" w:sz="0" w:space="0" w:color="auto"/>
            <w:right w:val="none" w:sz="0" w:space="0" w:color="auto"/>
          </w:divBdr>
        </w:div>
        <w:div w:id="296957224">
          <w:marLeft w:val="0"/>
          <w:marRight w:val="0"/>
          <w:marTop w:val="0"/>
          <w:marBottom w:val="0"/>
          <w:divBdr>
            <w:top w:val="none" w:sz="0" w:space="0" w:color="auto"/>
            <w:left w:val="none" w:sz="0" w:space="0" w:color="auto"/>
            <w:bottom w:val="none" w:sz="0" w:space="0" w:color="auto"/>
            <w:right w:val="none" w:sz="0" w:space="0" w:color="auto"/>
          </w:divBdr>
        </w:div>
        <w:div w:id="948243356">
          <w:marLeft w:val="0"/>
          <w:marRight w:val="0"/>
          <w:marTop w:val="0"/>
          <w:marBottom w:val="0"/>
          <w:divBdr>
            <w:top w:val="none" w:sz="0" w:space="0" w:color="auto"/>
            <w:left w:val="none" w:sz="0" w:space="0" w:color="auto"/>
            <w:bottom w:val="none" w:sz="0" w:space="0" w:color="auto"/>
            <w:right w:val="none" w:sz="0" w:space="0" w:color="auto"/>
          </w:divBdr>
        </w:div>
        <w:div w:id="1405103671">
          <w:marLeft w:val="0"/>
          <w:marRight w:val="0"/>
          <w:marTop w:val="0"/>
          <w:marBottom w:val="0"/>
          <w:divBdr>
            <w:top w:val="none" w:sz="0" w:space="0" w:color="auto"/>
            <w:left w:val="none" w:sz="0" w:space="0" w:color="auto"/>
            <w:bottom w:val="none" w:sz="0" w:space="0" w:color="auto"/>
            <w:right w:val="none" w:sz="0" w:space="0" w:color="auto"/>
          </w:divBdr>
        </w:div>
        <w:div w:id="1635208610">
          <w:marLeft w:val="0"/>
          <w:marRight w:val="0"/>
          <w:marTop w:val="0"/>
          <w:marBottom w:val="0"/>
          <w:divBdr>
            <w:top w:val="none" w:sz="0" w:space="0" w:color="auto"/>
            <w:left w:val="none" w:sz="0" w:space="0" w:color="auto"/>
            <w:bottom w:val="none" w:sz="0" w:space="0" w:color="auto"/>
            <w:right w:val="none" w:sz="0" w:space="0" w:color="auto"/>
          </w:divBdr>
        </w:div>
        <w:div w:id="1735085776">
          <w:marLeft w:val="0"/>
          <w:marRight w:val="0"/>
          <w:marTop w:val="0"/>
          <w:marBottom w:val="0"/>
          <w:divBdr>
            <w:top w:val="none" w:sz="0" w:space="0" w:color="auto"/>
            <w:left w:val="none" w:sz="0" w:space="0" w:color="auto"/>
            <w:bottom w:val="none" w:sz="0" w:space="0" w:color="auto"/>
            <w:right w:val="none" w:sz="0" w:space="0" w:color="auto"/>
          </w:divBdr>
        </w:div>
        <w:div w:id="1762871841">
          <w:marLeft w:val="0"/>
          <w:marRight w:val="0"/>
          <w:marTop w:val="0"/>
          <w:marBottom w:val="0"/>
          <w:divBdr>
            <w:top w:val="none" w:sz="0" w:space="0" w:color="auto"/>
            <w:left w:val="none" w:sz="0" w:space="0" w:color="auto"/>
            <w:bottom w:val="none" w:sz="0" w:space="0" w:color="auto"/>
            <w:right w:val="none" w:sz="0" w:space="0" w:color="auto"/>
          </w:divBdr>
        </w:div>
        <w:div w:id="1936477969">
          <w:marLeft w:val="0"/>
          <w:marRight w:val="0"/>
          <w:marTop w:val="0"/>
          <w:marBottom w:val="0"/>
          <w:divBdr>
            <w:top w:val="none" w:sz="0" w:space="0" w:color="auto"/>
            <w:left w:val="none" w:sz="0" w:space="0" w:color="auto"/>
            <w:bottom w:val="none" w:sz="0" w:space="0" w:color="auto"/>
            <w:right w:val="none" w:sz="0" w:space="0" w:color="auto"/>
          </w:divBdr>
        </w:div>
        <w:div w:id="2001149803">
          <w:marLeft w:val="0"/>
          <w:marRight w:val="0"/>
          <w:marTop w:val="0"/>
          <w:marBottom w:val="0"/>
          <w:divBdr>
            <w:top w:val="none" w:sz="0" w:space="0" w:color="auto"/>
            <w:left w:val="none" w:sz="0" w:space="0" w:color="auto"/>
            <w:bottom w:val="none" w:sz="0" w:space="0" w:color="auto"/>
            <w:right w:val="none" w:sz="0" w:space="0" w:color="auto"/>
          </w:divBdr>
        </w:div>
      </w:divsChild>
    </w:div>
    <w:div w:id="1408915522">
      <w:bodyDiv w:val="1"/>
      <w:marLeft w:val="0"/>
      <w:marRight w:val="0"/>
      <w:marTop w:val="0"/>
      <w:marBottom w:val="0"/>
      <w:divBdr>
        <w:top w:val="none" w:sz="0" w:space="0" w:color="auto"/>
        <w:left w:val="none" w:sz="0" w:space="0" w:color="auto"/>
        <w:bottom w:val="none" w:sz="0" w:space="0" w:color="auto"/>
        <w:right w:val="none" w:sz="0" w:space="0" w:color="auto"/>
      </w:divBdr>
    </w:div>
    <w:div w:id="190259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3B65EDC-BFCD-4FB6-8AFF-670BE0924184}"/>
</file>

<file path=customXml/itemProps2.xml><?xml version="1.0" encoding="utf-8"?>
<ds:datastoreItem xmlns:ds="http://schemas.openxmlformats.org/officeDocument/2006/customXml" ds:itemID="{7592A37F-E00A-4C89-A380-09A5030C51F0}"/>
</file>

<file path=customXml/itemProps3.xml><?xml version="1.0" encoding="utf-8"?>
<ds:datastoreItem xmlns:ds="http://schemas.openxmlformats.org/officeDocument/2006/customXml" ds:itemID="{ADFDFFEE-37C3-4094-A9B3-65DFD8F98E69}"/>
</file>

<file path=customXml/itemProps4.xml><?xml version="1.0" encoding="utf-8"?>
<ds:datastoreItem xmlns:ds="http://schemas.openxmlformats.org/officeDocument/2006/customXml" ds:itemID="{8F627AD7-B1B8-4E14-906D-98C0E153D8C4}"/>
</file>

<file path=docProps/app.xml><?xml version="1.0" encoding="utf-8"?>
<Properties xmlns="http://schemas.openxmlformats.org/officeDocument/2006/extended-properties" xmlns:vt="http://schemas.openxmlformats.org/officeDocument/2006/docPropsVTypes">
  <Template>Normal.dotm</Template>
  <TotalTime>0</TotalTime>
  <Pages>4</Pages>
  <Words>1368</Words>
  <Characters>6779</Characters>
  <Application>Microsoft Office Word</Application>
  <DocSecurity>0</DocSecurity>
  <Lines>56</Lines>
  <Paragraphs>16</Paragraphs>
  <ScaleCrop>false</ScaleCrop>
  <LinksUpToDate>false</LinksUpToDate>
  <CharactersWithSpaces>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2014-01-06T07:03:00Z</dcterms:created>
  <dcterms:modified xsi:type="dcterms:W3CDTF">2014-01-06T07:03:00Z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