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8472" w:type="dxa"/>
        <w:tblLayout w:type="fixed"/>
        <w:tblLook w:val="0000" w:firstRow="0" w:lastRow="0" w:firstColumn="0" w:lastColumn="0" w:noHBand="0" w:noVBand="0"/>
      </w:tblPr>
      <w:tblGrid>
        <w:gridCol w:w="3369"/>
        <w:gridCol w:w="1734"/>
        <w:gridCol w:w="3369"/>
      </w:tblGrid>
      <w:tr w:rsidR="0096431D" w:rsidTr="0096431D">
        <w:trPr>
          <w:trHeight w:val="2268"/>
        </w:trPr>
        <w:tc>
          <w:tcPr>
            <w:tcW w:w="3369" w:type="dxa"/>
            <w:vAlign w:val="center"/>
          </w:tcPr>
          <w:p w:rsidR="0096431D" w:rsidRPr="002618D5" w:rsidRDefault="0096431D" w:rsidP="0096431D">
            <w:pPr>
              <w:jc w:val="center"/>
              <w:rPr>
                <w:szCs w:val="96"/>
                <w:rtl/>
              </w:rPr>
            </w:pPr>
            <w:r>
              <w:rPr>
                <w:szCs w:val="96"/>
              </w:rPr>
              <w:object w:dxaOrig="526"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75pt" o:ole="" fillcolor="window">
                  <v:imagedata r:id="rId7" o:title=""/>
                </v:shape>
                <o:OLEObject Type="Embed" ProgID="Word.Picture.8" ShapeID="_x0000_i1025" DrawAspect="Content" ObjectID="_1736852055" r:id="rId8"/>
              </w:object>
            </w:r>
          </w:p>
          <w:p w:rsidR="0096431D" w:rsidRPr="0009353D" w:rsidRDefault="0096431D" w:rsidP="0096431D">
            <w:pPr>
              <w:jc w:val="center"/>
              <w:rPr>
                <w:rFonts w:cs="David"/>
                <w:b/>
                <w:bCs/>
                <w:sz w:val="28"/>
                <w:szCs w:val="28"/>
                <w:rtl/>
              </w:rPr>
            </w:pPr>
            <w:r w:rsidRPr="0009353D">
              <w:rPr>
                <w:rFonts w:cs="David" w:hint="cs"/>
                <w:b/>
                <w:bCs/>
                <w:sz w:val="28"/>
                <w:szCs w:val="28"/>
                <w:rtl/>
              </w:rPr>
              <w:t>משרד האוצר</w:t>
            </w:r>
          </w:p>
          <w:p w:rsidR="0096431D" w:rsidRPr="0009353D" w:rsidRDefault="0096431D" w:rsidP="0096431D">
            <w:pPr>
              <w:jc w:val="center"/>
              <w:rPr>
                <w:rFonts w:cs="David"/>
                <w:sz w:val="26"/>
              </w:rPr>
            </w:pPr>
            <w:r w:rsidRPr="00ED0B42">
              <w:rPr>
                <w:rFonts w:cs="David" w:hint="cs"/>
                <w:sz w:val="32"/>
                <w:szCs w:val="24"/>
                <w:rtl/>
              </w:rPr>
              <w:t>דוברות והסברה</w:t>
            </w:r>
            <w:bookmarkStart w:id="0" w:name="T005"/>
            <w:bookmarkEnd w:id="0"/>
          </w:p>
        </w:tc>
        <w:tc>
          <w:tcPr>
            <w:tcW w:w="1734" w:type="dxa"/>
            <w:vAlign w:val="center"/>
          </w:tcPr>
          <w:p w:rsidR="0096431D" w:rsidRDefault="0096431D" w:rsidP="0096431D">
            <w:pPr>
              <w:jc w:val="center"/>
            </w:pPr>
          </w:p>
        </w:tc>
        <w:tc>
          <w:tcPr>
            <w:tcW w:w="3369" w:type="dxa"/>
            <w:vAlign w:val="center"/>
          </w:tcPr>
          <w:p w:rsidR="0096431D" w:rsidRDefault="0096431D" w:rsidP="0096431D">
            <w:pPr>
              <w:jc w:val="center"/>
              <w:rPr>
                <w:rFonts w:cs="David"/>
                <w:b/>
                <w:bCs/>
                <w:sz w:val="28"/>
                <w:szCs w:val="28"/>
                <w:rtl/>
              </w:rPr>
            </w:pPr>
            <w:r w:rsidRPr="00F1454B">
              <w:rPr>
                <w:rFonts w:ascii="David" w:hAnsi="David" w:cs="David"/>
                <w:noProof/>
                <w:szCs w:val="22"/>
              </w:rPr>
              <w:drawing>
                <wp:inline distT="0" distB="0" distL="0" distR="0" wp14:anchorId="14266E8B" wp14:editId="216B8E13">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p w:rsidR="0096431D" w:rsidRPr="003951EB" w:rsidRDefault="0096431D" w:rsidP="0096431D">
            <w:pPr>
              <w:jc w:val="center"/>
              <w:rPr>
                <w:rFonts w:cs="David"/>
                <w:b/>
                <w:bCs/>
                <w:sz w:val="28"/>
                <w:szCs w:val="28"/>
              </w:rPr>
            </w:pPr>
            <w:r w:rsidRPr="003951EB">
              <w:rPr>
                <w:rFonts w:cs="David" w:hint="cs"/>
                <w:b/>
                <w:bCs/>
                <w:sz w:val="28"/>
                <w:szCs w:val="28"/>
                <w:rtl/>
              </w:rPr>
              <w:t>בנק ישראל</w:t>
            </w:r>
          </w:p>
          <w:p w:rsidR="0096431D" w:rsidRPr="003951EB" w:rsidRDefault="0096431D" w:rsidP="0096431D">
            <w:pPr>
              <w:jc w:val="center"/>
              <w:rPr>
                <w:sz w:val="26"/>
                <w:rtl/>
              </w:rPr>
            </w:pPr>
            <w:r w:rsidRPr="00ED0B42">
              <w:rPr>
                <w:rFonts w:cs="David" w:hint="cs"/>
                <w:sz w:val="32"/>
                <w:szCs w:val="24"/>
                <w:rtl/>
              </w:rPr>
              <w:t>דוברות והסברה כלכלית</w:t>
            </w:r>
          </w:p>
        </w:tc>
      </w:tr>
    </w:tbl>
    <w:p w:rsidR="0096431D" w:rsidRPr="00C13833" w:rsidRDefault="0096431D" w:rsidP="000E4D31">
      <w:pPr>
        <w:rPr>
          <w:rFonts w:ascii="David" w:hAnsi="David" w:cs="David"/>
          <w:sz w:val="2"/>
          <w:szCs w:val="2"/>
          <w:rtl/>
        </w:rPr>
      </w:pPr>
    </w:p>
    <w:tbl>
      <w:tblPr>
        <w:tblpPr w:leftFromText="180" w:rightFromText="180" w:vertAnchor="page" w:horzAnchor="margin" w:tblpXSpec="center" w:tblpY="637"/>
        <w:bidiVisual/>
        <w:tblW w:w="8789" w:type="dxa"/>
        <w:tblLayout w:type="fixed"/>
        <w:tblLook w:val="0000" w:firstRow="0" w:lastRow="0" w:firstColumn="0" w:lastColumn="0" w:noHBand="0" w:noVBand="0"/>
      </w:tblPr>
      <w:tblGrid>
        <w:gridCol w:w="8789"/>
      </w:tblGrid>
      <w:tr w:rsidR="0096431D" w:rsidRPr="00101B37" w:rsidTr="00FE7771">
        <w:tc>
          <w:tcPr>
            <w:tcW w:w="3084" w:type="dxa"/>
            <w:tcBorders>
              <w:top w:val="nil"/>
              <w:left w:val="nil"/>
              <w:bottom w:val="nil"/>
              <w:right w:val="nil"/>
            </w:tcBorders>
            <w:vAlign w:val="center"/>
          </w:tcPr>
          <w:p w:rsidR="0096431D" w:rsidRPr="00634285" w:rsidRDefault="0096431D" w:rsidP="00FE7771">
            <w:pPr>
              <w:spacing w:after="200" w:line="480" w:lineRule="auto"/>
              <w:jc w:val="right"/>
              <w:rPr>
                <w:rFonts w:ascii="David" w:hAnsi="David" w:cs="David"/>
                <w:sz w:val="24"/>
                <w:szCs w:val="24"/>
                <w:rtl/>
              </w:rPr>
            </w:pPr>
          </w:p>
          <w:p w:rsidR="0096431D" w:rsidRDefault="0096431D" w:rsidP="00FE7771">
            <w:pPr>
              <w:bidi w:val="0"/>
              <w:spacing w:after="200" w:line="480" w:lineRule="auto"/>
              <w:rPr>
                <w:rFonts w:ascii="David" w:hAnsi="David" w:cs="David"/>
                <w:sz w:val="24"/>
                <w:szCs w:val="24"/>
              </w:rPr>
            </w:pPr>
          </w:p>
          <w:p w:rsidR="0096431D" w:rsidRPr="00C13833" w:rsidRDefault="0096431D" w:rsidP="0096431D">
            <w:pPr>
              <w:bidi w:val="0"/>
              <w:spacing w:after="200" w:line="480" w:lineRule="auto"/>
              <w:rPr>
                <w:rFonts w:ascii="David" w:hAnsi="David" w:cs="David"/>
                <w:sz w:val="12"/>
                <w:szCs w:val="12"/>
              </w:rPr>
            </w:pPr>
          </w:p>
          <w:p w:rsidR="0096431D" w:rsidRDefault="0096431D" w:rsidP="0096431D">
            <w:pPr>
              <w:bidi w:val="0"/>
              <w:spacing w:after="200" w:line="480" w:lineRule="auto"/>
              <w:rPr>
                <w:rFonts w:ascii="David" w:hAnsi="David" w:cs="David"/>
                <w:sz w:val="24"/>
                <w:szCs w:val="24"/>
              </w:rPr>
            </w:pPr>
          </w:p>
          <w:p w:rsidR="0096431D" w:rsidRDefault="0096431D" w:rsidP="0096431D">
            <w:pPr>
              <w:bidi w:val="0"/>
              <w:spacing w:after="200" w:line="240" w:lineRule="auto"/>
              <w:rPr>
                <w:rFonts w:ascii="David" w:hAnsi="David" w:cs="David"/>
                <w:sz w:val="24"/>
                <w:szCs w:val="24"/>
              </w:rPr>
            </w:pPr>
          </w:p>
          <w:p w:rsidR="0096431D" w:rsidRPr="00E233F4" w:rsidRDefault="0096431D" w:rsidP="00AC4A62">
            <w:pPr>
              <w:bidi w:val="0"/>
              <w:spacing w:after="200" w:line="240" w:lineRule="auto"/>
              <w:rPr>
                <w:rFonts w:ascii="David" w:hAnsi="David" w:cs="David"/>
                <w:sz w:val="24"/>
                <w:szCs w:val="24"/>
              </w:rPr>
            </w:pPr>
            <w:r w:rsidRPr="00E233F4">
              <w:rPr>
                <w:rFonts w:ascii="David" w:hAnsi="David" w:cs="David"/>
                <w:sz w:val="24"/>
                <w:szCs w:val="24"/>
                <w:rtl/>
              </w:rPr>
              <w:t xml:space="preserve">ירושלים, </w:t>
            </w:r>
            <w:r w:rsidR="00AC4A62">
              <w:rPr>
                <w:rFonts w:ascii="David" w:hAnsi="David" w:cs="David" w:hint="cs"/>
                <w:sz w:val="24"/>
                <w:szCs w:val="24"/>
                <w:rtl/>
              </w:rPr>
              <w:t>י"א</w:t>
            </w:r>
            <w:bookmarkStart w:id="1" w:name="_GoBack"/>
            <w:bookmarkEnd w:id="1"/>
            <w:r w:rsidRPr="00E233F4">
              <w:rPr>
                <w:rFonts w:ascii="David" w:hAnsi="David" w:cs="David"/>
                <w:sz w:val="24"/>
                <w:szCs w:val="24"/>
                <w:rtl/>
              </w:rPr>
              <w:t xml:space="preserve"> </w:t>
            </w:r>
            <w:r w:rsidR="00E233F4" w:rsidRPr="00E233F4">
              <w:rPr>
                <w:rFonts w:ascii="David" w:hAnsi="David" w:cs="David" w:hint="cs"/>
                <w:sz w:val="24"/>
                <w:szCs w:val="24"/>
                <w:rtl/>
              </w:rPr>
              <w:t>בשבט</w:t>
            </w:r>
            <w:r w:rsidRPr="00E233F4">
              <w:rPr>
                <w:rFonts w:ascii="David" w:hAnsi="David" w:cs="David"/>
                <w:sz w:val="24"/>
                <w:szCs w:val="24"/>
                <w:rtl/>
              </w:rPr>
              <w:t>, תשפ"</w:t>
            </w:r>
            <w:r w:rsidR="00E233F4" w:rsidRPr="00E233F4">
              <w:rPr>
                <w:rFonts w:ascii="David" w:hAnsi="David" w:cs="David" w:hint="cs"/>
                <w:sz w:val="24"/>
                <w:szCs w:val="24"/>
                <w:rtl/>
              </w:rPr>
              <w:t>ג</w:t>
            </w:r>
          </w:p>
          <w:p w:rsidR="0096431D" w:rsidRPr="00101B37" w:rsidRDefault="00AC4A62" w:rsidP="00AC4A62">
            <w:pPr>
              <w:bidi w:val="0"/>
              <w:spacing w:after="200" w:line="240" w:lineRule="auto"/>
              <w:rPr>
                <w:rFonts w:ascii="David" w:hAnsi="David" w:cs="David"/>
                <w:sz w:val="24"/>
                <w:szCs w:val="24"/>
                <w:highlight w:val="yellow"/>
              </w:rPr>
            </w:pPr>
            <w:r>
              <w:rPr>
                <w:rFonts w:ascii="David" w:hAnsi="David" w:cs="David" w:hint="cs"/>
                <w:sz w:val="24"/>
                <w:szCs w:val="24"/>
                <w:rtl/>
              </w:rPr>
              <w:t>02</w:t>
            </w:r>
            <w:r w:rsidR="00F35734" w:rsidRPr="00E233F4">
              <w:rPr>
                <w:rFonts w:ascii="David" w:hAnsi="David" w:cs="David" w:hint="cs"/>
                <w:sz w:val="24"/>
                <w:szCs w:val="24"/>
                <w:rtl/>
              </w:rPr>
              <w:t xml:space="preserve"> </w:t>
            </w:r>
            <w:proofErr w:type="spellStart"/>
            <w:r>
              <w:rPr>
                <w:rFonts w:ascii="David" w:hAnsi="David" w:cs="David" w:hint="cs"/>
                <w:sz w:val="24"/>
                <w:szCs w:val="24"/>
                <w:rtl/>
              </w:rPr>
              <w:t>בפבואר</w:t>
            </w:r>
            <w:proofErr w:type="spellEnd"/>
            <w:r>
              <w:rPr>
                <w:rFonts w:ascii="David" w:hAnsi="David" w:cs="David" w:hint="cs"/>
                <w:sz w:val="24"/>
                <w:szCs w:val="24"/>
                <w:rtl/>
              </w:rPr>
              <w:t xml:space="preserve"> </w:t>
            </w:r>
            <w:r w:rsidR="00F35734">
              <w:rPr>
                <w:rFonts w:ascii="David" w:hAnsi="David" w:cs="David" w:hint="cs"/>
                <w:sz w:val="24"/>
                <w:szCs w:val="24"/>
                <w:rtl/>
              </w:rPr>
              <w:t xml:space="preserve"> 2023</w:t>
            </w:r>
          </w:p>
        </w:tc>
      </w:tr>
    </w:tbl>
    <w:p w:rsidR="00C13833" w:rsidRDefault="00C13833" w:rsidP="00C13833">
      <w:pPr>
        <w:rPr>
          <w:rFonts w:ascii="David" w:hAnsi="David" w:cs="David"/>
          <w:sz w:val="24"/>
          <w:szCs w:val="24"/>
          <w:rtl/>
        </w:rPr>
      </w:pPr>
      <w:r w:rsidRPr="00C13833">
        <w:rPr>
          <w:rFonts w:ascii="David" w:hAnsi="David" w:cs="David"/>
          <w:sz w:val="24"/>
          <w:szCs w:val="24"/>
          <w:rtl/>
        </w:rPr>
        <w:t xml:space="preserve">הודעה </w:t>
      </w:r>
      <w:r w:rsidRPr="00C13833">
        <w:rPr>
          <w:rFonts w:ascii="David" w:hAnsi="David" w:cs="David" w:hint="cs"/>
          <w:sz w:val="24"/>
          <w:szCs w:val="24"/>
          <w:rtl/>
        </w:rPr>
        <w:t>משותפת</w:t>
      </w:r>
      <w:r w:rsidRPr="00C13833">
        <w:rPr>
          <w:rFonts w:ascii="David" w:hAnsi="David" w:cs="David"/>
          <w:sz w:val="24"/>
          <w:szCs w:val="24"/>
          <w:rtl/>
        </w:rPr>
        <w:t xml:space="preserve"> לע</w:t>
      </w:r>
      <w:r w:rsidRPr="00C13833">
        <w:rPr>
          <w:rFonts w:ascii="David" w:hAnsi="David" w:cs="David" w:hint="cs"/>
          <w:sz w:val="24"/>
          <w:szCs w:val="24"/>
          <w:rtl/>
        </w:rPr>
        <w:t>י</w:t>
      </w:r>
      <w:r w:rsidRPr="00C13833">
        <w:rPr>
          <w:rFonts w:ascii="David" w:hAnsi="David" w:cs="David"/>
          <w:sz w:val="24"/>
          <w:szCs w:val="24"/>
          <w:rtl/>
        </w:rPr>
        <w:t>תונות</w:t>
      </w:r>
      <w:r>
        <w:rPr>
          <w:rFonts w:ascii="David" w:hAnsi="David" w:cs="David" w:hint="cs"/>
          <w:sz w:val="24"/>
          <w:szCs w:val="24"/>
          <w:rtl/>
        </w:rPr>
        <w:t>:</w:t>
      </w:r>
    </w:p>
    <w:p w:rsidR="00AE7AF3" w:rsidRPr="00C13833" w:rsidRDefault="00AE7AF3" w:rsidP="00C13833">
      <w:pPr>
        <w:rPr>
          <w:rFonts w:ascii="David" w:hAnsi="David" w:cs="David"/>
          <w:sz w:val="24"/>
          <w:szCs w:val="24"/>
          <w:rtl/>
        </w:rPr>
      </w:pPr>
    </w:p>
    <w:p w:rsidR="004F1394" w:rsidRPr="004F1394" w:rsidRDefault="004F1394" w:rsidP="004F1394">
      <w:pPr>
        <w:shd w:val="clear" w:color="auto" w:fill="FFFFFF"/>
        <w:spacing w:after="150" w:line="276" w:lineRule="auto"/>
        <w:jc w:val="center"/>
        <w:rPr>
          <w:rFonts w:ascii="David" w:eastAsia="David" w:hAnsi="David" w:cs="David" w:hint="cs"/>
          <w:bCs/>
          <w:sz w:val="28"/>
          <w:szCs w:val="28"/>
          <w:rtl/>
        </w:rPr>
      </w:pPr>
      <w:bookmarkStart w:id="2" w:name="Start"/>
      <w:bookmarkEnd w:id="2"/>
      <w:r w:rsidRPr="004F1394">
        <w:rPr>
          <w:rFonts w:ascii="David" w:eastAsia="David" w:hAnsi="David" w:cs="David"/>
          <w:bCs/>
          <w:sz w:val="28"/>
          <w:szCs w:val="28"/>
          <w:rtl/>
        </w:rPr>
        <w:t>הוועדה לבחינת התחרות בשוק האשראי פרסמה דו"ח מסכם הסוקר את ההתפתחויות באשראי למשקי בית ועסקים קטנים</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הוועדה לבחינת התחרות בשוק האשראי פרסמה היום (ד') את הדו"ח המסכם של הוועדה, והגישה אותו לממשלה, לוועדת הכספים ולוועדת הכלכלה. הדו"ח המסכם סוקר את התקדמות הצעדים להגברת התחרות בשוק האשראי והבנקאות, ואת ההתפתחויות באשראי למשקי בית ועסקים קטנים בין שנת 2016 עד למחצית 2022.</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 xml:space="preserve">הממשלה </w:t>
      </w:r>
      <w:proofErr w:type="spellStart"/>
      <w:r>
        <w:rPr>
          <w:rFonts w:ascii="David" w:eastAsia="David" w:hAnsi="David" w:cs="David"/>
          <w:sz w:val="24"/>
          <w:szCs w:val="24"/>
          <w:rtl/>
        </w:rPr>
        <w:t>והמאסדרים</w:t>
      </w:r>
      <w:proofErr w:type="spellEnd"/>
      <w:r>
        <w:rPr>
          <w:rFonts w:ascii="David" w:eastAsia="David" w:hAnsi="David" w:cs="David"/>
          <w:sz w:val="24"/>
          <w:szCs w:val="24"/>
          <w:rtl/>
        </w:rPr>
        <w:t xml:space="preserve"> השונים פעלו בשנים האחרונות כדי להסיר חסמים לתחרות, תוך תפיסה שלפיה התחרות בשוק הפיננסי נשענת על שלוש רגליים: כניסת שחקנים חדשים; מעבר קל בין ספקים; וכן הגברת יכולת ההשוואה של לקוחות.</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 xml:space="preserve">הרוב המוחלט של הצעדים שקבעה הוועדה להסרת חסמים הושלם תוך השקעת מאמצעים רבים לקידום התחרות מצד הממשלה </w:t>
      </w:r>
      <w:proofErr w:type="spellStart"/>
      <w:r>
        <w:rPr>
          <w:rFonts w:ascii="David" w:eastAsia="David" w:hAnsi="David" w:cs="David"/>
          <w:sz w:val="24"/>
          <w:szCs w:val="24"/>
          <w:rtl/>
        </w:rPr>
        <w:t>והמאסדרים</w:t>
      </w:r>
      <w:proofErr w:type="spellEnd"/>
      <w:r>
        <w:rPr>
          <w:rFonts w:ascii="David" w:eastAsia="David" w:hAnsi="David" w:cs="David"/>
          <w:sz w:val="24"/>
          <w:szCs w:val="24"/>
          <w:rtl/>
        </w:rPr>
        <w:t>. זאת למעט השלמת האסדרה של שירותי התשלום, צעד חשוב לקידום התחרות שמצוי בתהליך מתקדם וצפוי להיות מקודם במסגרת חוק התכנית הכלכלית הקרוב. כמו כן, ישנם צעדים שאמנם הושלמו אך יישומם מתמשך לאורך זמן ולכן נצפה לראות את השפעתם להגברת התחרות גם בשנים הקרובות.</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במסגרת הבחינה התחרותית עלה שבין 2016 ליוני 2022 התחרות בשוק האשראי הקמעונאי התגברה בעוצמה מתונה, ובעיקר באשראי הצרכני, בו המוסדיים וחברות כרטיסי האשראי הגדילו בתקופה זו את האשראי באופן משמעותי. עם זאת, באשראי לעסקים קטנים וזעירים לא נרשם שינוי משמעותי במאזן הכוחות בין האשראי הבנקאי לאשראי החוץ בנקאי והבנקים מהווים את המקור האשראי הכמעט בלעדי לעסקים קטנים וזעירים.</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 xml:space="preserve">הוועדה לבחינת התחרות באשראי הוקמה בחוק להגברת התחרות בשוק הבנקאות בראשות משותפת של מנכ"ל משרד האוצר ומנהל חטיבת המחקר בבנק ישראל, ובהשתתפות הממונה על התקציבים, הממונה על שוק ההון, הממונה על תחרות, המפקח על הבנקים והממונה על מערכות התשלומים בבנק ישראל. במסגרת תפקידיה, הוטל על הוועדה לעקוב אחר יישום החוק להגברת </w:t>
      </w:r>
      <w:r>
        <w:rPr>
          <w:rFonts w:ascii="David" w:eastAsia="David" w:hAnsi="David" w:cs="David"/>
          <w:sz w:val="24"/>
          <w:szCs w:val="24"/>
          <w:rtl/>
        </w:rPr>
        <w:lastRenderedPageBreak/>
        <w:t>התחרות, להמליץ על צעדים לשיפור ולהגברת התחרות בשוק האשראי ולערוך בדיקות תקופתיות של מצב התחרות בשוק האשראי ולאתר חסמים בהתפתחות התחרות השוק.</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hd w:val="clear" w:color="auto" w:fill="FFFFFF"/>
        <w:spacing w:after="0" w:line="360" w:lineRule="auto"/>
        <w:jc w:val="both"/>
        <w:rPr>
          <w:rFonts w:ascii="David" w:eastAsia="David" w:hAnsi="David" w:cs="David"/>
          <w:sz w:val="24"/>
          <w:szCs w:val="24"/>
        </w:rPr>
      </w:pPr>
      <w:r>
        <w:rPr>
          <w:rFonts w:ascii="David" w:eastAsia="David" w:hAnsi="David" w:cs="David"/>
          <w:sz w:val="24"/>
          <w:szCs w:val="24"/>
          <w:rtl/>
        </w:rPr>
        <w:t xml:space="preserve">בנוסף לעדכון על יישום הרפורמות וניתוח רמת התחרות בתחום, הוועדה בחנה את סוגיית הפרדת </w:t>
      </w:r>
      <w:proofErr w:type="spellStart"/>
      <w:r>
        <w:rPr>
          <w:rFonts w:ascii="David" w:eastAsia="David" w:hAnsi="David" w:cs="David"/>
          <w:sz w:val="24"/>
          <w:szCs w:val="24"/>
          <w:rtl/>
        </w:rPr>
        <w:t>כ.א.ל</w:t>
      </w:r>
      <w:proofErr w:type="spellEnd"/>
      <w:r>
        <w:rPr>
          <w:rFonts w:ascii="David" w:eastAsia="David" w:hAnsi="David" w:cs="David"/>
          <w:sz w:val="24"/>
          <w:szCs w:val="24"/>
          <w:rtl/>
        </w:rPr>
        <w:t xml:space="preserve"> מדיסקונט. ביום 20 בדצמבר הפיצה הועדה המלצה מנומקת לשר האוצר לעניין הפעלת סמכותו לפי סעיף 11ב(ד) לחוק.</w:t>
      </w:r>
    </w:p>
    <w:p w:rsidR="004F1394" w:rsidRDefault="004F1394" w:rsidP="004F1394">
      <w:pPr>
        <w:shd w:val="clear" w:color="auto" w:fill="FFFFFF"/>
        <w:spacing w:after="0" w:line="360" w:lineRule="auto"/>
        <w:jc w:val="both"/>
        <w:rPr>
          <w:rFonts w:ascii="David" w:eastAsia="David" w:hAnsi="David" w:cs="David"/>
          <w:sz w:val="24"/>
          <w:szCs w:val="24"/>
        </w:rPr>
      </w:pPr>
    </w:p>
    <w:p w:rsidR="004F1394" w:rsidRDefault="004F1394" w:rsidP="004F1394">
      <w:pPr>
        <w:spacing w:line="360" w:lineRule="auto"/>
        <w:jc w:val="both"/>
        <w:rPr>
          <w:rFonts w:ascii="David" w:eastAsia="David" w:hAnsi="David" w:cs="David"/>
          <w:b/>
          <w:sz w:val="24"/>
          <w:szCs w:val="24"/>
        </w:rPr>
      </w:pPr>
      <w:r w:rsidRPr="00EC0D26">
        <w:rPr>
          <w:rFonts w:ascii="David" w:eastAsia="David" w:hAnsi="David" w:cs="David"/>
          <w:bCs/>
          <w:sz w:val="24"/>
          <w:szCs w:val="24"/>
          <w:rtl/>
        </w:rPr>
        <w:t xml:space="preserve">רם בלינקוב, </w:t>
      </w:r>
      <w:r w:rsidRPr="00EC0D26">
        <w:rPr>
          <w:rFonts w:ascii="David" w:eastAsia="David" w:hAnsi="David" w:cs="David" w:hint="cs"/>
          <w:bCs/>
          <w:sz w:val="24"/>
          <w:szCs w:val="24"/>
          <w:rtl/>
        </w:rPr>
        <w:t>מנכ"ל משרד האוצר היוצא ויו"ר משותף של הוועדה</w:t>
      </w:r>
      <w:r>
        <w:rPr>
          <w:rFonts w:ascii="David" w:eastAsia="David" w:hAnsi="David" w:cs="David"/>
          <w:b/>
          <w:sz w:val="24"/>
          <w:szCs w:val="24"/>
          <w:rtl/>
        </w:rPr>
        <w:t xml:space="preserve">: </w:t>
      </w:r>
      <w:r>
        <w:rPr>
          <w:rFonts w:ascii="David" w:eastAsia="David" w:hAnsi="David" w:cs="David"/>
          <w:sz w:val="24"/>
          <w:szCs w:val="24"/>
          <w:rtl/>
        </w:rPr>
        <w:t>"הדוח הנוכחי והאחרון שחותם את עבודת הוועדה מראה פעם נוספת שהדרך להשיג שוק פיננסי יעיל ותחרותי עוברת בהגדלת מספר השחקנים, הסרת חסמים בירוקרטיים ושיפור יכולות העברת המידע בין השחקנים הפיננסיים השונים והגדלת האינפורמציה שבידי הלקוחות. כולי תקווה כי ייעשו צעדים נוספים שימשיכו את התעוררות מגמת התחרות בשוק האשראי הקמעונאי, וכן ייעשו הצעדים המשלימים לצורך הגדלת היצע האשראי אף לעסקים קטנים וזעירים"</w:t>
      </w:r>
    </w:p>
    <w:p w:rsidR="004F1394" w:rsidRDefault="004F1394" w:rsidP="004F1394">
      <w:pPr>
        <w:spacing w:line="360" w:lineRule="auto"/>
        <w:jc w:val="both"/>
        <w:rPr>
          <w:rFonts w:ascii="David" w:eastAsia="David" w:hAnsi="David" w:cs="David"/>
          <w:b/>
          <w:sz w:val="24"/>
          <w:szCs w:val="24"/>
        </w:rPr>
      </w:pPr>
    </w:p>
    <w:p w:rsidR="004F1394" w:rsidRDefault="004F1394" w:rsidP="004F1394">
      <w:pPr>
        <w:spacing w:line="360" w:lineRule="auto"/>
        <w:jc w:val="both"/>
        <w:rPr>
          <w:b/>
        </w:rPr>
      </w:pPr>
      <w:bookmarkStart w:id="3" w:name="_1fob9te" w:colFirst="0" w:colLast="0"/>
      <w:bookmarkEnd w:id="3"/>
      <w:r w:rsidRPr="00EC0D26">
        <w:rPr>
          <w:rFonts w:ascii="David" w:eastAsia="David" w:hAnsi="David" w:cs="David"/>
          <w:bCs/>
          <w:sz w:val="24"/>
          <w:szCs w:val="24"/>
          <w:rtl/>
        </w:rPr>
        <w:t xml:space="preserve">פרופ' מישל סטרבצ'ינסקי, </w:t>
      </w:r>
      <w:r w:rsidRPr="00EC0D26">
        <w:rPr>
          <w:rFonts w:ascii="David" w:eastAsia="David" w:hAnsi="David" w:cs="David" w:hint="cs"/>
          <w:bCs/>
          <w:sz w:val="24"/>
          <w:szCs w:val="24"/>
          <w:rtl/>
        </w:rPr>
        <w:t>מנהל חטיבת המחקר</w:t>
      </w:r>
      <w:r w:rsidRPr="00BE5445">
        <w:rPr>
          <w:rFonts w:ascii="David" w:eastAsia="David" w:hAnsi="David" w:cs="David" w:hint="cs"/>
          <w:bCs/>
          <w:sz w:val="24"/>
          <w:szCs w:val="24"/>
          <w:rtl/>
        </w:rPr>
        <w:t xml:space="preserve"> </w:t>
      </w:r>
      <w:r w:rsidRPr="00EC0D26">
        <w:rPr>
          <w:rFonts w:ascii="David" w:eastAsia="David" w:hAnsi="David" w:cs="David" w:hint="cs"/>
          <w:bCs/>
          <w:sz w:val="24"/>
          <w:szCs w:val="24"/>
          <w:rtl/>
        </w:rPr>
        <w:t>בדימוס של בנק ישראל ויו"ר משותף של הוועדה</w:t>
      </w:r>
      <w:r>
        <w:rPr>
          <w:rFonts w:ascii="David" w:eastAsia="David" w:hAnsi="David" w:cs="David"/>
          <w:sz w:val="24"/>
          <w:szCs w:val="24"/>
        </w:rPr>
        <w:t>:</w:t>
      </w:r>
      <w:r>
        <w:rPr>
          <w:rtl/>
        </w:rPr>
        <w:t xml:space="preserve"> </w:t>
      </w:r>
      <w:r w:rsidRPr="00627B7F">
        <w:rPr>
          <w:rFonts w:ascii="David" w:eastAsia="David" w:hAnsi="David" w:cs="David"/>
          <w:sz w:val="24"/>
          <w:szCs w:val="24"/>
          <w:rtl/>
        </w:rPr>
        <w:t>"הדוח מוכיח כי נעשו צעדים רבים על ידי הרגולטורים במטרה לקדם את התחרות הן בתחום הצרכנות והן במתן האשראי לעסקים הקטנים; לאור ההתקדמות ההדרגתית שחלה עד כה ניכר כי ההתמדה במאמצים צפויה להניב בהמשך תוצאות חיוביות בתחום התחרות"</w:t>
      </w:r>
    </w:p>
    <w:p w:rsidR="0096431D" w:rsidRPr="004F1394" w:rsidRDefault="0096431D" w:rsidP="004F1394">
      <w:pPr>
        <w:shd w:val="clear" w:color="auto" w:fill="FFFFFF"/>
        <w:spacing w:after="150" w:line="276" w:lineRule="auto"/>
        <w:jc w:val="center"/>
        <w:rPr>
          <w:rFonts w:cs="David"/>
          <w:b/>
          <w:bCs/>
          <w:szCs w:val="24"/>
          <w:rtl/>
        </w:rPr>
      </w:pPr>
    </w:p>
    <w:sectPr w:rsidR="0096431D" w:rsidRPr="004F1394" w:rsidSect="00D7216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16" w:rsidRDefault="00C45F16" w:rsidP="004E462B">
      <w:pPr>
        <w:spacing w:after="0" w:line="240" w:lineRule="auto"/>
      </w:pPr>
      <w:r>
        <w:separator/>
      </w:r>
    </w:p>
  </w:endnote>
  <w:endnote w:type="continuationSeparator" w:id="0">
    <w:p w:rsidR="00C45F16" w:rsidRDefault="00C45F16" w:rsidP="004E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panose1 w:val="00000500000000000000"/>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16" w:rsidRDefault="00C45F16" w:rsidP="004E462B">
      <w:pPr>
        <w:spacing w:after="0" w:line="240" w:lineRule="auto"/>
      </w:pPr>
      <w:r>
        <w:separator/>
      </w:r>
    </w:p>
  </w:footnote>
  <w:footnote w:type="continuationSeparator" w:id="0">
    <w:p w:rsidR="00C45F16" w:rsidRDefault="00C45F16" w:rsidP="004E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2B" w:rsidRDefault="004E46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B6655"/>
    <w:multiLevelType w:val="hybridMultilevel"/>
    <w:tmpl w:val="D8D87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722DD1"/>
    <w:multiLevelType w:val="hybridMultilevel"/>
    <w:tmpl w:val="15FA7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9481100"/>
    <w:multiLevelType w:val="multilevel"/>
    <w:tmpl w:val="A94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5D27D7"/>
    <w:multiLevelType w:val="multilevel"/>
    <w:tmpl w:val="74903372"/>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9F"/>
    <w:rsid w:val="00001D54"/>
    <w:rsid w:val="00011B50"/>
    <w:rsid w:val="00031B3B"/>
    <w:rsid w:val="0003357B"/>
    <w:rsid w:val="00034FEC"/>
    <w:rsid w:val="00062324"/>
    <w:rsid w:val="000640A6"/>
    <w:rsid w:val="000916AC"/>
    <w:rsid w:val="000D475D"/>
    <w:rsid w:val="000E4D31"/>
    <w:rsid w:val="00101B37"/>
    <w:rsid w:val="001F11F6"/>
    <w:rsid w:val="00206C37"/>
    <w:rsid w:val="00214631"/>
    <w:rsid w:val="00276BC1"/>
    <w:rsid w:val="00283E75"/>
    <w:rsid w:val="00286E18"/>
    <w:rsid w:val="003009B9"/>
    <w:rsid w:val="00320E67"/>
    <w:rsid w:val="0037164C"/>
    <w:rsid w:val="00380C15"/>
    <w:rsid w:val="00397D52"/>
    <w:rsid w:val="004015B4"/>
    <w:rsid w:val="00430879"/>
    <w:rsid w:val="00452E5E"/>
    <w:rsid w:val="004E3FEB"/>
    <w:rsid w:val="004E462B"/>
    <w:rsid w:val="004F1394"/>
    <w:rsid w:val="00500471"/>
    <w:rsid w:val="00523C1E"/>
    <w:rsid w:val="00530446"/>
    <w:rsid w:val="00537CC7"/>
    <w:rsid w:val="00540A34"/>
    <w:rsid w:val="00543B64"/>
    <w:rsid w:val="005521A6"/>
    <w:rsid w:val="00571A9F"/>
    <w:rsid w:val="005F7C39"/>
    <w:rsid w:val="00626BAD"/>
    <w:rsid w:val="00634285"/>
    <w:rsid w:val="006719FB"/>
    <w:rsid w:val="00690769"/>
    <w:rsid w:val="007006FA"/>
    <w:rsid w:val="00703F74"/>
    <w:rsid w:val="007411A7"/>
    <w:rsid w:val="0074796F"/>
    <w:rsid w:val="007B42B9"/>
    <w:rsid w:val="007B7780"/>
    <w:rsid w:val="007D4CCD"/>
    <w:rsid w:val="007E5660"/>
    <w:rsid w:val="007F431A"/>
    <w:rsid w:val="00802D7C"/>
    <w:rsid w:val="0085104D"/>
    <w:rsid w:val="008A586F"/>
    <w:rsid w:val="008A7CA7"/>
    <w:rsid w:val="008B42C8"/>
    <w:rsid w:val="008C0B7D"/>
    <w:rsid w:val="008D48F4"/>
    <w:rsid w:val="0090221F"/>
    <w:rsid w:val="00904B31"/>
    <w:rsid w:val="00913D5D"/>
    <w:rsid w:val="00921E26"/>
    <w:rsid w:val="009629DD"/>
    <w:rsid w:val="0096431D"/>
    <w:rsid w:val="00965848"/>
    <w:rsid w:val="00996445"/>
    <w:rsid w:val="009E4868"/>
    <w:rsid w:val="009E76E5"/>
    <w:rsid w:val="00A15284"/>
    <w:rsid w:val="00A550C5"/>
    <w:rsid w:val="00A66E5F"/>
    <w:rsid w:val="00AA00FC"/>
    <w:rsid w:val="00AC4A62"/>
    <w:rsid w:val="00AE7AF3"/>
    <w:rsid w:val="00AF268F"/>
    <w:rsid w:val="00B339DC"/>
    <w:rsid w:val="00B438C0"/>
    <w:rsid w:val="00BA1C47"/>
    <w:rsid w:val="00BC2806"/>
    <w:rsid w:val="00BF7966"/>
    <w:rsid w:val="00C10815"/>
    <w:rsid w:val="00C13833"/>
    <w:rsid w:val="00C45F16"/>
    <w:rsid w:val="00C4694D"/>
    <w:rsid w:val="00C95AC7"/>
    <w:rsid w:val="00C9639E"/>
    <w:rsid w:val="00CB378F"/>
    <w:rsid w:val="00CB3846"/>
    <w:rsid w:val="00CB5793"/>
    <w:rsid w:val="00D00A78"/>
    <w:rsid w:val="00D16ED4"/>
    <w:rsid w:val="00D40F03"/>
    <w:rsid w:val="00D602A6"/>
    <w:rsid w:val="00D64483"/>
    <w:rsid w:val="00D72167"/>
    <w:rsid w:val="00D94F1B"/>
    <w:rsid w:val="00E01879"/>
    <w:rsid w:val="00E233F4"/>
    <w:rsid w:val="00E763E6"/>
    <w:rsid w:val="00E83359"/>
    <w:rsid w:val="00E96E27"/>
    <w:rsid w:val="00EE418A"/>
    <w:rsid w:val="00F02FAF"/>
    <w:rsid w:val="00F1454B"/>
    <w:rsid w:val="00F35734"/>
    <w:rsid w:val="00F622CB"/>
    <w:rsid w:val="00F70901"/>
    <w:rsid w:val="00F8123D"/>
    <w:rsid w:val="00FA3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5E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45"/>
    <w:pPr>
      <w:bidi/>
    </w:pPr>
    <w:rPr>
      <w:rFonts w:cs="Varela Round"/>
      <w:szCs w:val="20"/>
    </w:rPr>
  </w:style>
  <w:style w:type="paragraph" w:styleId="1">
    <w:name w:val="heading 1"/>
    <w:basedOn w:val="a"/>
    <w:next w:val="a"/>
    <w:link w:val="10"/>
    <w:autoRedefine/>
    <w:uiPriority w:val="9"/>
    <w:qFormat/>
    <w:rsid w:val="00996445"/>
    <w:pPr>
      <w:keepNext/>
      <w:keepLines/>
      <w:spacing w:before="240" w:after="0"/>
      <w:outlineLvl w:val="0"/>
    </w:pPr>
    <w:rPr>
      <w:rFonts w:asciiTheme="majorHAnsi" w:eastAsiaTheme="majorEastAsia" w:hAnsiTheme="majorHAnsi"/>
      <w:bCs/>
      <w:color w:val="2E74B5" w:themeColor="accent1" w:themeShade="BF"/>
      <w:sz w:val="32"/>
      <w:szCs w:val="24"/>
      <w:u w:val="single"/>
    </w:rPr>
  </w:style>
  <w:style w:type="paragraph" w:styleId="2">
    <w:name w:val="heading 2"/>
    <w:basedOn w:val="a"/>
    <w:next w:val="a"/>
    <w:link w:val="20"/>
    <w:autoRedefine/>
    <w:uiPriority w:val="9"/>
    <w:unhideWhenUsed/>
    <w:qFormat/>
    <w:rsid w:val="00996445"/>
    <w:pPr>
      <w:keepNext/>
      <w:keepLines/>
      <w:spacing w:before="40" w:after="0"/>
      <w:outlineLvl w:val="1"/>
    </w:pPr>
    <w:rPr>
      <w:rFonts w:asciiTheme="majorHAnsi" w:eastAsiaTheme="majorEastAsia" w:hAnsiTheme="majorHAnsi"/>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96445"/>
    <w:rPr>
      <w:rFonts w:asciiTheme="majorHAnsi" w:eastAsiaTheme="majorEastAsia" w:hAnsiTheme="majorHAnsi" w:cs="Varela Round"/>
      <w:bCs/>
      <w:color w:val="2E74B5" w:themeColor="accent1" w:themeShade="BF"/>
      <w:sz w:val="32"/>
      <w:szCs w:val="24"/>
      <w:u w:val="single"/>
    </w:rPr>
  </w:style>
  <w:style w:type="character" w:customStyle="1" w:styleId="20">
    <w:name w:val="כותרת 2 תו"/>
    <w:basedOn w:val="a0"/>
    <w:link w:val="2"/>
    <w:uiPriority w:val="9"/>
    <w:rsid w:val="00996445"/>
    <w:rPr>
      <w:rFonts w:asciiTheme="majorHAnsi" w:eastAsiaTheme="majorEastAsia" w:hAnsiTheme="majorHAnsi" w:cs="Varela Round"/>
      <w:sz w:val="26"/>
      <w:szCs w:val="20"/>
      <w:u w:val="single"/>
    </w:rPr>
  </w:style>
  <w:style w:type="paragraph" w:styleId="a3">
    <w:name w:val="Balloon Text"/>
    <w:basedOn w:val="a"/>
    <w:link w:val="a4"/>
    <w:uiPriority w:val="99"/>
    <w:semiHidden/>
    <w:unhideWhenUsed/>
    <w:rsid w:val="000E4D31"/>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0E4D31"/>
    <w:rPr>
      <w:rFonts w:ascii="Tahoma" w:hAnsi="Tahoma" w:cs="Tahoma"/>
      <w:sz w:val="18"/>
      <w:szCs w:val="18"/>
    </w:rPr>
  </w:style>
  <w:style w:type="paragraph" w:styleId="a5">
    <w:name w:val="Revision"/>
    <w:hidden/>
    <w:uiPriority w:val="99"/>
    <w:semiHidden/>
    <w:rsid w:val="00F1454B"/>
    <w:pPr>
      <w:spacing w:after="0" w:line="240" w:lineRule="auto"/>
    </w:pPr>
    <w:rPr>
      <w:rFonts w:cs="Varela Round"/>
      <w:szCs w:val="20"/>
    </w:rPr>
  </w:style>
  <w:style w:type="paragraph" w:styleId="a6">
    <w:name w:val="header"/>
    <w:basedOn w:val="a"/>
    <w:link w:val="a7"/>
    <w:uiPriority w:val="99"/>
    <w:unhideWhenUsed/>
    <w:rsid w:val="004E462B"/>
    <w:pPr>
      <w:tabs>
        <w:tab w:val="center" w:pos="4153"/>
        <w:tab w:val="right" w:pos="8306"/>
      </w:tabs>
      <w:spacing w:after="0" w:line="240" w:lineRule="auto"/>
    </w:pPr>
  </w:style>
  <w:style w:type="character" w:customStyle="1" w:styleId="a7">
    <w:name w:val="כותרת עליונה תו"/>
    <w:basedOn w:val="a0"/>
    <w:link w:val="a6"/>
    <w:uiPriority w:val="99"/>
    <w:rsid w:val="004E462B"/>
    <w:rPr>
      <w:rFonts w:cs="Varela Round"/>
      <w:szCs w:val="20"/>
    </w:rPr>
  </w:style>
  <w:style w:type="paragraph" w:styleId="a8">
    <w:name w:val="footer"/>
    <w:basedOn w:val="a"/>
    <w:link w:val="a9"/>
    <w:uiPriority w:val="99"/>
    <w:unhideWhenUsed/>
    <w:rsid w:val="004E462B"/>
    <w:pPr>
      <w:tabs>
        <w:tab w:val="center" w:pos="4153"/>
        <w:tab w:val="right" w:pos="8306"/>
      </w:tabs>
      <w:spacing w:after="0" w:line="240" w:lineRule="auto"/>
    </w:pPr>
  </w:style>
  <w:style w:type="character" w:customStyle="1" w:styleId="a9">
    <w:name w:val="כותרת תחתונה תו"/>
    <w:basedOn w:val="a0"/>
    <w:link w:val="a8"/>
    <w:uiPriority w:val="99"/>
    <w:rsid w:val="004E462B"/>
    <w:rPr>
      <w:rFonts w:cs="Varela Round"/>
      <w:szCs w:val="20"/>
    </w:rPr>
  </w:style>
  <w:style w:type="paragraph" w:styleId="aa">
    <w:name w:val="footnote text"/>
    <w:aliases w:val="fn,fn Char,single space,Footnote Text Char Char Char Char Char Char,Footnote Text Char1,Footnote Text Char Char,Footnote,Fußnote,FSR footnote,lábléc,FOOTNOTES,Footnote Text Char2 Char,Footnote Text Char1 Char Char,תו תו תו, תו תו,תו, תו"/>
    <w:basedOn w:val="a"/>
    <w:link w:val="ab"/>
    <w:uiPriority w:val="99"/>
    <w:unhideWhenUsed/>
    <w:rsid w:val="00C13833"/>
    <w:pPr>
      <w:spacing w:after="0" w:line="240" w:lineRule="auto"/>
      <w:jc w:val="both"/>
    </w:pPr>
    <w:rPr>
      <w:rFonts w:ascii="Times New Roman" w:eastAsia="Times New Roman" w:hAnsi="Times New Roman" w:cs="FrankRuehl"/>
      <w:sz w:val="20"/>
      <w:lang w:eastAsia="he-IL"/>
    </w:rPr>
  </w:style>
  <w:style w:type="character" w:customStyle="1" w:styleId="ab">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a"/>
    <w:uiPriority w:val="99"/>
    <w:rsid w:val="00C13833"/>
    <w:rPr>
      <w:rFonts w:ascii="Times New Roman" w:eastAsia="Times New Roman" w:hAnsi="Times New Roman" w:cs="FrankRuehl"/>
      <w:sz w:val="20"/>
      <w:szCs w:val="20"/>
      <w:lang w:eastAsia="he-IL"/>
    </w:rPr>
  </w:style>
  <w:style w:type="character" w:styleId="ac">
    <w:name w:val="footnote reference"/>
    <w:basedOn w:val="a0"/>
    <w:uiPriority w:val="99"/>
    <w:semiHidden/>
    <w:unhideWhenUsed/>
    <w:rsid w:val="00C13833"/>
    <w:rPr>
      <w:vertAlign w:val="superscript"/>
    </w:rPr>
  </w:style>
  <w:style w:type="paragraph" w:styleId="ad">
    <w:name w:val="List Paragraph"/>
    <w:aliases w:val="style 2"/>
    <w:basedOn w:val="a"/>
    <w:link w:val="ae"/>
    <w:uiPriority w:val="34"/>
    <w:qFormat/>
    <w:rsid w:val="009E76E5"/>
    <w:pPr>
      <w:spacing w:after="200" w:line="276" w:lineRule="auto"/>
      <w:ind w:left="720"/>
      <w:contextualSpacing/>
    </w:pPr>
    <w:rPr>
      <w:rFonts w:cstheme="minorBidi"/>
      <w:szCs w:val="22"/>
    </w:rPr>
  </w:style>
  <w:style w:type="character" w:customStyle="1" w:styleId="ae">
    <w:name w:val="פיסקת רשימה תו"/>
    <w:aliases w:val="style 2 תו"/>
    <w:link w:val="ad"/>
    <w:uiPriority w:val="34"/>
    <w:qFormat/>
    <w:locked/>
    <w:rsid w:val="009E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30634">
      <w:bodyDiv w:val="1"/>
      <w:marLeft w:val="0"/>
      <w:marRight w:val="0"/>
      <w:marTop w:val="0"/>
      <w:marBottom w:val="0"/>
      <w:divBdr>
        <w:top w:val="none" w:sz="0" w:space="0" w:color="auto"/>
        <w:left w:val="none" w:sz="0" w:space="0" w:color="auto"/>
        <w:bottom w:val="none" w:sz="0" w:space="0" w:color="auto"/>
        <w:right w:val="none" w:sz="0" w:space="0" w:color="auto"/>
      </w:divBdr>
    </w:div>
    <w:div w:id="1518495831">
      <w:bodyDiv w:val="1"/>
      <w:marLeft w:val="0"/>
      <w:marRight w:val="0"/>
      <w:marTop w:val="0"/>
      <w:marBottom w:val="0"/>
      <w:divBdr>
        <w:top w:val="none" w:sz="0" w:space="0" w:color="auto"/>
        <w:left w:val="none" w:sz="0" w:space="0" w:color="auto"/>
        <w:bottom w:val="none" w:sz="0" w:space="0" w:color="auto"/>
        <w:right w:val="none" w:sz="0" w:space="0" w:color="auto"/>
      </w:divBdr>
    </w:div>
    <w:div w:id="20901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2389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2023-02-02T12:01:00Z</dcterms:created>
  <dcterms:modified xsi:type="dcterms:W3CDTF">2023-02-02T12:08:00Z</dcterms:modified>
</cp:coreProperties>
</file>