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8D" w:rsidRDefault="00ED212E" w:rsidP="00284FC0">
      <w:pPr>
        <w:spacing w:after="0" w:line="360" w:lineRule="auto"/>
        <w:ind w:right="-101"/>
        <w:jc w:val="right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‏</w:t>
      </w: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74418D" w:rsidRPr="0074418D" w:rsidTr="00585CE2">
        <w:trPr>
          <w:jc w:val="center"/>
        </w:trPr>
        <w:tc>
          <w:tcPr>
            <w:tcW w:w="2840" w:type="dxa"/>
            <w:vAlign w:val="center"/>
          </w:tcPr>
          <w:p w:rsidR="0074418D" w:rsidRPr="0074418D" w:rsidRDefault="0074418D" w:rsidP="0074418D">
            <w:pPr>
              <w:spacing w:before="240" w:after="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/>
              </w:rPr>
            </w:pPr>
            <w:r w:rsidRPr="0074418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74418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74418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74418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:rsidR="0074418D" w:rsidRPr="0074418D" w:rsidRDefault="0074418D" w:rsidP="0074418D">
            <w:pPr>
              <w:spacing w:before="240" w:after="0" w:line="360" w:lineRule="auto"/>
              <w:ind w:right="-101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74418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דו</w:t>
            </w:r>
            <w:r w:rsidRPr="0074418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בר</w:t>
            </w:r>
            <w:r w:rsidRPr="0074418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ות</w:t>
            </w:r>
            <w:r w:rsidRPr="0074418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</w:tcPr>
          <w:p w:rsidR="0074418D" w:rsidRPr="0074418D" w:rsidRDefault="0074418D" w:rsidP="0074418D">
            <w:pPr>
              <w:tabs>
                <w:tab w:val="right" w:pos="2380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74418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1A7E1432" wp14:editId="71D97CAE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418D"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74418D" w:rsidRPr="0074418D" w:rsidRDefault="0074418D" w:rsidP="0074418D">
            <w:pPr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  <w:r w:rsidRPr="0074418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74418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ירושלים, כ"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ז </w:t>
            </w:r>
            <w:r w:rsidRPr="0074418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באדר </w:t>
            </w:r>
            <w:proofErr w:type="spellStart"/>
            <w:r w:rsidRPr="0074418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תש"</w:t>
            </w:r>
            <w:r w:rsidRPr="0074418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ף</w:t>
            </w:r>
            <w:proofErr w:type="spellEnd"/>
          </w:p>
          <w:p w:rsidR="0074418D" w:rsidRPr="0074418D" w:rsidRDefault="0074418D" w:rsidP="0074418D">
            <w:pPr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23</w:t>
            </w:r>
            <w:r w:rsidRPr="0074418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במרץ 2020</w:t>
            </w:r>
          </w:p>
        </w:tc>
      </w:tr>
      <w:tr w:rsidR="0074418D" w:rsidRPr="0074418D" w:rsidTr="00585CE2">
        <w:trPr>
          <w:jc w:val="center"/>
        </w:trPr>
        <w:tc>
          <w:tcPr>
            <w:tcW w:w="2840" w:type="dxa"/>
            <w:vAlign w:val="center"/>
          </w:tcPr>
          <w:p w:rsidR="0074418D" w:rsidRPr="0074418D" w:rsidRDefault="0074418D" w:rsidP="0074418D">
            <w:pPr>
              <w:spacing w:before="240" w:after="0" w:line="36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96" w:type="dxa"/>
          </w:tcPr>
          <w:p w:rsidR="0074418D" w:rsidRPr="0074418D" w:rsidRDefault="0074418D" w:rsidP="0074418D">
            <w:pPr>
              <w:spacing w:before="240" w:after="0" w:line="240" w:lineRule="auto"/>
              <w:jc w:val="both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</w:pPr>
          </w:p>
        </w:tc>
        <w:tc>
          <w:tcPr>
            <w:tcW w:w="3084" w:type="dxa"/>
            <w:vAlign w:val="center"/>
          </w:tcPr>
          <w:p w:rsidR="0074418D" w:rsidRPr="0074418D" w:rsidRDefault="0074418D" w:rsidP="0074418D">
            <w:pPr>
              <w:spacing w:before="240" w:after="0" w:line="48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</w:p>
        </w:tc>
      </w:tr>
    </w:tbl>
    <w:p w:rsidR="0074418D" w:rsidRDefault="00ED212E" w:rsidP="0074418D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74418D" w:rsidRDefault="0074418D" w:rsidP="0074418D">
      <w:pPr>
        <w:spacing w:line="360" w:lineRule="auto"/>
        <w:ind w:right="-101"/>
        <w:rPr>
          <w:rFonts w:cs="David"/>
          <w:sz w:val="24"/>
          <w:szCs w:val="24"/>
          <w:rtl/>
        </w:rPr>
      </w:pPr>
    </w:p>
    <w:p w:rsidR="00513E0C" w:rsidRDefault="007F1550" w:rsidP="000E664E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על רקע משבר הקורונה תוש</w:t>
      </w:r>
      <w:r w:rsidR="000E664E">
        <w:rPr>
          <w:rFonts w:ascii="David" w:hAnsi="David" w:cs="David" w:hint="cs"/>
          <w:b/>
          <w:bCs/>
          <w:sz w:val="28"/>
          <w:szCs w:val="28"/>
          <w:rtl/>
        </w:rPr>
        <w:t>ה</w:t>
      </w:r>
      <w:r>
        <w:rPr>
          <w:rFonts w:ascii="David" w:hAnsi="David" w:cs="David" w:hint="cs"/>
          <w:b/>
          <w:bCs/>
          <w:sz w:val="28"/>
          <w:szCs w:val="28"/>
          <w:rtl/>
        </w:rPr>
        <w:t>ה הגבלת חשבונות בנק בשל שיקים ללא כיסוי החל מה-4 במרץ</w:t>
      </w:r>
    </w:p>
    <w:p w:rsidR="009048CA" w:rsidRDefault="009048CA" w:rsidP="000E664E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</w:p>
    <w:p w:rsidR="00467ABD" w:rsidRDefault="00F67346" w:rsidP="00017DB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להתפשטות נגיף הקורונה ולצעדים שנקטה הממשלה במטרה למנוע את </w:t>
      </w:r>
      <w:r w:rsidR="006171BA">
        <w:rPr>
          <w:rFonts w:cs="David" w:hint="cs"/>
          <w:sz w:val="24"/>
          <w:szCs w:val="24"/>
          <w:rtl/>
        </w:rPr>
        <w:t>החרפת המצב</w:t>
      </w:r>
      <w:r>
        <w:rPr>
          <w:rFonts w:cs="David" w:hint="cs"/>
          <w:sz w:val="24"/>
          <w:szCs w:val="24"/>
          <w:rtl/>
        </w:rPr>
        <w:t xml:space="preserve"> </w:t>
      </w:r>
      <w:r w:rsidR="00CF6CAC">
        <w:rPr>
          <w:rFonts w:cs="David" w:hint="cs"/>
          <w:sz w:val="24"/>
          <w:szCs w:val="24"/>
          <w:rtl/>
        </w:rPr>
        <w:t xml:space="preserve">יש </w:t>
      </w:r>
      <w:r>
        <w:rPr>
          <w:rFonts w:cs="David" w:hint="cs"/>
          <w:sz w:val="24"/>
          <w:szCs w:val="24"/>
          <w:rtl/>
        </w:rPr>
        <w:t xml:space="preserve">השלכות על המשק והמערכת הכלכלית, ובין השאר </w:t>
      </w:r>
      <w:r w:rsidR="00CF6CAC">
        <w:rPr>
          <w:rFonts w:cs="David" w:hint="cs"/>
          <w:sz w:val="24"/>
          <w:szCs w:val="24"/>
          <w:rtl/>
        </w:rPr>
        <w:t>נגרמים</w:t>
      </w:r>
      <w:r>
        <w:rPr>
          <w:rFonts w:cs="David" w:hint="cs"/>
          <w:sz w:val="24"/>
          <w:szCs w:val="24"/>
          <w:rtl/>
        </w:rPr>
        <w:t xml:space="preserve"> קשיים </w:t>
      </w:r>
      <w:proofErr w:type="spellStart"/>
      <w:r>
        <w:rPr>
          <w:rFonts w:cs="David" w:hint="cs"/>
          <w:sz w:val="24"/>
          <w:szCs w:val="24"/>
          <w:rtl/>
        </w:rPr>
        <w:t>תזרימיים</w:t>
      </w:r>
      <w:proofErr w:type="spellEnd"/>
      <w:r>
        <w:rPr>
          <w:rFonts w:cs="David" w:hint="cs"/>
          <w:sz w:val="24"/>
          <w:szCs w:val="24"/>
          <w:rtl/>
        </w:rPr>
        <w:t xml:space="preserve"> למשקי בית ולעסקים רבים</w:t>
      </w:r>
      <w:r w:rsidR="006171BA">
        <w:rPr>
          <w:rFonts w:cs="David" w:hint="cs"/>
          <w:sz w:val="24"/>
          <w:szCs w:val="24"/>
          <w:rtl/>
        </w:rPr>
        <w:t xml:space="preserve">. </w:t>
      </w:r>
      <w:r w:rsidR="00467ABD">
        <w:rPr>
          <w:rFonts w:cs="David" w:hint="cs"/>
          <w:sz w:val="24"/>
          <w:szCs w:val="24"/>
          <w:rtl/>
        </w:rPr>
        <w:t xml:space="preserve">כתוצאה חלה עלייה במספר השיקים שחזרו והחשבונות שהוגבלו. </w:t>
      </w:r>
      <w:r w:rsidR="00467ABD" w:rsidRPr="00803954">
        <w:rPr>
          <w:rFonts w:cs="David" w:hint="cs"/>
          <w:sz w:val="24"/>
          <w:szCs w:val="24"/>
          <w:rtl/>
        </w:rPr>
        <w:t xml:space="preserve">מעבר לאיסור על משיכת שיקים, הרי שהגבלת החשבון משבשת </w:t>
      </w:r>
      <w:r w:rsidR="00467ABD" w:rsidRPr="00803954">
        <w:rPr>
          <w:rFonts w:cs="David"/>
          <w:sz w:val="24"/>
          <w:szCs w:val="24"/>
          <w:rtl/>
        </w:rPr>
        <w:t>את מהלך עסקיו של הלקוח, פוגעת במוניטין שלו</w:t>
      </w:r>
      <w:r w:rsidR="00467ABD" w:rsidRPr="00803954">
        <w:rPr>
          <w:rFonts w:cs="David" w:hint="cs"/>
          <w:sz w:val="24"/>
          <w:szCs w:val="24"/>
          <w:rtl/>
        </w:rPr>
        <w:t xml:space="preserve"> וביכולת ההתנהלות הכלכלית שלו</w:t>
      </w:r>
      <w:r w:rsidR="00467ABD">
        <w:rPr>
          <w:rFonts w:cs="David" w:hint="cs"/>
          <w:sz w:val="24"/>
          <w:szCs w:val="24"/>
          <w:rtl/>
        </w:rPr>
        <w:t>.</w:t>
      </w:r>
    </w:p>
    <w:p w:rsidR="00A637D5" w:rsidRDefault="00F67346" w:rsidP="000E664E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על מנת </w:t>
      </w:r>
      <w:r w:rsidR="0029567E">
        <w:rPr>
          <w:rFonts w:cs="David" w:hint="cs"/>
          <w:sz w:val="24"/>
          <w:szCs w:val="24"/>
          <w:rtl/>
        </w:rPr>
        <w:t>לסייע ל</w:t>
      </w:r>
      <w:r>
        <w:rPr>
          <w:rFonts w:cs="David" w:hint="cs"/>
          <w:sz w:val="24"/>
          <w:szCs w:val="24"/>
          <w:rtl/>
        </w:rPr>
        <w:t xml:space="preserve">אותם </w:t>
      </w:r>
      <w:r w:rsidR="0029567E">
        <w:rPr>
          <w:rFonts w:cs="David" w:hint="cs"/>
          <w:sz w:val="24"/>
          <w:szCs w:val="24"/>
          <w:rtl/>
        </w:rPr>
        <w:t xml:space="preserve">עסקים ומשקי בית שנקלעו לקשיים </w:t>
      </w:r>
      <w:proofErr w:type="spellStart"/>
      <w:r w:rsidR="0029567E">
        <w:rPr>
          <w:rFonts w:cs="David" w:hint="cs"/>
          <w:sz w:val="24"/>
          <w:szCs w:val="24"/>
          <w:rtl/>
        </w:rPr>
        <w:t>תזרימיים</w:t>
      </w:r>
      <w:proofErr w:type="spellEnd"/>
      <w:r w:rsidR="0029567E">
        <w:rPr>
          <w:rFonts w:cs="David" w:hint="cs"/>
          <w:sz w:val="24"/>
          <w:szCs w:val="24"/>
          <w:rtl/>
        </w:rPr>
        <w:t xml:space="preserve"> </w:t>
      </w:r>
      <w:r w:rsidR="00256C44">
        <w:rPr>
          <w:rFonts w:cs="David" w:hint="cs"/>
          <w:sz w:val="24"/>
          <w:szCs w:val="24"/>
          <w:rtl/>
        </w:rPr>
        <w:t>באופן לא צפוי</w:t>
      </w:r>
      <w:r w:rsidR="0029567E">
        <w:rPr>
          <w:rFonts w:cs="David" w:hint="cs"/>
          <w:sz w:val="24"/>
          <w:szCs w:val="24"/>
          <w:rtl/>
        </w:rPr>
        <w:t xml:space="preserve">, </w:t>
      </w:r>
      <w:r>
        <w:rPr>
          <w:rFonts w:ascii="David" w:eastAsia="David" w:hAnsi="David" w:cs="David" w:hint="cs"/>
          <w:sz w:val="24"/>
          <w:szCs w:val="24"/>
          <w:rtl/>
        </w:rPr>
        <w:t xml:space="preserve">קבעה </w:t>
      </w:r>
      <w:r w:rsidR="007F1550">
        <w:rPr>
          <w:rFonts w:ascii="David" w:eastAsia="David" w:hAnsi="David" w:cs="David" w:hint="cs"/>
          <w:sz w:val="24"/>
          <w:szCs w:val="24"/>
          <w:rtl/>
        </w:rPr>
        <w:t xml:space="preserve">המפקחת על הבנקים </w:t>
      </w:r>
      <w:r>
        <w:rPr>
          <w:rFonts w:ascii="David" w:eastAsia="David" w:hAnsi="David" w:cs="David" w:hint="cs"/>
          <w:sz w:val="24"/>
          <w:szCs w:val="24"/>
          <w:rtl/>
        </w:rPr>
        <w:t xml:space="preserve">מכוח סמכותה בחוק כי </w:t>
      </w:r>
      <w:r w:rsidR="007F1550">
        <w:rPr>
          <w:rFonts w:ascii="David" w:eastAsia="David" w:hAnsi="David" w:cs="David" w:hint="cs"/>
          <w:sz w:val="24"/>
          <w:szCs w:val="24"/>
          <w:rtl/>
        </w:rPr>
        <w:t>הבנקים המסחריים ובנק הדואר</w:t>
      </w:r>
      <w:r w:rsidR="006F274D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3060A7">
        <w:rPr>
          <w:rFonts w:ascii="David" w:eastAsia="David" w:hAnsi="David" w:cs="David" w:hint="cs"/>
          <w:sz w:val="24"/>
          <w:szCs w:val="24"/>
          <w:rtl/>
        </w:rPr>
        <w:t>יש</w:t>
      </w:r>
      <w:r w:rsidR="000E664E">
        <w:rPr>
          <w:rFonts w:ascii="David" w:eastAsia="David" w:hAnsi="David" w:cs="David" w:hint="cs"/>
          <w:sz w:val="24"/>
          <w:szCs w:val="24"/>
          <w:rtl/>
        </w:rPr>
        <w:t>ה</w:t>
      </w:r>
      <w:r w:rsidR="003060A7">
        <w:rPr>
          <w:rFonts w:ascii="David" w:eastAsia="David" w:hAnsi="David" w:cs="David" w:hint="cs"/>
          <w:sz w:val="24"/>
          <w:szCs w:val="24"/>
          <w:rtl/>
        </w:rPr>
        <w:t xml:space="preserve">ו </w:t>
      </w:r>
      <w:r w:rsidR="007F1550">
        <w:rPr>
          <w:rFonts w:ascii="David" w:eastAsia="David" w:hAnsi="David" w:cs="David" w:hint="cs"/>
          <w:sz w:val="24"/>
          <w:szCs w:val="24"/>
          <w:rtl/>
        </w:rPr>
        <w:t>הגבלות על לקוחות ועל חשבון הבנק שלהם בשל שיקים שחזרו בשל היעדר כיסוי</w:t>
      </w:r>
      <w:r w:rsidR="009143E3">
        <w:rPr>
          <w:rFonts w:ascii="David" w:eastAsia="David" w:hAnsi="David" w:cs="David" w:hint="cs"/>
          <w:sz w:val="24"/>
          <w:szCs w:val="24"/>
          <w:rtl/>
        </w:rPr>
        <w:t xml:space="preserve">, </w:t>
      </w:r>
      <w:r w:rsidR="009143E3" w:rsidRPr="003060A7">
        <w:rPr>
          <w:rFonts w:ascii="David" w:eastAsia="David" w:hAnsi="David" w:cs="David" w:hint="eastAsia"/>
          <w:b/>
          <w:bCs/>
          <w:sz w:val="24"/>
          <w:szCs w:val="24"/>
          <w:rtl/>
        </w:rPr>
        <w:t>החל</w:t>
      </w:r>
      <w:r w:rsidR="009143E3" w:rsidRPr="003060A7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 w:rsidR="009143E3" w:rsidRPr="003060A7">
        <w:rPr>
          <w:rFonts w:ascii="David" w:eastAsia="David" w:hAnsi="David" w:cs="David" w:hint="eastAsia"/>
          <w:b/>
          <w:bCs/>
          <w:sz w:val="24"/>
          <w:szCs w:val="24"/>
          <w:rtl/>
        </w:rPr>
        <w:t>מ</w:t>
      </w:r>
      <w:r w:rsidR="00CF6CAC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תאריך </w:t>
      </w:r>
      <w:r w:rsidR="00284FC0">
        <w:rPr>
          <w:rFonts w:ascii="David" w:eastAsia="David" w:hAnsi="David" w:cs="David" w:hint="cs"/>
          <w:b/>
          <w:bCs/>
          <w:sz w:val="24"/>
          <w:szCs w:val="24"/>
          <w:rtl/>
        </w:rPr>
        <w:t>4.3.20</w:t>
      </w:r>
      <w:r w:rsidR="00CF6CAC">
        <w:rPr>
          <w:rFonts w:ascii="David" w:eastAsia="David" w:hAnsi="David" w:cs="David" w:hint="cs"/>
          <w:b/>
          <w:bCs/>
          <w:sz w:val="24"/>
          <w:szCs w:val="24"/>
          <w:rtl/>
        </w:rPr>
        <w:t>, ובהתאם לתקופה הקבועה בחוק</w:t>
      </w:r>
      <w:r w:rsidR="009143E3">
        <w:rPr>
          <w:rFonts w:ascii="David" w:eastAsia="David" w:hAnsi="David" w:cs="David" w:hint="cs"/>
          <w:sz w:val="24"/>
          <w:szCs w:val="24"/>
          <w:rtl/>
        </w:rPr>
        <w:t xml:space="preserve">. </w:t>
      </w:r>
      <w:r w:rsidR="00CE287E" w:rsidRPr="00EC246F">
        <w:rPr>
          <w:rFonts w:cs="David" w:hint="cs"/>
          <w:sz w:val="24"/>
          <w:szCs w:val="24"/>
          <w:rtl/>
        </w:rPr>
        <w:t>משמעות ההש</w:t>
      </w:r>
      <w:r w:rsidR="000E664E">
        <w:rPr>
          <w:rFonts w:cs="David" w:hint="cs"/>
          <w:sz w:val="24"/>
          <w:szCs w:val="24"/>
          <w:rtl/>
        </w:rPr>
        <w:t>ה</w:t>
      </w:r>
      <w:r w:rsidR="00CE287E" w:rsidRPr="00EC246F">
        <w:rPr>
          <w:rFonts w:cs="David" w:hint="cs"/>
          <w:sz w:val="24"/>
          <w:szCs w:val="24"/>
          <w:rtl/>
        </w:rPr>
        <w:t xml:space="preserve">יה היא ששיק </w:t>
      </w:r>
      <w:r w:rsidR="00CF6CAC">
        <w:rPr>
          <w:rFonts w:cs="David" w:hint="cs"/>
          <w:sz w:val="24"/>
          <w:szCs w:val="24"/>
          <w:rtl/>
        </w:rPr>
        <w:t>שהופקד החל מהתאריך האמור וחזר מחמת היעדר כיסוי מספיק</w:t>
      </w:r>
      <w:r w:rsidR="00EC246F">
        <w:rPr>
          <w:rFonts w:cs="David" w:hint="cs"/>
          <w:sz w:val="24"/>
          <w:szCs w:val="24"/>
          <w:rtl/>
        </w:rPr>
        <w:t>,</w:t>
      </w:r>
      <w:r w:rsidR="00CF5379" w:rsidRPr="00EC246F">
        <w:rPr>
          <w:rFonts w:cs="David" w:hint="cs"/>
          <w:sz w:val="24"/>
          <w:szCs w:val="24"/>
          <w:rtl/>
        </w:rPr>
        <w:t xml:space="preserve"> </w:t>
      </w:r>
      <w:r w:rsidR="00CE287E" w:rsidRPr="00EC246F">
        <w:rPr>
          <w:rFonts w:cs="David" w:hint="cs"/>
          <w:sz w:val="24"/>
          <w:szCs w:val="24"/>
          <w:rtl/>
        </w:rPr>
        <w:t xml:space="preserve">לא </w:t>
      </w:r>
      <w:r w:rsidR="00474844">
        <w:rPr>
          <w:rFonts w:cs="David" w:hint="cs"/>
          <w:sz w:val="24"/>
          <w:szCs w:val="24"/>
          <w:rtl/>
        </w:rPr>
        <w:t>י</w:t>
      </w:r>
      <w:r w:rsidR="00474844" w:rsidRPr="00EC246F">
        <w:rPr>
          <w:rFonts w:cs="David" w:hint="cs"/>
          <w:sz w:val="24"/>
          <w:szCs w:val="24"/>
          <w:rtl/>
        </w:rPr>
        <w:t xml:space="preserve">ובא </w:t>
      </w:r>
      <w:r w:rsidR="00CE287E" w:rsidRPr="00EC246F">
        <w:rPr>
          <w:rFonts w:cs="David" w:hint="cs"/>
          <w:sz w:val="24"/>
          <w:szCs w:val="24"/>
          <w:rtl/>
        </w:rPr>
        <w:t>בחשבון</w:t>
      </w:r>
      <w:r w:rsidR="008D0B6D" w:rsidRPr="00EC246F">
        <w:rPr>
          <w:rFonts w:cs="David" w:hint="cs"/>
          <w:sz w:val="24"/>
          <w:szCs w:val="24"/>
          <w:rtl/>
        </w:rPr>
        <w:t xml:space="preserve"> </w:t>
      </w:r>
      <w:r w:rsidR="00474844">
        <w:rPr>
          <w:rFonts w:cs="David" w:hint="cs"/>
          <w:sz w:val="24"/>
          <w:szCs w:val="24"/>
          <w:rtl/>
        </w:rPr>
        <w:t xml:space="preserve">בספירת השיקים לצורך </w:t>
      </w:r>
      <w:r w:rsidR="008D0B6D" w:rsidRPr="00EC246F">
        <w:rPr>
          <w:rFonts w:cs="David" w:hint="cs"/>
          <w:sz w:val="24"/>
          <w:szCs w:val="24"/>
          <w:rtl/>
        </w:rPr>
        <w:t>הטלת הגבלה</w:t>
      </w:r>
      <w:r w:rsidR="00474844">
        <w:rPr>
          <w:rFonts w:cs="David" w:hint="cs"/>
          <w:sz w:val="24"/>
          <w:szCs w:val="24"/>
          <w:rtl/>
        </w:rPr>
        <w:t xml:space="preserve"> לפי החוק</w:t>
      </w:r>
      <w:r w:rsidR="00CE287E" w:rsidRPr="00EC246F">
        <w:rPr>
          <w:rFonts w:cs="David" w:hint="cs"/>
          <w:sz w:val="24"/>
          <w:szCs w:val="24"/>
          <w:rtl/>
        </w:rPr>
        <w:t>.</w:t>
      </w:r>
      <w:r w:rsidR="003060A7" w:rsidRPr="003060A7">
        <w:rPr>
          <w:rFonts w:cs="David" w:hint="cs"/>
          <w:sz w:val="24"/>
          <w:szCs w:val="24"/>
          <w:rtl/>
        </w:rPr>
        <w:t xml:space="preserve"> </w:t>
      </w:r>
      <w:r w:rsidR="003060A7">
        <w:rPr>
          <w:rFonts w:cs="David" w:hint="cs"/>
          <w:sz w:val="24"/>
          <w:szCs w:val="24"/>
          <w:rtl/>
        </w:rPr>
        <w:t>במידה וזהו השיק העשירי שבעקבותיו היה אמור החשבון להיות מוגבל, ההגבלה תושעה עד להודעה שיפרסם בנק ישראל לגבי תום תקופת ההש</w:t>
      </w:r>
      <w:r w:rsidR="000E664E">
        <w:rPr>
          <w:rFonts w:cs="David" w:hint="cs"/>
          <w:sz w:val="24"/>
          <w:szCs w:val="24"/>
          <w:rtl/>
        </w:rPr>
        <w:t>ה</w:t>
      </w:r>
      <w:r w:rsidR="003060A7">
        <w:rPr>
          <w:rFonts w:cs="David" w:hint="cs"/>
          <w:sz w:val="24"/>
          <w:szCs w:val="24"/>
          <w:rtl/>
        </w:rPr>
        <w:t>יה.</w:t>
      </w:r>
    </w:p>
    <w:p w:rsidR="00471B1F" w:rsidRDefault="00471B1F" w:rsidP="000E664E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במערכת איתור החשבונות המוגבלים באתר האינטרנט של בנק ישראל תוצג הבהרה, </w:t>
      </w:r>
      <w:r w:rsidR="003060A7">
        <w:rPr>
          <w:rFonts w:cs="David" w:hint="cs"/>
          <w:sz w:val="24"/>
          <w:szCs w:val="24"/>
          <w:rtl/>
        </w:rPr>
        <w:t xml:space="preserve">שעל </w:t>
      </w:r>
      <w:r>
        <w:rPr>
          <w:rFonts w:cs="David" w:hint="cs"/>
          <w:sz w:val="24"/>
          <w:szCs w:val="24"/>
          <w:rtl/>
        </w:rPr>
        <w:t>פיה שיקים שחזרו בתקופת ההש</w:t>
      </w:r>
      <w:r w:rsidR="000E664E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יה לא נכללים במידע המוצג במערכת</w:t>
      </w:r>
      <w:r w:rsidR="00CF6CAC">
        <w:rPr>
          <w:rFonts w:cs="David" w:hint="cs"/>
          <w:sz w:val="24"/>
          <w:szCs w:val="24"/>
          <w:rtl/>
        </w:rPr>
        <w:t xml:space="preserve">, </w:t>
      </w:r>
      <w:r w:rsidR="00CF6CAC" w:rsidRPr="00284FC0">
        <w:rPr>
          <w:rFonts w:cs="David" w:hint="cs"/>
          <w:sz w:val="24"/>
          <w:szCs w:val="24"/>
          <w:rtl/>
        </w:rPr>
        <w:t>ועל מקבלי השיקים לקחת עובדה זו בחשבון בבואם לקבל תשלום בשיק</w:t>
      </w:r>
      <w:r w:rsidRPr="00284FC0">
        <w:rPr>
          <w:rFonts w:cs="David" w:hint="cs"/>
          <w:sz w:val="24"/>
          <w:szCs w:val="24"/>
          <w:rtl/>
        </w:rPr>
        <w:t>.</w:t>
      </w:r>
    </w:p>
    <w:p w:rsidR="009143E3" w:rsidRDefault="009143E3" w:rsidP="000E664E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יודגש, כי למרות שהחשבון לא </w:t>
      </w:r>
      <w:r w:rsidR="00A70713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וגבל, </w:t>
      </w:r>
      <w:r w:rsidR="008F48C2" w:rsidRPr="00EA588A">
        <w:rPr>
          <w:rFonts w:cs="David"/>
          <w:sz w:val="24"/>
          <w:szCs w:val="24"/>
          <w:rtl/>
        </w:rPr>
        <w:t>המידע על אירוע ההחזרה מועבר למערכת לשיתוף נתוני אשראי</w:t>
      </w:r>
      <w:r w:rsidR="00A70713">
        <w:rPr>
          <w:rFonts w:cs="David" w:hint="cs"/>
          <w:sz w:val="24"/>
          <w:szCs w:val="24"/>
          <w:rtl/>
        </w:rPr>
        <w:t>,</w:t>
      </w:r>
      <w:r w:rsidR="008F48C2" w:rsidRPr="00EA588A">
        <w:rPr>
          <w:rFonts w:cs="David"/>
          <w:sz w:val="24"/>
          <w:szCs w:val="24"/>
          <w:rtl/>
        </w:rPr>
        <w:t xml:space="preserve"> שעל בסיס</w:t>
      </w:r>
      <w:r w:rsidR="008F48C2">
        <w:rPr>
          <w:rFonts w:cs="David" w:hint="cs"/>
          <w:sz w:val="24"/>
          <w:szCs w:val="24"/>
          <w:rtl/>
        </w:rPr>
        <w:t xml:space="preserve"> המידע שבה</w:t>
      </w:r>
      <w:r w:rsidR="008F48C2" w:rsidRPr="00EA588A">
        <w:rPr>
          <w:rFonts w:cs="David"/>
          <w:sz w:val="24"/>
          <w:szCs w:val="24"/>
          <w:rtl/>
        </w:rPr>
        <w:t xml:space="preserve"> מחושב דירוג </w:t>
      </w:r>
      <w:r w:rsidR="008F48C2">
        <w:rPr>
          <w:rFonts w:cs="David" w:hint="cs"/>
          <w:sz w:val="24"/>
          <w:szCs w:val="24"/>
          <w:rtl/>
        </w:rPr>
        <w:t xml:space="preserve">האשראי של הלקוח ששילם באמצעות השיק שחזר. כמו כן, </w:t>
      </w:r>
      <w:r w:rsidR="006171BA">
        <w:rPr>
          <w:rFonts w:cs="David" w:hint="cs"/>
          <w:sz w:val="24"/>
          <w:szCs w:val="24"/>
          <w:rtl/>
        </w:rPr>
        <w:t>למרות  ש</w:t>
      </w:r>
      <w:r w:rsidR="008F48C2">
        <w:rPr>
          <w:rFonts w:cs="David" w:hint="cs"/>
          <w:sz w:val="24"/>
          <w:szCs w:val="24"/>
          <w:rtl/>
        </w:rPr>
        <w:t>בתקופת ההש</w:t>
      </w:r>
      <w:r w:rsidR="000E664E">
        <w:rPr>
          <w:rFonts w:cs="David" w:hint="cs"/>
          <w:sz w:val="24"/>
          <w:szCs w:val="24"/>
          <w:rtl/>
        </w:rPr>
        <w:t>ה</w:t>
      </w:r>
      <w:r w:rsidR="008F48C2">
        <w:rPr>
          <w:rFonts w:cs="David" w:hint="cs"/>
          <w:sz w:val="24"/>
          <w:szCs w:val="24"/>
          <w:rtl/>
        </w:rPr>
        <w:t xml:space="preserve">יה לא יוגבלו חשבונות, </w:t>
      </w:r>
      <w:r w:rsidR="00467ABD">
        <w:rPr>
          <w:rFonts w:cs="David" w:hint="cs"/>
          <w:sz w:val="24"/>
          <w:szCs w:val="24"/>
          <w:rtl/>
        </w:rPr>
        <w:t xml:space="preserve">לגבי </w:t>
      </w:r>
      <w:r w:rsidR="008F48C2">
        <w:rPr>
          <w:rFonts w:cs="David" w:hint="cs"/>
          <w:sz w:val="24"/>
          <w:szCs w:val="24"/>
          <w:rtl/>
        </w:rPr>
        <w:t xml:space="preserve">שיק שלא כובד </w:t>
      </w:r>
      <w:r w:rsidR="00467ABD">
        <w:rPr>
          <w:rFonts w:cs="David" w:hint="cs"/>
          <w:sz w:val="24"/>
          <w:szCs w:val="24"/>
          <w:rtl/>
        </w:rPr>
        <w:t>ניתן יהיה בהמשך לפתוח הליך</w:t>
      </w:r>
      <w:r w:rsidR="008F48C2">
        <w:rPr>
          <w:rFonts w:cs="David" w:hint="cs"/>
          <w:sz w:val="24"/>
          <w:szCs w:val="24"/>
          <w:rtl/>
        </w:rPr>
        <w:t xml:space="preserve"> לגבייתו באמצעות ההוצאה לפועל</w:t>
      </w:r>
      <w:r w:rsidR="00467ABD">
        <w:rPr>
          <w:rFonts w:cs="David" w:hint="cs"/>
          <w:sz w:val="24"/>
          <w:szCs w:val="24"/>
          <w:rtl/>
        </w:rPr>
        <w:t xml:space="preserve"> (בהתאם למידע שיפורסם על ידי רשות האכיפה והגביה)</w:t>
      </w:r>
      <w:r w:rsidR="008F48C2">
        <w:rPr>
          <w:rFonts w:cs="David" w:hint="cs"/>
          <w:sz w:val="24"/>
          <w:szCs w:val="24"/>
          <w:rtl/>
        </w:rPr>
        <w:t xml:space="preserve">. </w:t>
      </w:r>
    </w:p>
    <w:p w:rsidR="009048CA" w:rsidRDefault="009048CA" w:rsidP="000E664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0263B8" w:rsidRDefault="000263B8" w:rsidP="000E664E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36AA7">
        <w:rPr>
          <w:rFonts w:cs="David" w:hint="cs"/>
          <w:b/>
          <w:bCs/>
          <w:sz w:val="24"/>
          <w:szCs w:val="24"/>
          <w:rtl/>
        </w:rPr>
        <w:t>ד</w:t>
      </w:r>
      <w:r w:rsidRPr="00736AA7">
        <w:rPr>
          <w:rFonts w:cs="David"/>
          <w:b/>
          <w:bCs/>
          <w:sz w:val="24"/>
          <w:szCs w:val="24"/>
          <w:rtl/>
        </w:rPr>
        <w:t>"</w:t>
      </w:r>
      <w:r w:rsidRPr="00736AA7">
        <w:rPr>
          <w:rFonts w:cs="David" w:hint="cs"/>
          <w:b/>
          <w:bCs/>
          <w:sz w:val="24"/>
          <w:szCs w:val="24"/>
          <w:rtl/>
        </w:rPr>
        <w:t>ר</w:t>
      </w:r>
      <w:r w:rsidRPr="00736AA7">
        <w:rPr>
          <w:rFonts w:cs="David"/>
          <w:b/>
          <w:bCs/>
          <w:sz w:val="24"/>
          <w:szCs w:val="24"/>
          <w:rtl/>
        </w:rPr>
        <w:t xml:space="preserve"> </w:t>
      </w:r>
      <w:r w:rsidRPr="00736AA7">
        <w:rPr>
          <w:rFonts w:cs="David" w:hint="cs"/>
          <w:b/>
          <w:bCs/>
          <w:sz w:val="24"/>
          <w:szCs w:val="24"/>
          <w:rtl/>
        </w:rPr>
        <w:t>חדוה</w:t>
      </w:r>
      <w:r w:rsidRPr="00736AA7">
        <w:rPr>
          <w:rFonts w:cs="David"/>
          <w:b/>
          <w:bCs/>
          <w:sz w:val="24"/>
          <w:szCs w:val="24"/>
          <w:rtl/>
        </w:rPr>
        <w:t xml:space="preserve"> </w:t>
      </w:r>
      <w:r w:rsidRPr="00736AA7">
        <w:rPr>
          <w:rFonts w:cs="David" w:hint="cs"/>
          <w:b/>
          <w:bCs/>
          <w:sz w:val="24"/>
          <w:szCs w:val="24"/>
          <w:rtl/>
        </w:rPr>
        <w:t>בר</w:t>
      </w:r>
      <w:r w:rsidRPr="00736AA7">
        <w:rPr>
          <w:rFonts w:cs="David"/>
          <w:b/>
          <w:bCs/>
          <w:sz w:val="24"/>
          <w:szCs w:val="24"/>
          <w:rtl/>
        </w:rPr>
        <w:t xml:space="preserve">, </w:t>
      </w:r>
      <w:r w:rsidRPr="00736AA7">
        <w:rPr>
          <w:rFonts w:cs="David" w:hint="cs"/>
          <w:b/>
          <w:bCs/>
          <w:sz w:val="24"/>
          <w:szCs w:val="24"/>
          <w:rtl/>
        </w:rPr>
        <w:t>המפקחת</w:t>
      </w:r>
      <w:r w:rsidRPr="00736AA7">
        <w:rPr>
          <w:rFonts w:cs="David"/>
          <w:b/>
          <w:bCs/>
          <w:sz w:val="24"/>
          <w:szCs w:val="24"/>
          <w:rtl/>
        </w:rPr>
        <w:t xml:space="preserve"> </w:t>
      </w:r>
      <w:r w:rsidRPr="00736AA7">
        <w:rPr>
          <w:rFonts w:cs="David" w:hint="cs"/>
          <w:b/>
          <w:bCs/>
          <w:sz w:val="24"/>
          <w:szCs w:val="24"/>
          <w:rtl/>
        </w:rPr>
        <w:t>על</w:t>
      </w:r>
      <w:r w:rsidRPr="00736AA7">
        <w:rPr>
          <w:rFonts w:cs="David"/>
          <w:b/>
          <w:bCs/>
          <w:sz w:val="24"/>
          <w:szCs w:val="24"/>
          <w:rtl/>
        </w:rPr>
        <w:t xml:space="preserve"> </w:t>
      </w:r>
      <w:r w:rsidRPr="00736AA7">
        <w:rPr>
          <w:rFonts w:cs="David" w:hint="cs"/>
          <w:b/>
          <w:bCs/>
          <w:sz w:val="24"/>
          <w:szCs w:val="24"/>
          <w:rtl/>
        </w:rPr>
        <w:t>הבנקים</w:t>
      </w:r>
      <w:r>
        <w:rPr>
          <w:rFonts w:cs="David" w:hint="cs"/>
          <w:sz w:val="24"/>
          <w:szCs w:val="24"/>
          <w:rtl/>
        </w:rPr>
        <w:t xml:space="preserve">: </w:t>
      </w:r>
      <w:r w:rsidR="00513E0C">
        <w:rPr>
          <w:rFonts w:cs="David" w:hint="cs"/>
          <w:sz w:val="24"/>
          <w:szCs w:val="24"/>
          <w:rtl/>
        </w:rPr>
        <w:t>"</w:t>
      </w:r>
      <w:r w:rsidR="008F48C2">
        <w:rPr>
          <w:rFonts w:cs="David" w:hint="cs"/>
          <w:sz w:val="24"/>
          <w:szCs w:val="24"/>
          <w:rtl/>
        </w:rPr>
        <w:t xml:space="preserve">בנק ישראל נוקט במגוון צעדים כדי להקל על משקי בית ועסקים לצלוח את התקופה הכלכלית הקשה בפניה עומד המשק על רקע התפשטות נגיף הקורונה.  </w:t>
      </w:r>
      <w:r w:rsidR="00A70713">
        <w:rPr>
          <w:rFonts w:cs="David" w:hint="cs"/>
          <w:sz w:val="24"/>
          <w:szCs w:val="24"/>
          <w:rtl/>
        </w:rPr>
        <w:t>הש</w:t>
      </w:r>
      <w:r w:rsidR="000E664E">
        <w:rPr>
          <w:rFonts w:cs="David" w:hint="cs"/>
          <w:sz w:val="24"/>
          <w:szCs w:val="24"/>
          <w:rtl/>
        </w:rPr>
        <w:t>ה</w:t>
      </w:r>
      <w:r w:rsidR="00A70713">
        <w:rPr>
          <w:rFonts w:cs="David" w:hint="cs"/>
          <w:sz w:val="24"/>
          <w:szCs w:val="24"/>
          <w:rtl/>
        </w:rPr>
        <w:t xml:space="preserve">יית ספירת השיקים החוזרים </w:t>
      </w:r>
      <w:r w:rsidR="006171BA">
        <w:rPr>
          <w:rFonts w:cs="David" w:hint="cs"/>
          <w:sz w:val="24"/>
          <w:szCs w:val="24"/>
          <w:rtl/>
        </w:rPr>
        <w:t>ת</w:t>
      </w:r>
      <w:r w:rsidR="00A70713">
        <w:rPr>
          <w:rFonts w:cs="David" w:hint="cs"/>
          <w:sz w:val="24"/>
          <w:szCs w:val="24"/>
          <w:rtl/>
        </w:rPr>
        <w:t xml:space="preserve">בלום את </w:t>
      </w:r>
      <w:proofErr w:type="spellStart"/>
      <w:r w:rsidR="00A70713">
        <w:rPr>
          <w:rFonts w:cs="David" w:hint="cs"/>
          <w:sz w:val="24"/>
          <w:szCs w:val="24"/>
          <w:rtl/>
        </w:rPr>
        <w:t>ה</w:t>
      </w:r>
      <w:r w:rsidR="00513E0C">
        <w:rPr>
          <w:rFonts w:cs="David" w:hint="cs"/>
          <w:sz w:val="24"/>
          <w:szCs w:val="24"/>
          <w:rtl/>
        </w:rPr>
        <w:t>עליה</w:t>
      </w:r>
      <w:proofErr w:type="spellEnd"/>
      <w:r w:rsidR="00513E0C">
        <w:rPr>
          <w:rFonts w:cs="David" w:hint="cs"/>
          <w:sz w:val="24"/>
          <w:szCs w:val="24"/>
          <w:rtl/>
        </w:rPr>
        <w:t xml:space="preserve"> </w:t>
      </w:r>
      <w:r w:rsidR="00A70713">
        <w:rPr>
          <w:rFonts w:cs="David" w:hint="cs"/>
          <w:sz w:val="24"/>
          <w:szCs w:val="24"/>
          <w:rtl/>
        </w:rPr>
        <w:t>ה</w:t>
      </w:r>
      <w:r w:rsidR="00513E0C">
        <w:rPr>
          <w:rFonts w:cs="David" w:hint="cs"/>
          <w:sz w:val="24"/>
          <w:szCs w:val="24"/>
          <w:rtl/>
        </w:rPr>
        <w:t>מהירה במספר הלקוחות המוגבלים במשק</w:t>
      </w:r>
      <w:r w:rsidR="00A70713">
        <w:rPr>
          <w:rFonts w:cs="David" w:hint="cs"/>
          <w:sz w:val="24"/>
          <w:szCs w:val="24"/>
          <w:rtl/>
        </w:rPr>
        <w:t xml:space="preserve"> ו</w:t>
      </w:r>
      <w:r w:rsidR="006171BA">
        <w:rPr>
          <w:rFonts w:cs="David" w:hint="cs"/>
          <w:sz w:val="24"/>
          <w:szCs w:val="24"/>
          <w:rtl/>
        </w:rPr>
        <w:t>ת</w:t>
      </w:r>
      <w:r w:rsidR="00A70713">
        <w:rPr>
          <w:rFonts w:cs="David" w:hint="cs"/>
          <w:sz w:val="24"/>
          <w:szCs w:val="24"/>
          <w:rtl/>
        </w:rPr>
        <w:t xml:space="preserve">צמצם את התוצאות הקשות שנובעות מהגבלת חשבונות בנסיבות שלא היו צפויות. </w:t>
      </w:r>
      <w:r w:rsidR="008F48C2">
        <w:rPr>
          <w:rFonts w:cs="David" w:hint="cs"/>
          <w:sz w:val="24"/>
          <w:szCs w:val="24"/>
          <w:rtl/>
        </w:rPr>
        <w:t xml:space="preserve">אני קוראת </w:t>
      </w:r>
      <w:r w:rsidR="00742E70">
        <w:rPr>
          <w:rFonts w:cs="David" w:hint="cs"/>
          <w:sz w:val="24"/>
          <w:szCs w:val="24"/>
          <w:rtl/>
        </w:rPr>
        <w:t>לציבור</w:t>
      </w:r>
      <w:r w:rsidR="008F48C2">
        <w:rPr>
          <w:rFonts w:cs="David" w:hint="cs"/>
          <w:sz w:val="24"/>
          <w:szCs w:val="24"/>
          <w:rtl/>
        </w:rPr>
        <w:t xml:space="preserve"> להמשיך לנהל את ענייני</w:t>
      </w:r>
      <w:r w:rsidR="00742E70">
        <w:rPr>
          <w:rFonts w:cs="David" w:hint="cs"/>
          <w:sz w:val="24"/>
          <w:szCs w:val="24"/>
          <w:rtl/>
        </w:rPr>
        <w:t>ו</w:t>
      </w:r>
      <w:r w:rsidR="008F48C2">
        <w:rPr>
          <w:rFonts w:cs="David" w:hint="cs"/>
          <w:sz w:val="24"/>
          <w:szCs w:val="24"/>
          <w:rtl/>
        </w:rPr>
        <w:t xml:space="preserve"> הפיננסיים בתבונה</w:t>
      </w:r>
      <w:r w:rsidR="00017DB8">
        <w:rPr>
          <w:rFonts w:cs="David" w:hint="cs"/>
          <w:sz w:val="24"/>
          <w:szCs w:val="24"/>
          <w:rtl/>
        </w:rPr>
        <w:t>, ולהימנע מההשלכות של תשלום בצ'קים ללא כיסוי"</w:t>
      </w:r>
      <w:r w:rsidR="00742E70">
        <w:rPr>
          <w:rFonts w:cs="David" w:hint="cs"/>
          <w:sz w:val="24"/>
          <w:szCs w:val="24"/>
          <w:rtl/>
        </w:rPr>
        <w:t>.</w:t>
      </w:r>
    </w:p>
    <w:sectPr w:rsidR="000263B8" w:rsidSect="00081618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33" w:rsidRDefault="00942033" w:rsidP="003A7F34">
      <w:pPr>
        <w:spacing w:after="0" w:line="240" w:lineRule="auto"/>
      </w:pPr>
      <w:r>
        <w:separator/>
      </w:r>
    </w:p>
  </w:endnote>
  <w:endnote w:type="continuationSeparator" w:id="0">
    <w:p w:rsidR="00942033" w:rsidRDefault="00942033" w:rsidP="003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33" w:rsidRDefault="00942033" w:rsidP="003A7F34">
      <w:pPr>
        <w:spacing w:after="0" w:line="240" w:lineRule="auto"/>
      </w:pPr>
      <w:r>
        <w:separator/>
      </w:r>
    </w:p>
  </w:footnote>
  <w:footnote w:type="continuationSeparator" w:id="0">
    <w:p w:rsidR="00942033" w:rsidRDefault="00942033" w:rsidP="003A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34" w:rsidRDefault="003A7F34" w:rsidP="003A7F34">
    <w:pPr>
      <w:pStyle w:val="a3"/>
      <w:rPr>
        <w:rtl/>
      </w:rPr>
    </w:pPr>
  </w:p>
  <w:p w:rsidR="003A7F34" w:rsidRDefault="003A7F34" w:rsidP="003A7F34">
    <w:pPr>
      <w:pStyle w:val="a3"/>
      <w:rPr>
        <w:rtl/>
      </w:rPr>
    </w:pPr>
  </w:p>
  <w:p w:rsidR="003A7F34" w:rsidRDefault="003A7F34" w:rsidP="00C948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3FF6"/>
    <w:multiLevelType w:val="hybridMultilevel"/>
    <w:tmpl w:val="08AC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7A2"/>
    <w:multiLevelType w:val="hybridMultilevel"/>
    <w:tmpl w:val="23B42772"/>
    <w:lvl w:ilvl="0" w:tplc="8A520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51351"/>
    <w:multiLevelType w:val="hybridMultilevel"/>
    <w:tmpl w:val="254A0C16"/>
    <w:lvl w:ilvl="0" w:tplc="5554EF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F19CE"/>
    <w:multiLevelType w:val="hybridMultilevel"/>
    <w:tmpl w:val="DF4A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53DFE"/>
    <w:multiLevelType w:val="hybridMultilevel"/>
    <w:tmpl w:val="3606F566"/>
    <w:lvl w:ilvl="0" w:tplc="3B4666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D7F"/>
    <w:multiLevelType w:val="hybridMultilevel"/>
    <w:tmpl w:val="CCF4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4"/>
    <w:rsid w:val="00015FA1"/>
    <w:rsid w:val="00017DB8"/>
    <w:rsid w:val="000263B8"/>
    <w:rsid w:val="00081618"/>
    <w:rsid w:val="00094C25"/>
    <w:rsid w:val="00094ED1"/>
    <w:rsid w:val="000A7E8D"/>
    <w:rsid w:val="000C1530"/>
    <w:rsid w:val="000C68CE"/>
    <w:rsid w:val="000E664E"/>
    <w:rsid w:val="00110244"/>
    <w:rsid w:val="00133A15"/>
    <w:rsid w:val="00155AFA"/>
    <w:rsid w:val="001773B9"/>
    <w:rsid w:val="00186C22"/>
    <w:rsid w:val="001926EA"/>
    <w:rsid w:val="001E5CB7"/>
    <w:rsid w:val="001F3B14"/>
    <w:rsid w:val="001F5B47"/>
    <w:rsid w:val="00256C44"/>
    <w:rsid w:val="00257E20"/>
    <w:rsid w:val="0027408D"/>
    <w:rsid w:val="00284FC0"/>
    <w:rsid w:val="0029567E"/>
    <w:rsid w:val="002F0AEC"/>
    <w:rsid w:val="003060A7"/>
    <w:rsid w:val="00383D26"/>
    <w:rsid w:val="003A7F34"/>
    <w:rsid w:val="003B483E"/>
    <w:rsid w:val="00445C25"/>
    <w:rsid w:val="0045556F"/>
    <w:rsid w:val="00467ABD"/>
    <w:rsid w:val="00471B1F"/>
    <w:rsid w:val="00474844"/>
    <w:rsid w:val="004B3B7E"/>
    <w:rsid w:val="004D1E1C"/>
    <w:rsid w:val="00513E0C"/>
    <w:rsid w:val="005A5237"/>
    <w:rsid w:val="006171BA"/>
    <w:rsid w:val="00641752"/>
    <w:rsid w:val="00643580"/>
    <w:rsid w:val="0065770A"/>
    <w:rsid w:val="006600C7"/>
    <w:rsid w:val="00666E96"/>
    <w:rsid w:val="006F1B6C"/>
    <w:rsid w:val="006F274D"/>
    <w:rsid w:val="00736AA7"/>
    <w:rsid w:val="00742E70"/>
    <w:rsid w:val="0074418D"/>
    <w:rsid w:val="00775B62"/>
    <w:rsid w:val="00781F37"/>
    <w:rsid w:val="007F1488"/>
    <w:rsid w:val="007F1550"/>
    <w:rsid w:val="00877C7B"/>
    <w:rsid w:val="008956C4"/>
    <w:rsid w:val="008B55DB"/>
    <w:rsid w:val="008D0B6D"/>
    <w:rsid w:val="008D33C6"/>
    <w:rsid w:val="008F48C2"/>
    <w:rsid w:val="009048CA"/>
    <w:rsid w:val="009143E3"/>
    <w:rsid w:val="00942033"/>
    <w:rsid w:val="00953EDF"/>
    <w:rsid w:val="00964023"/>
    <w:rsid w:val="009C5E9B"/>
    <w:rsid w:val="009D09FB"/>
    <w:rsid w:val="009E522B"/>
    <w:rsid w:val="00A41BB0"/>
    <w:rsid w:val="00A47EB5"/>
    <w:rsid w:val="00A56C46"/>
    <w:rsid w:val="00A637D5"/>
    <w:rsid w:val="00A70713"/>
    <w:rsid w:val="00A84BB1"/>
    <w:rsid w:val="00B63F49"/>
    <w:rsid w:val="00B67144"/>
    <w:rsid w:val="00BD448B"/>
    <w:rsid w:val="00C9484D"/>
    <w:rsid w:val="00C966D6"/>
    <w:rsid w:val="00CA2437"/>
    <w:rsid w:val="00CC1F0E"/>
    <w:rsid w:val="00CE287E"/>
    <w:rsid w:val="00CF5379"/>
    <w:rsid w:val="00CF6CAC"/>
    <w:rsid w:val="00D32C45"/>
    <w:rsid w:val="00D36941"/>
    <w:rsid w:val="00D54174"/>
    <w:rsid w:val="00D658FC"/>
    <w:rsid w:val="00D80380"/>
    <w:rsid w:val="00D80593"/>
    <w:rsid w:val="00D96E9F"/>
    <w:rsid w:val="00E03E0F"/>
    <w:rsid w:val="00E23D71"/>
    <w:rsid w:val="00E34693"/>
    <w:rsid w:val="00E734CA"/>
    <w:rsid w:val="00EA4366"/>
    <w:rsid w:val="00EA588A"/>
    <w:rsid w:val="00EC0B8F"/>
    <w:rsid w:val="00EC246F"/>
    <w:rsid w:val="00ED212E"/>
    <w:rsid w:val="00EE18F3"/>
    <w:rsid w:val="00F076C7"/>
    <w:rsid w:val="00F24394"/>
    <w:rsid w:val="00F34E57"/>
    <w:rsid w:val="00F67346"/>
    <w:rsid w:val="00FA2C97"/>
    <w:rsid w:val="00FC1BE9"/>
    <w:rsid w:val="00FD1A83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B7A62"/>
  <w15:docId w15:val="{4F5CD973-8763-4C3C-9C00-B6A07991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A7F34"/>
  </w:style>
  <w:style w:type="paragraph" w:styleId="a5">
    <w:name w:val="footer"/>
    <w:basedOn w:val="a"/>
    <w:link w:val="a6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A7F34"/>
  </w:style>
  <w:style w:type="character" w:styleId="Hyperlink">
    <w:name w:val="Hyperlink"/>
    <w:basedOn w:val="a0"/>
    <w:uiPriority w:val="99"/>
    <w:unhideWhenUsed/>
    <w:rsid w:val="003A7F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803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059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80593"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5C2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45C25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45C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5C25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45C25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CA2437"/>
    <w:rPr>
      <w:color w:val="954F72" w:themeColor="followedHyperlink"/>
      <w:u w:val="single"/>
    </w:rPr>
  </w:style>
  <w:style w:type="paragraph" w:styleId="af">
    <w:name w:val="footnote text"/>
    <w:basedOn w:val="a"/>
    <w:link w:val="af0"/>
    <w:rsid w:val="00666E96"/>
    <w:pPr>
      <w:widowControl w:val="0"/>
      <w:spacing w:after="0" w:line="360" w:lineRule="auto"/>
      <w:jc w:val="both"/>
    </w:pPr>
    <w:rPr>
      <w:rFonts w:ascii="Times New Roman" w:eastAsia="Times New Roman" w:hAnsi="Times New Roman" w:cs="David"/>
      <w:snapToGrid w:val="0"/>
      <w:sz w:val="20"/>
      <w:szCs w:val="20"/>
      <w:lang w:eastAsia="he-IL"/>
    </w:rPr>
  </w:style>
  <w:style w:type="character" w:customStyle="1" w:styleId="af0">
    <w:name w:val="טקסט הערת שוליים תו"/>
    <w:basedOn w:val="a0"/>
    <w:link w:val="af"/>
    <w:rsid w:val="00666E96"/>
    <w:rPr>
      <w:rFonts w:ascii="Times New Roman" w:eastAsia="Times New Roman" w:hAnsi="Times New Roman" w:cs="David"/>
      <w:snapToGrid w:val="0"/>
      <w:sz w:val="20"/>
      <w:szCs w:val="20"/>
      <w:lang w:eastAsia="he-IL"/>
    </w:rPr>
  </w:style>
  <w:style w:type="character" w:styleId="af1">
    <w:name w:val="footnote reference"/>
    <w:rsid w:val="00666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51409DB800F7124CB03FE2F6B84E80CB0078E0E176919682498A617D48DAB50728" ma:contentTypeVersion="4" ma:contentTypeDescription="base CTP for Document" ma:contentTypeScope="" ma:versionID="ebbe4913ec3d043ad2d70979e1722c0d">
  <xsd:schema xmlns:xsd="http://www.w3.org/2001/XMLSchema" xmlns:xs="http://www.w3.org/2001/XMLSchema" xmlns:p="http://schemas.microsoft.com/office/2006/metadata/properties" xmlns:ns2="1ba72b39-a019-4cf1-92e8-24d1a2685f76" targetNamespace="http://schemas.microsoft.com/office/2006/metadata/properties" ma:root="true" ma:fieldsID="1d307e6b8913009fd6eed6bee551aa61" ns2:_="">
    <xsd:import namespace="1ba72b39-a019-4cf1-92e8-24d1a2685f76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showItem" minOccurs="0"/>
                <xsd:element ref="ns2:viewOrder" minOccurs="0"/>
                <xsd:element ref="ns2:RSMoreInfo" minOccurs="0"/>
                <xsd:element ref="ns2:p0f105f0d2bb4441b01999f73655336f" minOccurs="0"/>
                <xsd:element ref="ns2:TaxCatchAll" minOccurs="0"/>
                <xsd:element ref="ns2:TaxCatchAllLabel" minOccurs="0"/>
                <xsd:element ref="ns2:p201db1d126e4b8c9fed7c2c1efc07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b39-a019-4cf1-92e8-24d1a2685f76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list="UserInfo" ma:SharePointGroup="0" ma:internalName="RSDoc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internalName="RSDocDate" ma:readOnly="false">
      <xsd:simpleType>
        <xsd:restriction base="dms:DateTime"/>
      </xsd:simpleType>
    </xsd:element>
    <xsd:element name="showItem" ma:index="8" nillable="true" ma:displayName="האם להציג פריט?" ma:default="1" ma:internalName="showItem" ma:readOnly="false">
      <xsd:simpleType>
        <xsd:restriction base="dms:Boolean"/>
      </xsd:simpleType>
    </xsd:element>
    <xsd:element name="viewOrder" ma:index="9" nillable="true" ma:displayName="סדר תצוגה" ma:decimals="0" ma:default="100" ma:internalName="viewOrder" ma:readOnly="false" ma:percentage="FALSE">
      <xsd:simpleType>
        <xsd:restriction base="dms:Number"/>
      </xsd:simpleType>
    </xsd:element>
    <xsd:element name="RSMoreInfo" ma:index="10" nillable="true" ma:displayName="מידע נוסף" ma:internalName="RSMoreInfo" ma:readOnly="false">
      <xsd:simpleType>
        <xsd:restriction base="dms:Note">
          <xsd:maxLength value="255"/>
        </xsd:restriction>
      </xsd:simpleType>
    </xsd:element>
    <xsd:element name="p0f105f0d2bb4441b01999f73655336f" ma:index="16" nillable="true" ma:taxonomy="true" ma:internalName="p0f105f0d2bb4441b01999f73655336f" ma:taxonomyFieldName="boiOrgUnit" ma:displayName="יחידה ארגונית" ma:default="" ma:fieldId="{90f105f0-d2bb-4441-b019-99f73655336f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cbbc3715-b37d-4108-9587-053922c8b007}" ma:internalName="TaxCatchAll" ma:showField="CatchAllData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עמודת 'תפוס הכל' של טקסונומיה1" ma:hidden="true" ma:list="{cbbc3715-b37d-4108-9587-053922c8b007}" ma:internalName="TaxCatchAllLabel" ma:readOnly="true" ma:showField="CatchAllDataLabel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20" nillable="true" ma:taxonomy="true" ma:internalName="p201db1d126e4b8c9fed7c2c1efc070d" ma:taxonomyFieldName="displayDestination" ma:displayName="יעדי תצוגה" ma:readOnly="false" ma:default="" ma:fieldId="{9201db1d-126e-4b8c-9fed-7c2c1efc070d}" ma:taxonomyMulti="true" ma:sspId="0d8ee0f2-3939-419a-a064-5013d4754aa5" ma:termSetId="0548715f-88dd-4f04-b604-b6a576e3d408" ma:anchorId="6937c56a-520a-479c-9bf2-fc27b948fe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DocAuthor xmlns="1ba72b39-a019-4cf1-92e8-24d1a2685f76">
      <UserInfo>
        <DisplayName/>
        <AccountId xsi:nil="true"/>
        <AccountType/>
      </UserInfo>
    </RSDocAuthor>
    <p0f105f0d2bb4441b01999f73655336f xmlns="1ba72b39-a019-4cf1-92e8-24d1a2685f76">
      <Terms xmlns="http://schemas.microsoft.com/office/infopath/2007/PartnerControls"/>
    </p0f105f0d2bb4441b01999f73655336f>
    <TaxCatchAll xmlns="1ba72b39-a019-4cf1-92e8-24d1a2685f76"/>
    <p201db1d126e4b8c9fed7c2c1efc070d xmlns="1ba72b39-a019-4cf1-92e8-24d1a2685f76">
      <Terms xmlns="http://schemas.microsoft.com/office/infopath/2007/PartnerControls"/>
    </p201db1d126e4b8c9fed7c2c1efc070d>
    <RSMoreInfo xmlns="1ba72b39-a019-4cf1-92e8-24d1a2685f76" xsi:nil="true"/>
    <showItem xmlns="1ba72b39-a019-4cf1-92e8-24d1a2685f76">true</showItem>
    <RSDocDate xmlns="1ba72b39-a019-4cf1-92e8-24d1a2685f76" xsi:nil="true"/>
    <externalAuthor xmlns="1ba72b39-a019-4cf1-92e8-24d1a2685f76" xsi:nil="true"/>
    <viewOrder xmlns="1ba72b39-a019-4cf1-92e8-24d1a2685f76">100</view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8577-3A2B-4ACB-BE57-5311A94A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2b39-a019-4cf1-92e8-24d1a268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1B2CE-2A81-41D5-8CBF-C2AE7B9D59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a72b39-a019-4cf1-92e8-24d1a2685f76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CCAE2D-B3DF-4CB5-978D-8749A66E6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2DBAA-C7CA-4F38-A075-09B9BABD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מאור שביט</dc:creator>
  <cp:lastModifiedBy>יפעת כהן סידי</cp:lastModifiedBy>
  <cp:revision>3</cp:revision>
  <dcterms:created xsi:type="dcterms:W3CDTF">2020-03-23T08:10:00Z</dcterms:created>
  <dcterms:modified xsi:type="dcterms:W3CDTF">2020-03-23T08:11:00Z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0x01010051409DB800F7124CB03FE2F6B84E80CB0078E0E176919682498A617D48DAB50728</vt:lpwstr>
  </property>
  <property fmtid="{D5CDD505-2E9C-101B-9397-08002B2CF9AE}" pid="3" name="displayDestination">
    <vt:lpwstr/>
  </property>
  <property fmtid="{D5CDD505-2E9C-101B-9397-08002B2CF9AE}" pid="4" name="boiOrgUnit">
    <vt:lpwstr/>
  </property>
</Properties>
</file>