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53"/>
        <w:bidiVisual/>
        <w:tblW w:w="0" w:type="auto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5B168D" w:rsidRPr="001B670E" w:rsidTr="00AF44E7">
        <w:trPr>
          <w:trHeight w:val="284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68D" w:rsidRDefault="005B168D" w:rsidP="00AF44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5B168D" w:rsidRPr="001B670E" w:rsidRDefault="005B168D" w:rsidP="00AF44E7">
            <w:pPr>
              <w:ind w:right="-101"/>
              <w:jc w:val="center"/>
            </w:pPr>
            <w:r w:rsidRPr="001B670E">
              <w:rPr>
                <w:rtl/>
              </w:rPr>
              <w:t>דו</w:t>
            </w:r>
            <w:r w:rsidRPr="001B670E">
              <w:rPr>
                <w:rFonts w:hint="cs"/>
                <w:rtl/>
              </w:rPr>
              <w:t>בר</w:t>
            </w:r>
            <w:r w:rsidRPr="001B670E">
              <w:rPr>
                <w:rtl/>
              </w:rPr>
              <w:t>ות</w:t>
            </w:r>
            <w:r w:rsidRPr="001B670E"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B168D" w:rsidRDefault="005B168D" w:rsidP="00AF44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83A5B1" wp14:editId="3278381D">
                  <wp:extent cx="749935" cy="749935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68D" w:rsidRPr="001B670E" w:rsidRDefault="005B168D" w:rsidP="00512845">
            <w:pPr>
              <w:spacing w:line="480" w:lineRule="auto"/>
              <w:jc w:val="right"/>
              <w:rPr>
                <w:rtl/>
              </w:rPr>
            </w:pPr>
            <w:r w:rsidRPr="001B670E">
              <w:rPr>
                <w:rFonts w:hint="eastAsia"/>
                <w:rtl/>
              </w:rPr>
              <w:t>‏‏</w:t>
            </w:r>
            <w:r w:rsidRPr="001B670E">
              <w:rPr>
                <w:rFonts w:hint="cs"/>
                <w:rtl/>
              </w:rPr>
              <w:t>ירושלים</w:t>
            </w:r>
            <w:r w:rsidRPr="008843AA">
              <w:rPr>
                <w:rFonts w:hint="cs"/>
                <w:rtl/>
              </w:rPr>
              <w:t xml:space="preserve">, </w:t>
            </w:r>
            <w:r>
              <w:rPr>
                <w:rFonts w:hint="cs"/>
                <w:rtl/>
              </w:rPr>
              <w:t>כ"</w:t>
            </w:r>
            <w:r w:rsidR="00512845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 באדר א'</w:t>
            </w:r>
            <w:r w:rsidRPr="001B670E">
              <w:rPr>
                <w:rFonts w:hint="cs"/>
                <w:rtl/>
              </w:rPr>
              <w:t xml:space="preserve"> ה</w:t>
            </w:r>
            <w:r w:rsidRPr="001B670E">
              <w:rPr>
                <w:rtl/>
              </w:rPr>
              <w:t>תשע"</w:t>
            </w:r>
            <w:r>
              <w:rPr>
                <w:rFonts w:hint="cs"/>
                <w:rtl/>
              </w:rPr>
              <w:t>ט</w:t>
            </w:r>
          </w:p>
          <w:p w:rsidR="005B168D" w:rsidRPr="001B670E" w:rsidRDefault="005B168D" w:rsidP="00512845">
            <w:pPr>
              <w:bidi w:val="0"/>
              <w:spacing w:line="480" w:lineRule="auto"/>
              <w:rPr>
                <w:rtl/>
              </w:rPr>
            </w:pPr>
            <w:r w:rsidRPr="001B670E">
              <w:rPr>
                <w:rFonts w:hint="eastAsia"/>
                <w:rtl/>
              </w:rPr>
              <w:t>‏</w:t>
            </w:r>
            <w:r>
              <w:rPr>
                <w:rFonts w:hint="cs"/>
                <w:rtl/>
              </w:rPr>
              <w:t>ב</w:t>
            </w:r>
            <w:r w:rsidR="00512845">
              <w:rPr>
                <w:rFonts w:hint="cs"/>
                <w:rtl/>
              </w:rPr>
              <w:t>מרץ</w:t>
            </w:r>
            <w:bookmarkStart w:id="0" w:name="_GoBack"/>
            <w:bookmarkEnd w:id="0"/>
            <w:r w:rsidRPr="008843AA"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2019</w:t>
            </w:r>
            <w:r w:rsidRPr="008843AA">
              <w:t xml:space="preserve"> </w:t>
            </w:r>
            <w:r w:rsidR="00512845">
              <w:rPr>
                <w:rFonts w:hint="cs"/>
                <w:rtl/>
              </w:rPr>
              <w:t>3</w:t>
            </w:r>
          </w:p>
        </w:tc>
      </w:tr>
    </w:tbl>
    <w:p w:rsidR="00AF44E7" w:rsidRDefault="00AF44E7" w:rsidP="00AF44E7">
      <w:pPr>
        <w:spacing w:line="240" w:lineRule="auto"/>
        <w:ind w:right="-101"/>
        <w:rPr>
          <w:rtl/>
        </w:rPr>
      </w:pPr>
    </w:p>
    <w:p w:rsidR="00AF44E7" w:rsidRDefault="00AF44E7" w:rsidP="00AF44E7">
      <w:pPr>
        <w:spacing w:line="240" w:lineRule="auto"/>
        <w:ind w:right="-101"/>
        <w:rPr>
          <w:rtl/>
        </w:rPr>
      </w:pPr>
    </w:p>
    <w:p w:rsidR="005B168D" w:rsidRPr="001B670E" w:rsidRDefault="005B168D" w:rsidP="00AF44E7">
      <w:pPr>
        <w:spacing w:line="240" w:lineRule="auto"/>
        <w:ind w:right="-101"/>
        <w:rPr>
          <w:rtl/>
        </w:rPr>
      </w:pPr>
      <w:r w:rsidRPr="001B670E">
        <w:rPr>
          <w:rFonts w:hint="cs"/>
          <w:rtl/>
        </w:rPr>
        <w:t>הודעה לעיתונות:</w:t>
      </w:r>
    </w:p>
    <w:p w:rsidR="009315C1" w:rsidRDefault="009315C1" w:rsidP="00803CBE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</w:p>
    <w:p w:rsidR="00803CBE" w:rsidRPr="00AF44E7" w:rsidRDefault="000775F5" w:rsidP="00803CBE">
      <w:pPr>
        <w:spacing w:line="240" w:lineRule="auto"/>
        <w:jc w:val="center"/>
        <w:rPr>
          <w:sz w:val="28"/>
          <w:szCs w:val="28"/>
          <w:rtl/>
        </w:rPr>
      </w:pPr>
      <w:r w:rsidRPr="00AF44E7">
        <w:rPr>
          <w:rFonts w:hint="cs"/>
          <w:b/>
          <w:bCs/>
          <w:sz w:val="28"/>
          <w:szCs w:val="28"/>
          <w:rtl/>
        </w:rPr>
        <w:t xml:space="preserve">הפיקוח על הבנקים מפרסם היום את ההוראה בנושא </w:t>
      </w:r>
      <w:r w:rsidR="00803CBE" w:rsidRPr="00AF44E7">
        <w:rPr>
          <w:rFonts w:hint="cs"/>
          <w:b/>
          <w:bCs/>
          <w:sz w:val="28"/>
          <w:szCs w:val="28"/>
          <w:rtl/>
        </w:rPr>
        <w:t xml:space="preserve">רכישה עצמית </w:t>
      </w:r>
      <w:r w:rsidR="00632600" w:rsidRPr="00AF44E7">
        <w:rPr>
          <w:rFonts w:hint="cs"/>
          <w:b/>
          <w:bCs/>
          <w:sz w:val="28"/>
          <w:szCs w:val="28"/>
          <w:rtl/>
        </w:rPr>
        <w:t xml:space="preserve">של מניות </w:t>
      </w:r>
      <w:r w:rsidR="00803CBE" w:rsidRPr="00AF44E7">
        <w:rPr>
          <w:rFonts w:hint="cs"/>
          <w:b/>
          <w:bCs/>
          <w:sz w:val="28"/>
          <w:szCs w:val="28"/>
          <w:rtl/>
        </w:rPr>
        <w:t>על ידי תאגידים בנקאיים</w:t>
      </w:r>
    </w:p>
    <w:p w:rsidR="00E93FE4" w:rsidRDefault="00E93FE4" w:rsidP="007B7E90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</w:p>
    <w:p w:rsidR="003218DA" w:rsidRPr="003218DA" w:rsidRDefault="003218DA" w:rsidP="007B7E90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  <w:r w:rsidRPr="003218DA">
        <w:rPr>
          <w:rFonts w:ascii="Calibri" w:eastAsia="Calibri" w:hAnsi="Calibri" w:hint="cs"/>
          <w:b/>
          <w:bCs/>
          <w:sz w:val="28"/>
          <w:szCs w:val="28"/>
          <w:rtl/>
        </w:rPr>
        <w:t>רקע</w:t>
      </w:r>
    </w:p>
    <w:p w:rsidR="007241FA" w:rsidRDefault="00F217E7" w:rsidP="008D20D5">
      <w:pPr>
        <w:spacing w:before="120"/>
        <w:rPr>
          <w:rFonts w:ascii="Calibri" w:eastAsia="Calibri" w:hAnsi="Calibri"/>
          <w:rtl/>
        </w:rPr>
      </w:pPr>
      <w:r>
        <w:rPr>
          <w:rFonts w:ascii="Calibri" w:eastAsia="Calibri" w:hAnsi="Calibri" w:hint="cs"/>
          <w:rtl/>
        </w:rPr>
        <w:t xml:space="preserve">הפיקוח על הבנקים מפרסם היום את ההוראה הסופית בנושא "רכישה עצמית" של מניות על ידי תאגידים בנקאיים. </w:t>
      </w:r>
      <w:r w:rsidR="00632600">
        <w:rPr>
          <w:rFonts w:ascii="Calibri" w:eastAsia="Calibri" w:hAnsi="Calibri" w:hint="cs"/>
          <w:rtl/>
        </w:rPr>
        <w:t>בתאריך</w:t>
      </w:r>
      <w:r w:rsidR="008D20D5">
        <w:rPr>
          <w:rFonts w:ascii="Calibri" w:eastAsia="Calibri" w:hAnsi="Calibri" w:hint="cs"/>
          <w:rtl/>
        </w:rPr>
        <w:t xml:space="preserve"> 16 </w:t>
      </w:r>
      <w:r w:rsidR="00D73F4A">
        <w:rPr>
          <w:rFonts w:ascii="Calibri" w:eastAsia="Calibri" w:hAnsi="Calibri" w:hint="cs"/>
          <w:rtl/>
        </w:rPr>
        <w:t>ביולי 2018</w:t>
      </w:r>
      <w:r w:rsidR="00D73F4A" w:rsidRPr="003218DA">
        <w:rPr>
          <w:rFonts w:ascii="Calibri" w:eastAsia="Calibri" w:hAnsi="Calibri" w:hint="cs"/>
          <w:rtl/>
        </w:rPr>
        <w:t xml:space="preserve"> </w:t>
      </w:r>
      <w:r w:rsidR="003218DA" w:rsidRPr="003218DA">
        <w:rPr>
          <w:rFonts w:ascii="Calibri" w:eastAsia="Calibri" w:hAnsi="Calibri" w:hint="cs"/>
          <w:rtl/>
        </w:rPr>
        <w:t xml:space="preserve">הפיץ הפיקוח </w:t>
      </w:r>
      <w:r w:rsidR="003218DA">
        <w:rPr>
          <w:rFonts w:ascii="Calibri" w:eastAsia="Calibri" w:hAnsi="Calibri" w:hint="cs"/>
          <w:rtl/>
        </w:rPr>
        <w:t>על הבנקים טיוטה</w:t>
      </w:r>
      <w:r>
        <w:rPr>
          <w:rFonts w:ascii="Calibri" w:eastAsia="Calibri" w:hAnsi="Calibri" w:hint="cs"/>
          <w:rtl/>
        </w:rPr>
        <w:t xml:space="preserve"> בנושא, ש</w:t>
      </w:r>
      <w:r w:rsidR="00BE0337">
        <w:rPr>
          <w:rFonts w:ascii="Calibri" w:eastAsia="Calibri" w:hAnsi="Calibri" w:hint="cs"/>
          <w:rtl/>
        </w:rPr>
        <w:t xml:space="preserve">העלתה שאלות </w:t>
      </w:r>
      <w:r w:rsidR="00632600">
        <w:rPr>
          <w:rFonts w:ascii="Calibri" w:eastAsia="Calibri" w:hAnsi="Calibri" w:hint="cs"/>
          <w:rtl/>
        </w:rPr>
        <w:t xml:space="preserve">מצד </w:t>
      </w:r>
      <w:r w:rsidR="00C9646C">
        <w:rPr>
          <w:rFonts w:ascii="Calibri" w:eastAsia="Calibri" w:hAnsi="Calibri" w:hint="cs"/>
          <w:rtl/>
        </w:rPr>
        <w:t>גורמים מסוימים ב</w:t>
      </w:r>
      <w:r w:rsidR="00BE0337">
        <w:rPr>
          <w:rFonts w:ascii="Calibri" w:eastAsia="Calibri" w:hAnsi="Calibri" w:hint="cs"/>
          <w:rtl/>
        </w:rPr>
        <w:t>ציבור</w:t>
      </w:r>
      <w:r w:rsidR="00632600">
        <w:rPr>
          <w:rFonts w:ascii="Calibri" w:eastAsia="Calibri" w:hAnsi="Calibri" w:hint="cs"/>
          <w:rtl/>
        </w:rPr>
        <w:t>. מטרת מסמך זה ה</w:t>
      </w:r>
      <w:r w:rsidR="00FD2E9B">
        <w:rPr>
          <w:rFonts w:ascii="Calibri" w:eastAsia="Calibri" w:hAnsi="Calibri" w:hint="cs"/>
          <w:rtl/>
        </w:rPr>
        <w:t>י</w:t>
      </w:r>
      <w:r w:rsidR="00632600">
        <w:rPr>
          <w:rFonts w:ascii="Calibri" w:eastAsia="Calibri" w:hAnsi="Calibri" w:hint="cs"/>
          <w:rtl/>
        </w:rPr>
        <w:t xml:space="preserve">נה </w:t>
      </w:r>
      <w:r w:rsidR="007241FA">
        <w:rPr>
          <w:rFonts w:ascii="Calibri" w:eastAsia="Calibri" w:hAnsi="Calibri" w:hint="cs"/>
          <w:rtl/>
        </w:rPr>
        <w:t xml:space="preserve">להבהיר את השיקולים </w:t>
      </w:r>
      <w:r w:rsidR="00632600">
        <w:rPr>
          <w:rFonts w:ascii="Calibri" w:eastAsia="Calibri" w:hAnsi="Calibri" w:hint="cs"/>
          <w:rtl/>
        </w:rPr>
        <w:t xml:space="preserve">שעמדו בפני הפיקוח על הבנקים בעת </w:t>
      </w:r>
      <w:r w:rsidR="00FD2E9B">
        <w:rPr>
          <w:rFonts w:ascii="Calibri" w:eastAsia="Calibri" w:hAnsi="Calibri" w:hint="cs"/>
          <w:rtl/>
        </w:rPr>
        <w:t xml:space="preserve">קבלת </w:t>
      </w:r>
      <w:r w:rsidR="00632600">
        <w:rPr>
          <w:rFonts w:ascii="Calibri" w:eastAsia="Calibri" w:hAnsi="Calibri" w:hint="cs"/>
          <w:rtl/>
        </w:rPr>
        <w:t xml:space="preserve">ההחלטה לתקן את </w:t>
      </w:r>
      <w:r w:rsidR="007241FA">
        <w:rPr>
          <w:rFonts w:ascii="Calibri" w:eastAsia="Calibri" w:hAnsi="Calibri" w:hint="cs"/>
          <w:rtl/>
        </w:rPr>
        <w:t>ההוראה</w:t>
      </w:r>
      <w:r w:rsidR="00632600">
        <w:rPr>
          <w:rFonts w:ascii="Calibri" w:eastAsia="Calibri" w:hAnsi="Calibri" w:hint="cs"/>
          <w:rtl/>
        </w:rPr>
        <w:t xml:space="preserve">, </w:t>
      </w:r>
      <w:r w:rsidR="00C5329F">
        <w:rPr>
          <w:rFonts w:ascii="Calibri" w:eastAsia="Calibri" w:hAnsi="Calibri" w:hint="cs"/>
          <w:rtl/>
        </w:rPr>
        <w:t xml:space="preserve">לענות על השאלות שהועלו על-ידי גורמים שונים, </w:t>
      </w:r>
      <w:r w:rsidR="00632600">
        <w:rPr>
          <w:rFonts w:ascii="Calibri" w:eastAsia="Calibri" w:hAnsi="Calibri" w:hint="cs"/>
          <w:rtl/>
        </w:rPr>
        <w:t xml:space="preserve">ובפרט לתאר </w:t>
      </w:r>
      <w:r w:rsidR="00BE0337">
        <w:rPr>
          <w:rFonts w:ascii="Calibri" w:eastAsia="Calibri" w:hAnsi="Calibri" w:hint="cs"/>
          <w:rtl/>
        </w:rPr>
        <w:t xml:space="preserve">את ההגנות שקיימות </w:t>
      </w:r>
      <w:r w:rsidR="00632600">
        <w:rPr>
          <w:rFonts w:ascii="Calibri" w:eastAsia="Calibri" w:hAnsi="Calibri" w:hint="cs"/>
          <w:rtl/>
        </w:rPr>
        <w:t>כ</w:t>
      </w:r>
      <w:r w:rsidR="00BE0337">
        <w:rPr>
          <w:rFonts w:ascii="Calibri" w:eastAsia="Calibri" w:hAnsi="Calibri" w:hint="cs"/>
          <w:rtl/>
        </w:rPr>
        <w:t xml:space="preserve">יום </w:t>
      </w:r>
      <w:r w:rsidR="000B5951">
        <w:rPr>
          <w:rFonts w:ascii="Calibri" w:eastAsia="Calibri" w:hAnsi="Calibri" w:hint="cs"/>
          <w:rtl/>
        </w:rPr>
        <w:t>בשוק ההון ובבנקאות</w:t>
      </w:r>
      <w:r w:rsidR="00995060">
        <w:rPr>
          <w:rFonts w:ascii="Calibri" w:eastAsia="Calibri" w:hAnsi="Calibri" w:hint="cs"/>
          <w:rtl/>
        </w:rPr>
        <w:t>-</w:t>
      </w:r>
      <w:r w:rsidR="00632600">
        <w:rPr>
          <w:rFonts w:ascii="Calibri" w:eastAsia="Calibri" w:hAnsi="Calibri" w:hint="cs"/>
          <w:rtl/>
        </w:rPr>
        <w:t xml:space="preserve"> הגנות ש</w:t>
      </w:r>
      <w:r w:rsidR="00BE0337">
        <w:rPr>
          <w:rFonts w:ascii="Calibri" w:eastAsia="Calibri" w:hAnsi="Calibri" w:hint="cs"/>
          <w:rtl/>
        </w:rPr>
        <w:t xml:space="preserve">לא היו בעבר, </w:t>
      </w:r>
      <w:r w:rsidR="00FD2E9B">
        <w:rPr>
          <w:rFonts w:ascii="Calibri" w:eastAsia="Calibri" w:hAnsi="Calibri" w:hint="cs"/>
          <w:rtl/>
        </w:rPr>
        <w:t>ו</w:t>
      </w:r>
      <w:r w:rsidR="00632600">
        <w:rPr>
          <w:rFonts w:ascii="Calibri" w:eastAsia="Calibri" w:hAnsi="Calibri" w:hint="cs"/>
          <w:rtl/>
        </w:rPr>
        <w:t>אשר מפחיתות באופן מ</w:t>
      </w:r>
      <w:r w:rsidR="006B4AE9">
        <w:rPr>
          <w:rFonts w:ascii="Calibri" w:eastAsia="Calibri" w:hAnsi="Calibri" w:hint="cs"/>
          <w:rtl/>
        </w:rPr>
        <w:t>ש</w:t>
      </w:r>
      <w:r w:rsidR="00632600">
        <w:rPr>
          <w:rFonts w:ascii="Calibri" w:eastAsia="Calibri" w:hAnsi="Calibri" w:hint="cs"/>
          <w:rtl/>
        </w:rPr>
        <w:t xml:space="preserve">מעותי את </w:t>
      </w:r>
      <w:r w:rsidR="00BE0337">
        <w:rPr>
          <w:rFonts w:ascii="Calibri" w:eastAsia="Calibri" w:hAnsi="Calibri" w:hint="cs"/>
          <w:rtl/>
        </w:rPr>
        <w:t xml:space="preserve">הסיכון שרכישה עצמית </w:t>
      </w:r>
      <w:r w:rsidR="00632600">
        <w:rPr>
          <w:rFonts w:ascii="Calibri" w:eastAsia="Calibri" w:hAnsi="Calibri" w:hint="cs"/>
          <w:rtl/>
        </w:rPr>
        <w:t>תביא לפגיעה</w:t>
      </w:r>
      <w:r w:rsidR="00BE0337">
        <w:rPr>
          <w:rFonts w:ascii="Calibri" w:eastAsia="Calibri" w:hAnsi="Calibri" w:hint="cs"/>
          <w:rtl/>
        </w:rPr>
        <w:t xml:space="preserve"> </w:t>
      </w:r>
      <w:r w:rsidR="00632600">
        <w:rPr>
          <w:rFonts w:ascii="Calibri" w:eastAsia="Calibri" w:hAnsi="Calibri" w:hint="cs"/>
          <w:rtl/>
        </w:rPr>
        <w:t>ב</w:t>
      </w:r>
      <w:r w:rsidR="00BE0337">
        <w:rPr>
          <w:rFonts w:ascii="Calibri" w:eastAsia="Calibri" w:hAnsi="Calibri" w:hint="cs"/>
          <w:rtl/>
        </w:rPr>
        <w:t>ציבור ו</w:t>
      </w:r>
      <w:r w:rsidR="00632600">
        <w:rPr>
          <w:rFonts w:ascii="Calibri" w:eastAsia="Calibri" w:hAnsi="Calibri" w:hint="cs"/>
          <w:rtl/>
        </w:rPr>
        <w:t>ב</w:t>
      </w:r>
      <w:r w:rsidR="00BE0337">
        <w:rPr>
          <w:rFonts w:ascii="Calibri" w:eastAsia="Calibri" w:hAnsi="Calibri" w:hint="cs"/>
          <w:rtl/>
        </w:rPr>
        <w:t>משק</w:t>
      </w:r>
      <w:r w:rsidR="007241FA">
        <w:rPr>
          <w:rFonts w:ascii="Calibri" w:eastAsia="Calibri" w:hAnsi="Calibri" w:hint="cs"/>
          <w:rtl/>
        </w:rPr>
        <w:t xml:space="preserve">. </w:t>
      </w:r>
    </w:p>
    <w:p w:rsidR="00C5329F" w:rsidRPr="00EE475D" w:rsidRDefault="00B172F6" w:rsidP="00EE475D">
      <w:pPr>
        <w:spacing w:before="120"/>
        <w:rPr>
          <w:rFonts w:ascii="Calibri" w:eastAsia="Calibri" w:hAnsi="Calibri"/>
          <w:b/>
          <w:bCs/>
          <w:rtl/>
        </w:rPr>
      </w:pPr>
      <w:r w:rsidRPr="00EE475D">
        <w:rPr>
          <w:rFonts w:ascii="Calibri" w:eastAsia="Calibri" w:hAnsi="Calibri" w:hint="cs"/>
          <w:b/>
          <w:bCs/>
          <w:rtl/>
        </w:rPr>
        <w:t xml:space="preserve"> </w:t>
      </w:r>
    </w:p>
    <w:p w:rsidR="007B7E90" w:rsidRPr="00A14FC6" w:rsidRDefault="007B7E90" w:rsidP="00BE0337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  <w:r w:rsidRPr="00A14FC6">
        <w:rPr>
          <w:rFonts w:ascii="Calibri" w:eastAsia="Calibri" w:hAnsi="Calibri" w:hint="cs"/>
          <w:b/>
          <w:bCs/>
          <w:sz w:val="28"/>
          <w:szCs w:val="28"/>
          <w:rtl/>
        </w:rPr>
        <w:t>מהי רכישה עצמית ו</w:t>
      </w:r>
      <w:r w:rsidR="00BE0337">
        <w:rPr>
          <w:rFonts w:ascii="Calibri" w:eastAsia="Calibri" w:hAnsi="Calibri" w:hint="cs"/>
          <w:b/>
          <w:bCs/>
          <w:sz w:val="28"/>
          <w:szCs w:val="28"/>
          <w:rtl/>
        </w:rPr>
        <w:t>לצורך מה היא נועדה</w:t>
      </w:r>
      <w:r w:rsidRPr="00A14FC6">
        <w:rPr>
          <w:rFonts w:ascii="Calibri" w:eastAsia="Calibri" w:hAnsi="Calibri" w:hint="cs"/>
          <w:b/>
          <w:bCs/>
          <w:sz w:val="28"/>
          <w:szCs w:val="28"/>
          <w:rtl/>
        </w:rPr>
        <w:t>?</w:t>
      </w:r>
    </w:p>
    <w:p w:rsidR="007B7E90" w:rsidRDefault="007B7E90" w:rsidP="00277065">
      <w:pPr>
        <w:spacing w:before="120"/>
        <w:rPr>
          <w:rFonts w:ascii="Calibri" w:eastAsia="Calibri" w:hAnsi="Calibri"/>
          <w:rtl/>
        </w:rPr>
      </w:pPr>
      <w:r w:rsidRPr="007B7E90">
        <w:rPr>
          <w:rFonts w:ascii="Calibri" w:eastAsia="Calibri" w:hAnsi="Calibri" w:hint="cs"/>
          <w:rtl/>
        </w:rPr>
        <w:t xml:space="preserve">רכישה עצמית היא פעולה בה תאגיד רוכש </w:t>
      </w:r>
      <w:r w:rsidR="00EA74CF">
        <w:rPr>
          <w:rFonts w:ascii="Calibri" w:eastAsia="Calibri" w:hAnsi="Calibri" w:hint="cs"/>
          <w:rtl/>
        </w:rPr>
        <w:t>מניות שהונפקו על ידו וב</w:t>
      </w:r>
      <w:r>
        <w:rPr>
          <w:rFonts w:ascii="Calibri" w:eastAsia="Calibri" w:hAnsi="Calibri" w:hint="cs"/>
          <w:rtl/>
        </w:rPr>
        <w:t xml:space="preserve">כך מקטין את </w:t>
      </w:r>
      <w:r w:rsidR="00EA74CF">
        <w:rPr>
          <w:rFonts w:ascii="Calibri" w:eastAsia="Calibri" w:hAnsi="Calibri" w:hint="cs"/>
          <w:rtl/>
        </w:rPr>
        <w:t xml:space="preserve">כמות </w:t>
      </w:r>
      <w:r>
        <w:rPr>
          <w:rFonts w:ascii="Calibri" w:eastAsia="Calibri" w:hAnsi="Calibri" w:hint="cs"/>
          <w:rtl/>
        </w:rPr>
        <w:t>המניות ה</w:t>
      </w:r>
      <w:r w:rsidR="00EA74CF">
        <w:rPr>
          <w:rFonts w:ascii="Calibri" w:eastAsia="Calibri" w:hAnsi="Calibri" w:hint="cs"/>
          <w:rtl/>
        </w:rPr>
        <w:t>מוחזקות בידי הציבור</w:t>
      </w:r>
      <w:r w:rsidRPr="007B7E90">
        <w:rPr>
          <w:rFonts w:ascii="Calibri" w:eastAsia="Calibri" w:hAnsi="Calibri" w:hint="cs"/>
          <w:rtl/>
        </w:rPr>
        <w:t xml:space="preserve">. </w:t>
      </w:r>
      <w:r w:rsidR="00632600">
        <w:rPr>
          <w:rFonts w:ascii="Calibri" w:eastAsia="Calibri" w:hAnsi="Calibri" w:hint="cs"/>
          <w:rtl/>
        </w:rPr>
        <w:t>ככלל, רכישה עצמית דומה לחלוקת דיבידנד, פעולה נפוצה בכל סוגי החברות הנסחרות בבורסה</w:t>
      </w:r>
      <w:r w:rsidR="00015E09">
        <w:rPr>
          <w:rFonts w:ascii="Calibri" w:eastAsia="Calibri" w:hAnsi="Calibri" w:hint="cs"/>
          <w:rtl/>
        </w:rPr>
        <w:t>, והיא אחת הדרכים במסגרתה חברה יכולה להעביר חלק מהרווחים לבעלי המניות</w:t>
      </w:r>
      <w:r w:rsidR="00632600">
        <w:rPr>
          <w:rFonts w:ascii="Calibri" w:eastAsia="Calibri" w:hAnsi="Calibri" w:hint="cs"/>
          <w:rtl/>
        </w:rPr>
        <w:t xml:space="preserve">. </w:t>
      </w:r>
    </w:p>
    <w:p w:rsidR="00F217E7" w:rsidRDefault="00F217E7" w:rsidP="00EE475D">
      <w:pPr>
        <w:spacing w:before="120"/>
        <w:rPr>
          <w:rFonts w:ascii="Calibri" w:eastAsia="Calibri" w:hAnsi="Calibri"/>
          <w:rtl/>
        </w:rPr>
      </w:pPr>
    </w:p>
    <w:p w:rsidR="00F217E7" w:rsidRDefault="00F217E7" w:rsidP="00757A90">
      <w:pPr>
        <w:spacing w:before="120"/>
        <w:rPr>
          <w:rFonts w:ascii="Calibri" w:eastAsia="Calibri" w:hAnsi="Calibri"/>
          <w:b/>
          <w:bCs/>
          <w:rtl/>
        </w:rPr>
      </w:pPr>
      <w:r w:rsidRPr="00EE475D">
        <w:rPr>
          <w:rFonts w:ascii="Calibri" w:eastAsia="Calibri" w:hAnsi="Calibri" w:hint="cs"/>
          <w:b/>
          <w:bCs/>
          <w:rtl/>
        </w:rPr>
        <w:t>חשוב להדגיש כי רכישה עצמית של מניות מותרת לפי חוק החברות בישראל (בעקבות שינוי מ- 1999)</w:t>
      </w:r>
      <w:r>
        <w:rPr>
          <w:rFonts w:ascii="Calibri" w:eastAsia="Calibri" w:hAnsi="Calibri" w:hint="cs"/>
          <w:b/>
          <w:bCs/>
          <w:rtl/>
        </w:rPr>
        <w:t xml:space="preserve"> לכלל החברות,</w:t>
      </w:r>
      <w:r w:rsidRPr="00EE475D">
        <w:rPr>
          <w:rFonts w:ascii="Calibri" w:eastAsia="Calibri" w:hAnsi="Calibri" w:hint="cs"/>
          <w:b/>
          <w:bCs/>
          <w:rtl/>
        </w:rPr>
        <w:t xml:space="preserve"> והיא מותרת </w:t>
      </w:r>
      <w:r>
        <w:rPr>
          <w:rFonts w:ascii="Calibri" w:eastAsia="Calibri" w:hAnsi="Calibri" w:hint="cs"/>
          <w:b/>
          <w:bCs/>
          <w:rtl/>
        </w:rPr>
        <w:t>לבנקים ב</w:t>
      </w:r>
      <w:r w:rsidRPr="00EE475D">
        <w:rPr>
          <w:rFonts w:ascii="Calibri" w:eastAsia="Calibri" w:hAnsi="Calibri" w:hint="cs"/>
          <w:b/>
          <w:bCs/>
          <w:rtl/>
        </w:rPr>
        <w:t>מדינות מפותחות</w:t>
      </w:r>
      <w:r w:rsidR="00015E09">
        <w:rPr>
          <w:rFonts w:ascii="Calibri" w:eastAsia="Calibri" w:hAnsi="Calibri" w:hint="cs"/>
          <w:b/>
          <w:bCs/>
          <w:rtl/>
        </w:rPr>
        <w:t xml:space="preserve"> מובילות ורבות, ובראשן</w:t>
      </w:r>
      <w:r w:rsidRPr="00EE475D">
        <w:rPr>
          <w:rFonts w:ascii="Calibri" w:eastAsia="Calibri" w:hAnsi="Calibri" w:hint="cs"/>
          <w:b/>
          <w:bCs/>
          <w:rtl/>
        </w:rPr>
        <w:t xml:space="preserve"> ארה"ב, </w:t>
      </w:r>
      <w:r w:rsidR="00405475" w:rsidRPr="00E160CB">
        <w:rPr>
          <w:rFonts w:ascii="Calibri" w:eastAsia="Calibri" w:hAnsi="Calibri" w:hint="cs"/>
          <w:b/>
          <w:bCs/>
          <w:rtl/>
        </w:rPr>
        <w:t>מדינות ב</w:t>
      </w:r>
      <w:r w:rsidRPr="00E160CB">
        <w:rPr>
          <w:rFonts w:ascii="Calibri" w:eastAsia="Calibri" w:hAnsi="Calibri" w:hint="cs"/>
          <w:b/>
          <w:bCs/>
          <w:rtl/>
        </w:rPr>
        <w:t xml:space="preserve">אירופה </w:t>
      </w:r>
      <w:r w:rsidR="00757A90" w:rsidRPr="00E160CB">
        <w:rPr>
          <w:rFonts w:ascii="Calibri" w:eastAsia="Calibri" w:hAnsi="Calibri" w:hint="cs"/>
          <w:b/>
          <w:bCs/>
          <w:rtl/>
        </w:rPr>
        <w:t xml:space="preserve"> כולל אנגליה, </w:t>
      </w:r>
      <w:r w:rsidRPr="00E160CB">
        <w:rPr>
          <w:rFonts w:ascii="Calibri" w:eastAsia="Calibri" w:hAnsi="Calibri" w:hint="cs"/>
          <w:b/>
          <w:bCs/>
          <w:rtl/>
        </w:rPr>
        <w:t>ואוסטרליה.</w:t>
      </w:r>
    </w:p>
    <w:p w:rsidR="00F217E7" w:rsidRDefault="00F217E7" w:rsidP="00EE475D">
      <w:pPr>
        <w:spacing w:before="120"/>
        <w:rPr>
          <w:rFonts w:ascii="Calibri" w:eastAsia="Calibri" w:hAnsi="Calibri"/>
          <w:rtl/>
        </w:rPr>
      </w:pPr>
    </w:p>
    <w:p w:rsidR="00FD2E9B" w:rsidRDefault="00632600" w:rsidP="003C50B7">
      <w:pPr>
        <w:spacing w:before="120"/>
        <w:rPr>
          <w:rFonts w:ascii="Calibri" w:eastAsia="Calibri" w:hAnsi="Calibri"/>
          <w:rtl/>
        </w:rPr>
      </w:pPr>
      <w:r>
        <w:rPr>
          <w:rFonts w:ascii="Calibri" w:eastAsia="Calibri" w:hAnsi="Calibri" w:hint="cs"/>
          <w:rtl/>
        </w:rPr>
        <w:t xml:space="preserve">בבנקים, </w:t>
      </w:r>
      <w:r w:rsidR="00BE0337">
        <w:rPr>
          <w:rFonts w:ascii="Calibri" w:eastAsia="Calibri" w:hAnsi="Calibri" w:hint="cs"/>
          <w:rtl/>
        </w:rPr>
        <w:t xml:space="preserve">רכישה עצמית </w:t>
      </w:r>
      <w:r>
        <w:rPr>
          <w:rFonts w:ascii="Calibri" w:eastAsia="Calibri" w:hAnsi="Calibri" w:hint="cs"/>
          <w:rtl/>
        </w:rPr>
        <w:t>מ</w:t>
      </w:r>
      <w:r w:rsidR="00BE0337">
        <w:rPr>
          <w:rFonts w:ascii="Calibri" w:eastAsia="Calibri" w:hAnsi="Calibri" w:hint="cs"/>
          <w:rtl/>
        </w:rPr>
        <w:t>אפשר</w:t>
      </w:r>
      <w:r>
        <w:rPr>
          <w:rFonts w:ascii="Calibri" w:eastAsia="Calibri" w:hAnsi="Calibri" w:hint="cs"/>
          <w:rtl/>
        </w:rPr>
        <w:t>ת</w:t>
      </w:r>
      <w:r w:rsidR="00BE0337">
        <w:rPr>
          <w:rFonts w:ascii="Calibri" w:eastAsia="Calibri" w:hAnsi="Calibri" w:hint="cs"/>
          <w:rtl/>
        </w:rPr>
        <w:t xml:space="preserve"> ל</w:t>
      </w:r>
      <w:r w:rsidR="000B5951">
        <w:rPr>
          <w:rFonts w:ascii="Calibri" w:eastAsia="Calibri" w:hAnsi="Calibri" w:hint="cs"/>
          <w:rtl/>
        </w:rPr>
        <w:t>נהל ב</w:t>
      </w:r>
      <w:r w:rsidR="00BE0337">
        <w:rPr>
          <w:rFonts w:ascii="Calibri" w:eastAsia="Calibri" w:hAnsi="Calibri" w:hint="cs"/>
          <w:rtl/>
        </w:rPr>
        <w:t>יעילות את ההון של</w:t>
      </w:r>
      <w:r w:rsidR="00F217E7">
        <w:rPr>
          <w:rFonts w:ascii="Calibri" w:eastAsia="Calibri" w:hAnsi="Calibri" w:hint="cs"/>
          <w:rtl/>
        </w:rPr>
        <w:t xml:space="preserve"> הבנק</w:t>
      </w:r>
      <w:r w:rsidR="00BE0337">
        <w:rPr>
          <w:rFonts w:ascii="Calibri" w:eastAsia="Calibri" w:hAnsi="Calibri" w:hint="cs"/>
          <w:rtl/>
        </w:rPr>
        <w:t xml:space="preserve">, </w:t>
      </w:r>
      <w:r>
        <w:rPr>
          <w:rFonts w:ascii="Calibri" w:eastAsia="Calibri" w:hAnsi="Calibri" w:hint="cs"/>
          <w:rtl/>
        </w:rPr>
        <w:t xml:space="preserve">בכך שהיא מהווה אמצעי נוסף </w:t>
      </w:r>
      <w:r w:rsidR="00BE0337">
        <w:rPr>
          <w:rFonts w:ascii="Calibri" w:eastAsia="Calibri" w:hAnsi="Calibri" w:hint="cs"/>
          <w:rtl/>
        </w:rPr>
        <w:t xml:space="preserve"> לצמצ</w:t>
      </w:r>
      <w:r w:rsidR="00FD2E9B">
        <w:rPr>
          <w:rFonts w:ascii="Calibri" w:eastAsia="Calibri" w:hAnsi="Calibri" w:hint="cs"/>
          <w:rtl/>
        </w:rPr>
        <w:t>ו</w:t>
      </w:r>
      <w:r w:rsidR="00BE0337">
        <w:rPr>
          <w:rFonts w:ascii="Calibri" w:eastAsia="Calibri" w:hAnsi="Calibri" w:hint="cs"/>
          <w:rtl/>
        </w:rPr>
        <w:t>ם עודפי הון</w:t>
      </w:r>
      <w:r w:rsidR="00AC4857">
        <w:rPr>
          <w:rFonts w:ascii="Calibri" w:eastAsia="Calibri" w:hAnsi="Calibri" w:hint="cs"/>
          <w:rtl/>
        </w:rPr>
        <w:t>, לצד שימוש בחלוקת דיבי</w:t>
      </w:r>
      <w:r w:rsidR="003C50B7">
        <w:rPr>
          <w:rFonts w:ascii="Calibri" w:eastAsia="Calibri" w:hAnsi="Calibri" w:hint="cs"/>
          <w:rtl/>
        </w:rPr>
        <w:t>ד</w:t>
      </w:r>
      <w:r w:rsidR="00AC4857">
        <w:rPr>
          <w:rFonts w:ascii="Calibri" w:eastAsia="Calibri" w:hAnsi="Calibri" w:hint="cs"/>
          <w:rtl/>
        </w:rPr>
        <w:t>נדים</w:t>
      </w:r>
      <w:r>
        <w:rPr>
          <w:rFonts w:ascii="Calibri" w:eastAsia="Calibri" w:hAnsi="Calibri" w:hint="cs"/>
          <w:rtl/>
        </w:rPr>
        <w:t>. למשל, אם לבנק היו</w:t>
      </w:r>
      <w:r w:rsidR="00BE0337">
        <w:rPr>
          <w:rFonts w:ascii="Calibri" w:eastAsia="Calibri" w:hAnsi="Calibri" w:hint="cs"/>
          <w:rtl/>
        </w:rPr>
        <w:t xml:space="preserve"> רווחים חד פעמיים גדולים</w:t>
      </w:r>
      <w:r>
        <w:rPr>
          <w:rFonts w:ascii="Calibri" w:eastAsia="Calibri" w:hAnsi="Calibri" w:hint="cs"/>
          <w:rtl/>
        </w:rPr>
        <w:t>, ו/או הוא אינו יכול להגדיל את היקף האשראי שהוא מעניק</w:t>
      </w:r>
      <w:r w:rsidR="00FD2E9B">
        <w:rPr>
          <w:rFonts w:ascii="Calibri" w:eastAsia="Calibri" w:hAnsi="Calibri" w:hint="cs"/>
          <w:rtl/>
        </w:rPr>
        <w:t>,</w:t>
      </w:r>
      <w:r>
        <w:rPr>
          <w:rFonts w:ascii="Calibri" w:eastAsia="Calibri" w:hAnsi="Calibri" w:hint="cs"/>
          <w:rtl/>
        </w:rPr>
        <w:t xml:space="preserve"> למשל בשל</w:t>
      </w:r>
      <w:r w:rsidR="009E1CDC">
        <w:rPr>
          <w:rFonts w:ascii="Calibri" w:eastAsia="Calibri" w:hAnsi="Calibri" w:hint="cs"/>
          <w:rtl/>
        </w:rPr>
        <w:t xml:space="preserve"> </w:t>
      </w:r>
      <w:r w:rsidR="00BE0337">
        <w:rPr>
          <w:rFonts w:ascii="Calibri" w:eastAsia="Calibri" w:hAnsi="Calibri" w:hint="cs"/>
          <w:rtl/>
        </w:rPr>
        <w:t>ביקוש נמוך יחסית לאשראי ביחס למקורות שיש לבנק</w:t>
      </w:r>
      <w:r>
        <w:rPr>
          <w:rFonts w:ascii="Calibri" w:eastAsia="Calibri" w:hAnsi="Calibri" w:hint="cs"/>
          <w:rtl/>
        </w:rPr>
        <w:t xml:space="preserve">, עודף ההון </w:t>
      </w:r>
      <w:r w:rsidR="00FD2E9B">
        <w:rPr>
          <w:rFonts w:ascii="Calibri" w:eastAsia="Calibri" w:hAnsi="Calibri" w:hint="cs"/>
          <w:rtl/>
        </w:rPr>
        <w:t xml:space="preserve">עלול </w:t>
      </w:r>
      <w:r>
        <w:rPr>
          <w:rFonts w:ascii="Calibri" w:eastAsia="Calibri" w:hAnsi="Calibri" w:hint="cs"/>
          <w:rtl/>
        </w:rPr>
        <w:t>להביא לתשואה נמוכה להון שתפגע בבעלי המניות</w:t>
      </w:r>
      <w:r w:rsidR="00BE0337">
        <w:rPr>
          <w:rFonts w:ascii="Calibri" w:eastAsia="Calibri" w:hAnsi="Calibri" w:hint="cs"/>
          <w:rtl/>
        </w:rPr>
        <w:t>.</w:t>
      </w:r>
      <w:r w:rsidR="00277065">
        <w:rPr>
          <w:rFonts w:ascii="Calibri" w:eastAsia="Calibri" w:hAnsi="Calibri" w:hint="cs"/>
          <w:rtl/>
        </w:rPr>
        <w:t xml:space="preserve"> עודף ההון אף עלול להוביל את הבנק ליטול סיכונים גדולים יותר, כדי להגדיל את הפעילות</w:t>
      </w:r>
      <w:r w:rsidR="00167028">
        <w:rPr>
          <w:rFonts w:ascii="Calibri" w:eastAsia="Calibri" w:hAnsi="Calibri" w:hint="cs"/>
          <w:rtl/>
        </w:rPr>
        <w:t xml:space="preserve"> והרווחיות</w:t>
      </w:r>
      <w:r w:rsidR="00277065">
        <w:rPr>
          <w:rFonts w:ascii="Calibri" w:eastAsia="Calibri" w:hAnsi="Calibri" w:hint="cs"/>
          <w:rtl/>
        </w:rPr>
        <w:t>.</w:t>
      </w:r>
      <w:r w:rsidR="00BE0337">
        <w:rPr>
          <w:rFonts w:ascii="Calibri" w:eastAsia="Calibri" w:hAnsi="Calibri" w:hint="cs"/>
          <w:rtl/>
        </w:rPr>
        <w:t xml:space="preserve"> </w:t>
      </w:r>
      <w:r>
        <w:rPr>
          <w:rFonts w:ascii="Calibri" w:eastAsia="Calibri" w:hAnsi="Calibri" w:hint="cs"/>
          <w:rtl/>
        </w:rPr>
        <w:t xml:space="preserve">הרכישה העצמית היא אחד הכלים להתמודד עם מצב כזה. </w:t>
      </w:r>
      <w:r w:rsidR="00FD2E9B" w:rsidRPr="00FD2E9B">
        <w:rPr>
          <w:rFonts w:ascii="Calibri" w:eastAsia="Calibri" w:hAnsi="Calibri" w:hint="cs"/>
          <w:rtl/>
        </w:rPr>
        <w:t xml:space="preserve"> </w:t>
      </w:r>
    </w:p>
    <w:p w:rsidR="00BE0337" w:rsidRDefault="00EE475D" w:rsidP="00C31FA3">
      <w:pPr>
        <w:spacing w:before="120"/>
        <w:rPr>
          <w:rFonts w:ascii="Calibri" w:eastAsia="Calibri" w:hAnsi="Calibri"/>
          <w:rtl/>
        </w:rPr>
      </w:pPr>
      <w:r>
        <w:rPr>
          <w:rFonts w:ascii="Calibri" w:eastAsia="Calibri" w:hAnsi="Calibri" w:hint="cs"/>
          <w:rtl/>
        </w:rPr>
        <w:t>בעולם נהוג שדיבידנד מחולק בהתאם למדיניות רב שנתית, בעוד שרכישה עצמית מבוצע</w:t>
      </w:r>
      <w:r w:rsidR="000F7104">
        <w:rPr>
          <w:rFonts w:ascii="Calibri" w:eastAsia="Calibri" w:hAnsi="Calibri" w:hint="cs"/>
          <w:rtl/>
        </w:rPr>
        <w:t xml:space="preserve">ת </w:t>
      </w:r>
      <w:r w:rsidR="00C31FA3">
        <w:rPr>
          <w:rFonts w:ascii="Calibri" w:eastAsia="Calibri" w:hAnsi="Calibri" w:hint="cs"/>
          <w:rtl/>
        </w:rPr>
        <w:t>ב</w:t>
      </w:r>
      <w:r w:rsidR="000F7104">
        <w:rPr>
          <w:rFonts w:ascii="Calibri" w:eastAsia="Calibri" w:hAnsi="Calibri" w:hint="cs"/>
          <w:rtl/>
        </w:rPr>
        <w:t>שנה מסו</w:t>
      </w:r>
      <w:r>
        <w:rPr>
          <w:rFonts w:ascii="Calibri" w:eastAsia="Calibri" w:hAnsi="Calibri" w:hint="cs"/>
          <w:rtl/>
        </w:rPr>
        <w:t>ימת בהתאם לרווח באותה שנה, ואינה מהווה התחייבות של הבנק לפעולה דומה בהמשך</w:t>
      </w:r>
      <w:r w:rsidR="00F217E7">
        <w:rPr>
          <w:rFonts w:ascii="Calibri" w:eastAsia="Calibri" w:hAnsi="Calibri" w:hint="cs"/>
          <w:rtl/>
        </w:rPr>
        <w:t xml:space="preserve">, כך שהיא מעניקה יותר גמישות בניהול ההון. </w:t>
      </w:r>
    </w:p>
    <w:p w:rsidR="006F1D74" w:rsidRDefault="0046331E" w:rsidP="00277065">
      <w:pPr>
        <w:spacing w:before="120"/>
        <w:rPr>
          <w:rtl/>
        </w:rPr>
      </w:pPr>
      <w:r>
        <w:rPr>
          <w:rFonts w:hint="cs"/>
          <w:rtl/>
        </w:rPr>
        <w:lastRenderedPageBreak/>
        <w:t>רכישה עצמית מבוצעת מרווחי הבנק ולא מכספי המפקידים, בדיוק כשם שחלוקת דיבידנד אינה נעשית מכספי המפקידים.</w:t>
      </w:r>
      <w:r w:rsidR="000F7104">
        <w:rPr>
          <w:rFonts w:hint="cs"/>
          <w:rtl/>
        </w:rPr>
        <w:t xml:space="preserve"> </w:t>
      </w:r>
    </w:p>
    <w:p w:rsidR="006F1D74" w:rsidRPr="00B65741" w:rsidRDefault="006F1D74" w:rsidP="006F1D74">
      <w:pPr>
        <w:pStyle w:val="aa"/>
        <w:spacing w:before="120" w:line="360" w:lineRule="auto"/>
        <w:ind w:left="0"/>
        <w:jc w:val="both"/>
        <w:rPr>
          <w:rFonts w:cs="David"/>
          <w:sz w:val="24"/>
          <w:szCs w:val="24"/>
          <w:rtl/>
        </w:rPr>
      </w:pPr>
      <w:r w:rsidRPr="00B65741">
        <w:rPr>
          <w:rFonts w:cs="David" w:hint="cs"/>
          <w:b/>
          <w:bCs/>
          <w:sz w:val="24"/>
          <w:szCs w:val="24"/>
          <w:rtl/>
        </w:rPr>
        <w:t>בישראל</w:t>
      </w:r>
      <w:r w:rsidRPr="00B65741">
        <w:rPr>
          <w:rFonts w:cs="David"/>
          <w:b/>
          <w:bCs/>
          <w:sz w:val="24"/>
          <w:szCs w:val="24"/>
          <w:rtl/>
        </w:rPr>
        <w:t xml:space="preserve"> רוב מניות הבנקים מוחזקות על-ידי הציבור הרחב</w:t>
      </w:r>
      <w:r w:rsidRPr="00B65741">
        <w:rPr>
          <w:rFonts w:cs="David"/>
          <w:sz w:val="24"/>
          <w:szCs w:val="24"/>
          <w:rtl/>
        </w:rPr>
        <w:t xml:space="preserve"> (למעלה </w:t>
      </w:r>
      <w:r w:rsidRPr="00B65741">
        <w:rPr>
          <w:rFonts w:cs="David" w:hint="cs"/>
          <w:sz w:val="24"/>
          <w:szCs w:val="24"/>
          <w:rtl/>
        </w:rPr>
        <w:t>מ</w:t>
      </w:r>
      <w:r w:rsidRPr="00B65741">
        <w:rPr>
          <w:rFonts w:cs="David"/>
          <w:sz w:val="24"/>
          <w:szCs w:val="24"/>
          <w:rtl/>
        </w:rPr>
        <w:t xml:space="preserve">-80% </w:t>
      </w:r>
      <w:r w:rsidRPr="00B65741">
        <w:rPr>
          <w:rFonts w:cs="David" w:hint="cs"/>
          <w:sz w:val="24"/>
          <w:szCs w:val="24"/>
          <w:rtl/>
        </w:rPr>
        <w:t>ובמגמת</w:t>
      </w:r>
      <w:r w:rsidRPr="00B65741">
        <w:rPr>
          <w:rFonts w:cs="David"/>
          <w:sz w:val="24"/>
          <w:szCs w:val="24"/>
          <w:rtl/>
        </w:rPr>
        <w:t xml:space="preserve"> </w:t>
      </w:r>
      <w:r w:rsidRPr="00B65741">
        <w:rPr>
          <w:rFonts w:cs="David" w:hint="cs"/>
          <w:sz w:val="24"/>
          <w:szCs w:val="24"/>
          <w:rtl/>
        </w:rPr>
        <w:t>עליה</w:t>
      </w:r>
      <w:r w:rsidRPr="00B65741">
        <w:rPr>
          <w:rFonts w:cs="David"/>
          <w:sz w:val="24"/>
          <w:szCs w:val="24"/>
          <w:rtl/>
        </w:rPr>
        <w:t xml:space="preserve">, </w:t>
      </w:r>
      <w:r w:rsidRPr="00B65741">
        <w:rPr>
          <w:rFonts w:cs="David" w:hint="cs"/>
          <w:sz w:val="24"/>
          <w:szCs w:val="24"/>
          <w:rtl/>
        </w:rPr>
        <w:t>על</w:t>
      </w:r>
      <w:r w:rsidRPr="00B65741">
        <w:rPr>
          <w:rFonts w:cs="David"/>
          <w:sz w:val="24"/>
          <w:szCs w:val="24"/>
          <w:rtl/>
        </w:rPr>
        <w:t xml:space="preserve">-רקע </w:t>
      </w:r>
      <w:r w:rsidRPr="00B65741">
        <w:rPr>
          <w:rFonts w:cs="David" w:hint="cs"/>
          <w:sz w:val="24"/>
          <w:szCs w:val="24"/>
          <w:rtl/>
        </w:rPr>
        <w:t>מכירת</w:t>
      </w:r>
      <w:r w:rsidRPr="00B65741">
        <w:rPr>
          <w:rFonts w:cs="David"/>
          <w:sz w:val="24"/>
          <w:szCs w:val="24"/>
          <w:rtl/>
        </w:rPr>
        <w:t xml:space="preserve"> </w:t>
      </w:r>
      <w:r w:rsidRPr="00B65741">
        <w:rPr>
          <w:rFonts w:cs="David" w:hint="cs"/>
          <w:sz w:val="24"/>
          <w:szCs w:val="24"/>
          <w:rtl/>
        </w:rPr>
        <w:t>מניות</w:t>
      </w:r>
      <w:r w:rsidRPr="00B65741">
        <w:rPr>
          <w:rFonts w:cs="David"/>
          <w:sz w:val="24"/>
          <w:szCs w:val="24"/>
          <w:rtl/>
        </w:rPr>
        <w:t xml:space="preserve"> </w:t>
      </w:r>
      <w:r w:rsidRPr="00B65741">
        <w:rPr>
          <w:rFonts w:cs="David" w:hint="cs"/>
          <w:sz w:val="24"/>
          <w:szCs w:val="24"/>
          <w:rtl/>
        </w:rPr>
        <w:t>גרעין</w:t>
      </w:r>
      <w:r w:rsidRPr="00B65741">
        <w:rPr>
          <w:rFonts w:cs="David"/>
          <w:sz w:val="24"/>
          <w:szCs w:val="24"/>
          <w:rtl/>
        </w:rPr>
        <w:t xml:space="preserve"> </w:t>
      </w:r>
      <w:r w:rsidRPr="00B65741">
        <w:rPr>
          <w:rFonts w:cs="David" w:hint="cs"/>
          <w:sz w:val="24"/>
          <w:szCs w:val="24"/>
          <w:rtl/>
        </w:rPr>
        <w:t>השליטה</w:t>
      </w:r>
      <w:r w:rsidRPr="00B65741">
        <w:rPr>
          <w:rFonts w:cs="David"/>
          <w:sz w:val="24"/>
          <w:szCs w:val="24"/>
          <w:rtl/>
        </w:rPr>
        <w:t xml:space="preserve"> </w:t>
      </w:r>
      <w:r w:rsidRPr="00B65741">
        <w:rPr>
          <w:rFonts w:cs="David" w:hint="cs"/>
          <w:sz w:val="24"/>
          <w:szCs w:val="24"/>
          <w:rtl/>
        </w:rPr>
        <w:t>בבנק</w:t>
      </w:r>
      <w:r w:rsidRPr="00B65741">
        <w:rPr>
          <w:rFonts w:cs="David"/>
          <w:sz w:val="24"/>
          <w:szCs w:val="24"/>
          <w:rtl/>
        </w:rPr>
        <w:t xml:space="preserve"> </w:t>
      </w:r>
      <w:r w:rsidRPr="00B65741">
        <w:rPr>
          <w:rFonts w:cs="David" w:hint="cs"/>
          <w:sz w:val="24"/>
          <w:szCs w:val="24"/>
          <w:rtl/>
        </w:rPr>
        <w:t>הפועלים</w:t>
      </w:r>
      <w:r w:rsidRPr="00B65741">
        <w:rPr>
          <w:rFonts w:cs="David"/>
          <w:sz w:val="24"/>
          <w:szCs w:val="24"/>
          <w:rtl/>
        </w:rPr>
        <w:t>).</w:t>
      </w:r>
      <w:r w:rsidRPr="00B65741">
        <w:rPr>
          <w:rFonts w:cs="David" w:hint="cs"/>
          <w:sz w:val="24"/>
          <w:szCs w:val="24"/>
          <w:rtl/>
        </w:rPr>
        <w:t xml:space="preserve"> לכן בעלי מניות הבנקים שנהנים מדיבידנדים וי</w:t>
      </w:r>
      <w:r>
        <w:rPr>
          <w:rFonts w:cs="David" w:hint="cs"/>
          <w:sz w:val="24"/>
          <w:szCs w:val="24"/>
          <w:rtl/>
        </w:rPr>
        <w:t>י</w:t>
      </w:r>
      <w:r w:rsidRPr="00B65741">
        <w:rPr>
          <w:rFonts w:cs="David" w:hint="cs"/>
          <w:sz w:val="24"/>
          <w:szCs w:val="24"/>
          <w:rtl/>
        </w:rPr>
        <w:t xml:space="preserve">הנו מרכישה עצמית הם </w:t>
      </w:r>
      <w:r w:rsidR="006D2841">
        <w:rPr>
          <w:rFonts w:cs="David" w:hint="cs"/>
          <w:sz w:val="24"/>
          <w:szCs w:val="24"/>
          <w:rtl/>
        </w:rPr>
        <w:t xml:space="preserve">בעיקר </w:t>
      </w:r>
      <w:r w:rsidRPr="00B65741">
        <w:rPr>
          <w:rFonts w:cs="David" w:hint="cs"/>
          <w:sz w:val="24"/>
          <w:szCs w:val="24"/>
          <w:rtl/>
        </w:rPr>
        <w:t xml:space="preserve">הציבור הרחב (באופן ישיר </w:t>
      </w:r>
      <w:r>
        <w:rPr>
          <w:rFonts w:cs="David" w:hint="cs"/>
          <w:sz w:val="24"/>
          <w:szCs w:val="24"/>
          <w:rtl/>
        </w:rPr>
        <w:t>ו</w:t>
      </w:r>
      <w:r w:rsidRPr="00B65741">
        <w:rPr>
          <w:rFonts w:cs="David" w:hint="cs"/>
          <w:sz w:val="24"/>
          <w:szCs w:val="24"/>
          <w:rtl/>
        </w:rPr>
        <w:t xml:space="preserve">דרך האחזקות של גופי הפנסיה). </w:t>
      </w:r>
    </w:p>
    <w:p w:rsidR="0046331E" w:rsidRDefault="0046331E" w:rsidP="000B5951">
      <w:pPr>
        <w:spacing w:before="120"/>
        <w:rPr>
          <w:rFonts w:ascii="Calibri" w:eastAsia="Calibri" w:hAnsi="Calibri"/>
          <w:rtl/>
        </w:rPr>
      </w:pPr>
    </w:p>
    <w:p w:rsidR="00AC4857" w:rsidRDefault="00AC4857" w:rsidP="007B7E90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  <w:r>
        <w:rPr>
          <w:rFonts w:ascii="Calibri" w:eastAsia="Calibri" w:hAnsi="Calibri" w:hint="cs"/>
          <w:b/>
          <w:bCs/>
          <w:sz w:val="28"/>
          <w:szCs w:val="28"/>
          <w:rtl/>
        </w:rPr>
        <w:t xml:space="preserve">רכישה עצמית </w:t>
      </w:r>
      <w:r w:rsidR="00A4069F">
        <w:rPr>
          <w:rFonts w:ascii="Calibri" w:eastAsia="Calibri" w:hAnsi="Calibri" w:hint="cs"/>
          <w:b/>
          <w:bCs/>
          <w:sz w:val="28"/>
          <w:szCs w:val="28"/>
          <w:rtl/>
        </w:rPr>
        <w:t xml:space="preserve">של מניות </w:t>
      </w:r>
      <w:r>
        <w:rPr>
          <w:rFonts w:ascii="Calibri" w:eastAsia="Calibri" w:hAnsi="Calibri" w:hint="cs"/>
          <w:b/>
          <w:bCs/>
          <w:sz w:val="28"/>
          <w:szCs w:val="28"/>
          <w:rtl/>
        </w:rPr>
        <w:t>על-ידי בנקים בעולם</w:t>
      </w:r>
    </w:p>
    <w:p w:rsidR="00AC4857" w:rsidRPr="00277065" w:rsidRDefault="00AC4857" w:rsidP="00786457">
      <w:pPr>
        <w:spacing w:before="120"/>
      </w:pPr>
      <w:r w:rsidRPr="00277065">
        <w:rPr>
          <w:rFonts w:hint="cs"/>
          <w:b/>
          <w:bCs/>
          <w:rtl/>
        </w:rPr>
        <w:t>בבדיקה שערך הפיקוח על הבנקים לא נמצאה מדינה מפותחת שבה יש איסור על רכישה עצמית של מניות על-ידי בנקים</w:t>
      </w:r>
      <w:r w:rsidR="00F3697E">
        <w:rPr>
          <w:rFonts w:hint="cs"/>
          <w:b/>
          <w:bCs/>
          <w:rtl/>
        </w:rPr>
        <w:t>.</w:t>
      </w:r>
      <w:r w:rsidR="00167028">
        <w:rPr>
          <w:rFonts w:hint="cs"/>
          <w:b/>
          <w:bCs/>
          <w:rtl/>
        </w:rPr>
        <w:t xml:space="preserve"> </w:t>
      </w:r>
      <w:r w:rsidR="00711826">
        <w:rPr>
          <w:rFonts w:hint="cs"/>
          <w:b/>
          <w:bCs/>
          <w:rtl/>
        </w:rPr>
        <w:t>נה</w:t>
      </w:r>
      <w:r w:rsidR="00167028">
        <w:rPr>
          <w:rFonts w:hint="cs"/>
          <w:b/>
          <w:bCs/>
          <w:rtl/>
        </w:rPr>
        <w:t xml:space="preserve">פוך הוא, רכישה עצמית </w:t>
      </w:r>
      <w:r w:rsidRPr="00277065">
        <w:rPr>
          <w:rFonts w:hint="cs"/>
          <w:b/>
          <w:bCs/>
          <w:rtl/>
        </w:rPr>
        <w:t>מהווה כלי מקובל במדינות רבות</w:t>
      </w:r>
      <w:r w:rsidRPr="00277065">
        <w:rPr>
          <w:rFonts w:hint="cs"/>
          <w:rtl/>
        </w:rPr>
        <w:t xml:space="preserve">. </w:t>
      </w:r>
      <w:r w:rsidRPr="00786457">
        <w:rPr>
          <w:rFonts w:hint="cs"/>
          <w:rtl/>
        </w:rPr>
        <w:t xml:space="preserve">הבנקים הגדולים בארה"ב מבצעים רכישה עצמית של מניות בהיקף </w:t>
      </w:r>
      <w:r w:rsidR="00786457">
        <w:rPr>
          <w:rFonts w:hint="cs"/>
          <w:rtl/>
        </w:rPr>
        <w:t>לא מבוטל</w:t>
      </w:r>
      <w:r w:rsidR="00B54A6F">
        <w:rPr>
          <w:rFonts w:hint="cs"/>
          <w:rtl/>
        </w:rPr>
        <w:t xml:space="preserve"> מהונם העצמי</w:t>
      </w:r>
      <w:r w:rsidR="00277065" w:rsidRPr="00786457">
        <w:rPr>
          <w:rFonts w:hint="cs"/>
          <w:rtl/>
        </w:rPr>
        <w:t>, גם לאחר המשבר הפיננסי</w:t>
      </w:r>
      <w:r w:rsidRPr="00786457">
        <w:rPr>
          <w:rFonts w:hint="cs"/>
          <w:rtl/>
        </w:rPr>
        <w:t>, והרכישה העצמית יותר שכיחה מאשר חלוקת דיבידנד ככלי להעברת רווחים לבעלי המניות (איור 1).</w:t>
      </w:r>
      <w:r w:rsidRPr="00277065">
        <w:rPr>
          <w:rFonts w:hint="cs"/>
          <w:rtl/>
        </w:rPr>
        <w:t xml:space="preserve"> </w:t>
      </w:r>
      <w:r w:rsidRPr="00277065">
        <w:rPr>
          <w:rFonts w:hint="cs"/>
          <w:b/>
          <w:bCs/>
          <w:rtl/>
        </w:rPr>
        <w:t xml:space="preserve"> </w:t>
      </w:r>
    </w:p>
    <w:p w:rsidR="00277065" w:rsidRDefault="00277065" w:rsidP="00277065">
      <w:pPr>
        <w:tabs>
          <w:tab w:val="left" w:pos="284"/>
        </w:tabs>
        <w:spacing w:before="120"/>
        <w:contextualSpacing/>
        <w:rPr>
          <w:b/>
          <w:bCs/>
          <w:rtl/>
        </w:rPr>
      </w:pPr>
    </w:p>
    <w:p w:rsidR="00B22A48" w:rsidRDefault="00AC4857" w:rsidP="00B22A48">
      <w:pPr>
        <w:tabs>
          <w:tab w:val="left" w:pos="284"/>
        </w:tabs>
        <w:spacing w:before="120"/>
        <w:contextualSpacing/>
        <w:rPr>
          <w:rtl/>
        </w:rPr>
      </w:pPr>
      <w:r w:rsidRPr="00277065">
        <w:rPr>
          <w:rFonts w:hint="cs"/>
          <w:b/>
          <w:bCs/>
          <w:rtl/>
        </w:rPr>
        <w:t>במספר מדינות ש</w:t>
      </w:r>
      <w:r w:rsidR="006D2841">
        <w:rPr>
          <w:rFonts w:hint="cs"/>
          <w:b/>
          <w:bCs/>
          <w:rtl/>
        </w:rPr>
        <w:t xml:space="preserve">בהן </w:t>
      </w:r>
      <w:r w:rsidRPr="00277065">
        <w:rPr>
          <w:rFonts w:hint="cs"/>
          <w:b/>
          <w:bCs/>
          <w:rtl/>
        </w:rPr>
        <w:t xml:space="preserve">בעבר הרכישה העצמית היתה אסורה </w:t>
      </w:r>
      <w:r w:rsidR="00405475" w:rsidRPr="00E160CB">
        <w:rPr>
          <w:rFonts w:hint="cs"/>
          <w:b/>
          <w:bCs/>
          <w:rtl/>
        </w:rPr>
        <w:t>על חברות (לרבות בנקים)</w:t>
      </w:r>
      <w:r w:rsidR="00405475">
        <w:rPr>
          <w:rFonts w:hint="cs"/>
          <w:b/>
          <w:bCs/>
          <w:rtl/>
        </w:rPr>
        <w:t xml:space="preserve"> </w:t>
      </w:r>
      <w:r w:rsidR="00277065">
        <w:rPr>
          <w:rFonts w:hint="cs"/>
          <w:b/>
          <w:bCs/>
          <w:rtl/>
        </w:rPr>
        <w:t xml:space="preserve">היא </w:t>
      </w:r>
      <w:r w:rsidRPr="00277065">
        <w:rPr>
          <w:rFonts w:hint="cs"/>
          <w:b/>
          <w:bCs/>
          <w:rtl/>
        </w:rPr>
        <w:t>מ</w:t>
      </w:r>
      <w:r w:rsidR="00277065">
        <w:rPr>
          <w:rFonts w:hint="cs"/>
          <w:b/>
          <w:bCs/>
          <w:rtl/>
        </w:rPr>
        <w:t xml:space="preserve">ותרת </w:t>
      </w:r>
      <w:r w:rsidRPr="00277065">
        <w:rPr>
          <w:rFonts w:hint="cs"/>
          <w:b/>
          <w:bCs/>
          <w:rtl/>
        </w:rPr>
        <w:t>כיום</w:t>
      </w:r>
      <w:r w:rsidRPr="00277065">
        <w:rPr>
          <w:rFonts w:hint="cs"/>
          <w:rtl/>
        </w:rPr>
        <w:t xml:space="preserve">. באירופה הדבר הותר כבר לפני כשני עשורים. </w:t>
      </w:r>
      <w:r w:rsidR="00B22A48" w:rsidRPr="00277065">
        <w:rPr>
          <w:rFonts w:hint="cs"/>
          <w:rtl/>
        </w:rPr>
        <w:t>באנגליה</w:t>
      </w:r>
      <w:r w:rsidR="00B22A48">
        <w:rPr>
          <w:rFonts w:hint="cs"/>
          <w:rtl/>
        </w:rPr>
        <w:t>,</w:t>
      </w:r>
      <w:r w:rsidR="00B22A48" w:rsidRPr="00277065">
        <w:rPr>
          <w:rFonts w:hint="cs"/>
          <w:rtl/>
        </w:rPr>
        <w:t xml:space="preserve"> שבה חל איסור מוחלט על רכישה עצמית עד שנת 2006, תוקן חוק החברות כך שמתאפשר ביצוע רכישה עצמית,</w:t>
      </w:r>
      <w:r w:rsidR="00B22A48" w:rsidRPr="00277065">
        <w:rPr>
          <w:rFonts w:hint="cs"/>
          <w:b/>
          <w:bCs/>
          <w:rtl/>
        </w:rPr>
        <w:t xml:space="preserve"> </w:t>
      </w:r>
      <w:r w:rsidR="00B22A48" w:rsidRPr="00277065">
        <w:rPr>
          <w:rFonts w:hint="cs"/>
          <w:rtl/>
        </w:rPr>
        <w:t>בכפוף למגבלות מסוימות.</w:t>
      </w:r>
    </w:p>
    <w:p w:rsidR="00EA2740" w:rsidRPr="00277065" w:rsidRDefault="00B22A48" w:rsidP="006D2841">
      <w:pPr>
        <w:tabs>
          <w:tab w:val="left" w:pos="284"/>
        </w:tabs>
        <w:spacing w:before="120"/>
        <w:contextualSpacing/>
      </w:pPr>
      <w:r>
        <w:rPr>
          <w:rFonts w:hint="cs"/>
          <w:rtl/>
        </w:rPr>
        <w:t>מבדיק</w:t>
      </w:r>
      <w:r w:rsidR="0094270B">
        <w:rPr>
          <w:rFonts w:hint="cs"/>
          <w:rtl/>
        </w:rPr>
        <w:t>ת הפיקוח</w:t>
      </w:r>
      <w:r w:rsidR="00AC4857" w:rsidRPr="00277065">
        <w:rPr>
          <w:rFonts w:hint="cs"/>
          <w:rtl/>
        </w:rPr>
        <w:t xml:space="preserve"> עולה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כי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השכיחות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של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רכישות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עצמיות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בקרב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בנקים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בארה</w:t>
      </w:r>
      <w:r w:rsidR="00AC4857" w:rsidRPr="00277065">
        <w:rPr>
          <w:rtl/>
        </w:rPr>
        <w:t>"</w:t>
      </w:r>
      <w:r w:rsidR="00AC4857" w:rsidRPr="00277065">
        <w:rPr>
          <w:rFonts w:hint="cs"/>
          <w:rtl/>
        </w:rPr>
        <w:t>ב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גבוהה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בהשוואה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לשאר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המדינות</w:t>
      </w:r>
      <w:r w:rsidR="006D2841">
        <w:rPr>
          <w:rFonts w:hint="cs"/>
          <w:rtl/>
        </w:rPr>
        <w:t>:</w:t>
      </w:r>
      <w:r w:rsidR="00AC4857" w:rsidRPr="00277065">
        <w:rPr>
          <w:rtl/>
        </w:rPr>
        <w:t xml:space="preserve"> 72%</w:t>
      </w:r>
      <w:r w:rsidR="00AC4857" w:rsidRPr="00277065">
        <w:t xml:space="preserve"> </w:t>
      </w:r>
      <w:r w:rsidR="00AC4857" w:rsidRPr="00277065">
        <w:rPr>
          <w:rFonts w:hint="cs"/>
          <w:rtl/>
        </w:rPr>
        <w:t>מהבנקים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במדד</w:t>
      </w:r>
      <w:r w:rsidR="00AC4857" w:rsidRPr="00277065">
        <w:rPr>
          <w:rtl/>
        </w:rPr>
        <w:t xml:space="preserve"> </w:t>
      </w:r>
      <w:r w:rsidR="00AC4857" w:rsidRPr="00277065">
        <w:t>KBW</w:t>
      </w:r>
      <w:r w:rsidR="00DC0DB7">
        <w:t xml:space="preserve"> Bank</w:t>
      </w:r>
      <w:r w:rsidR="00AC4857" w:rsidRPr="00277065">
        <w:rPr>
          <w:rtl/>
        </w:rPr>
        <w:t xml:space="preserve"> </w:t>
      </w:r>
      <w:r w:rsidR="00AC38E8">
        <w:rPr>
          <w:rFonts w:hint="cs"/>
          <w:rtl/>
        </w:rPr>
        <w:t xml:space="preserve">(מדד המורכב מ-24 מניות בנקים </w:t>
      </w:r>
      <w:r w:rsidR="00A1464D">
        <w:rPr>
          <w:rFonts w:hint="cs"/>
          <w:rtl/>
        </w:rPr>
        <w:t>מוביל</w:t>
      </w:r>
      <w:r w:rsidR="00AC38E8">
        <w:rPr>
          <w:rFonts w:hint="cs"/>
          <w:rtl/>
        </w:rPr>
        <w:t>ים</w:t>
      </w:r>
      <w:r w:rsidR="00A1464D">
        <w:rPr>
          <w:rFonts w:hint="cs"/>
          <w:rtl/>
        </w:rPr>
        <w:t xml:space="preserve"> בארה"ב</w:t>
      </w:r>
      <w:r w:rsidR="00AC38E8">
        <w:rPr>
          <w:rFonts w:hint="cs"/>
          <w:rtl/>
        </w:rPr>
        <w:t xml:space="preserve">) </w:t>
      </w:r>
      <w:r w:rsidR="00AC4857" w:rsidRPr="00277065">
        <w:rPr>
          <w:rFonts w:hint="cs"/>
          <w:rtl/>
        </w:rPr>
        <w:t>ו</w:t>
      </w:r>
      <w:r w:rsidR="00AC4857" w:rsidRPr="00277065">
        <w:rPr>
          <w:rtl/>
        </w:rPr>
        <w:t xml:space="preserve">-45% </w:t>
      </w:r>
      <w:r w:rsidR="00AC4857" w:rsidRPr="00277065">
        <w:rPr>
          <w:rFonts w:hint="cs"/>
          <w:rtl/>
        </w:rPr>
        <w:t>מהבנקים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במדד</w:t>
      </w:r>
      <w:r w:rsidR="00AC4857" w:rsidRPr="00277065">
        <w:rPr>
          <w:rtl/>
        </w:rPr>
        <w:t xml:space="preserve"> </w:t>
      </w:r>
      <w:r w:rsidR="00AC4857" w:rsidRPr="00277065">
        <w:t>D</w:t>
      </w:r>
      <w:r>
        <w:t>ow</w:t>
      </w:r>
      <w:r w:rsidR="0094270B">
        <w:t xml:space="preserve"> </w:t>
      </w:r>
      <w:r w:rsidR="00AC4857" w:rsidRPr="00277065">
        <w:t>J</w:t>
      </w:r>
      <w:r>
        <w:t>ones</w:t>
      </w:r>
      <w:r w:rsidR="00AC4857" w:rsidRPr="00277065">
        <w:t xml:space="preserve"> Banks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ביצעו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רכישות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עצמיות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במהלך</w:t>
      </w:r>
      <w:r w:rsidR="00AC4857" w:rsidRPr="00277065">
        <w:rPr>
          <w:rtl/>
        </w:rPr>
        <w:t xml:space="preserve"> 2017,</w:t>
      </w:r>
      <w:r w:rsidR="00AC4857" w:rsidRPr="00277065">
        <w:rPr>
          <w:rFonts w:hint="cs"/>
          <w:rtl/>
        </w:rPr>
        <w:t xml:space="preserve"> לעומת</w:t>
      </w:r>
      <w:r w:rsidR="00AC4857" w:rsidRPr="00277065">
        <w:rPr>
          <w:rtl/>
        </w:rPr>
        <w:t xml:space="preserve"> 42% </w:t>
      </w:r>
      <w:r w:rsidR="00AC4857" w:rsidRPr="00277065">
        <w:rPr>
          <w:rFonts w:hint="cs"/>
          <w:rtl/>
        </w:rPr>
        <w:t>מהבנקים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באנגליה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ושיעור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הנע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בין</w:t>
      </w:r>
      <w:r w:rsidR="00AC4857" w:rsidRPr="00277065">
        <w:rPr>
          <w:rtl/>
        </w:rPr>
        <w:t xml:space="preserve"> 13% </w:t>
      </w:r>
      <w:r w:rsidR="00AC4857" w:rsidRPr="00277065">
        <w:rPr>
          <w:rFonts w:hint="cs"/>
          <w:rtl/>
        </w:rPr>
        <w:t>ל</w:t>
      </w:r>
      <w:r w:rsidR="00AC4857" w:rsidRPr="00277065">
        <w:rPr>
          <w:rtl/>
        </w:rPr>
        <w:t xml:space="preserve">-25% </w:t>
      </w:r>
      <w:r w:rsidR="00AC4857" w:rsidRPr="00277065">
        <w:rPr>
          <w:rFonts w:hint="cs"/>
          <w:rtl/>
        </w:rPr>
        <w:t>ביפן</w:t>
      </w:r>
      <w:r w:rsidR="00AC4857" w:rsidRPr="00277065">
        <w:rPr>
          <w:rtl/>
        </w:rPr>
        <w:t xml:space="preserve">, </w:t>
      </w:r>
      <w:r w:rsidR="00AC4857" w:rsidRPr="00277065">
        <w:rPr>
          <w:rFonts w:hint="cs"/>
          <w:rtl/>
        </w:rPr>
        <w:t>אירופה</w:t>
      </w:r>
      <w:r w:rsidR="00AC4857" w:rsidRPr="00277065">
        <w:rPr>
          <w:rtl/>
        </w:rPr>
        <w:t xml:space="preserve">, </w:t>
      </w:r>
      <w:r w:rsidR="00AC4857" w:rsidRPr="00277065">
        <w:rPr>
          <w:rFonts w:hint="cs"/>
          <w:rtl/>
        </w:rPr>
        <w:t>סין</w:t>
      </w:r>
      <w:r w:rsidR="00AC4857" w:rsidRPr="00277065">
        <w:rPr>
          <w:rtl/>
        </w:rPr>
        <w:t xml:space="preserve"> </w:t>
      </w:r>
      <w:r w:rsidR="00AC4857" w:rsidRPr="00277065">
        <w:rPr>
          <w:rFonts w:hint="cs"/>
          <w:rtl/>
        </w:rPr>
        <w:t>ואוסטרליה</w:t>
      </w:r>
      <w:r w:rsidR="00EA2740" w:rsidRPr="00277065">
        <w:rPr>
          <w:rFonts w:hint="cs"/>
          <w:rtl/>
        </w:rPr>
        <w:t xml:space="preserve"> (איור 2)</w:t>
      </w:r>
      <w:r w:rsidR="00AC4857" w:rsidRPr="00277065">
        <w:rPr>
          <w:rtl/>
        </w:rPr>
        <w:t>.</w:t>
      </w:r>
      <w:r w:rsidR="00AC4857" w:rsidRPr="00277065">
        <w:rPr>
          <w:rFonts w:hint="cs"/>
          <w:rtl/>
        </w:rPr>
        <w:t xml:space="preserve"> </w:t>
      </w:r>
    </w:p>
    <w:p w:rsidR="00277065" w:rsidRDefault="00277065" w:rsidP="00277065">
      <w:pPr>
        <w:tabs>
          <w:tab w:val="left" w:pos="284"/>
        </w:tabs>
        <w:spacing w:before="120"/>
        <w:contextualSpacing/>
        <w:rPr>
          <w:b/>
          <w:bCs/>
          <w:rtl/>
        </w:rPr>
      </w:pPr>
    </w:p>
    <w:p w:rsidR="00AC4857" w:rsidRPr="00277065" w:rsidRDefault="00AC4857" w:rsidP="00721BF6">
      <w:pPr>
        <w:tabs>
          <w:tab w:val="left" w:pos="284"/>
        </w:tabs>
        <w:spacing w:before="120"/>
        <w:contextualSpacing/>
        <w:rPr>
          <w:b/>
          <w:bCs/>
        </w:rPr>
      </w:pPr>
      <w:r w:rsidRPr="00277065">
        <w:rPr>
          <w:rFonts w:hint="cs"/>
          <w:b/>
          <w:bCs/>
          <w:rtl/>
        </w:rPr>
        <w:t>בקרב</w:t>
      </w:r>
      <w:r w:rsidRPr="00277065">
        <w:rPr>
          <w:b/>
          <w:bCs/>
          <w:rtl/>
        </w:rPr>
        <w:t xml:space="preserve"> </w:t>
      </w:r>
      <w:r w:rsidRPr="00277065">
        <w:rPr>
          <w:rFonts w:hint="cs"/>
          <w:b/>
          <w:bCs/>
          <w:rtl/>
        </w:rPr>
        <w:t>בנקים</w:t>
      </w:r>
      <w:r w:rsidRPr="00277065">
        <w:rPr>
          <w:b/>
          <w:bCs/>
          <w:rtl/>
        </w:rPr>
        <w:t xml:space="preserve"> </w:t>
      </w:r>
      <w:r w:rsidR="00BC6DA1">
        <w:rPr>
          <w:rFonts w:hint="cs"/>
          <w:b/>
          <w:bCs/>
          <w:rtl/>
        </w:rPr>
        <w:t>מובילים</w:t>
      </w:r>
      <w:r w:rsidR="00BC6DA1" w:rsidRPr="00277065">
        <w:rPr>
          <w:b/>
          <w:bCs/>
          <w:rtl/>
        </w:rPr>
        <w:t xml:space="preserve"> </w:t>
      </w:r>
      <w:r w:rsidRPr="00277065">
        <w:rPr>
          <w:rFonts w:hint="cs"/>
          <w:b/>
          <w:bCs/>
          <w:rtl/>
        </w:rPr>
        <w:t>בארה</w:t>
      </w:r>
      <w:r w:rsidRPr="00277065">
        <w:rPr>
          <w:b/>
          <w:bCs/>
          <w:rtl/>
        </w:rPr>
        <w:t>"</w:t>
      </w:r>
      <w:r w:rsidRPr="00277065">
        <w:rPr>
          <w:rFonts w:hint="cs"/>
          <w:b/>
          <w:bCs/>
          <w:rtl/>
        </w:rPr>
        <w:t>ב</w:t>
      </w:r>
      <w:r w:rsidRPr="00277065">
        <w:rPr>
          <w:b/>
          <w:bCs/>
          <w:rtl/>
        </w:rPr>
        <w:t xml:space="preserve"> (</w:t>
      </w:r>
      <w:r w:rsidRPr="00277065">
        <w:rPr>
          <w:rFonts w:hint="cs"/>
          <w:b/>
          <w:bCs/>
          <w:rtl/>
        </w:rPr>
        <w:t>מדד</w:t>
      </w:r>
      <w:r w:rsidRPr="00277065">
        <w:rPr>
          <w:b/>
          <w:bCs/>
          <w:rtl/>
        </w:rPr>
        <w:t xml:space="preserve"> </w:t>
      </w:r>
      <w:r w:rsidRPr="00277065">
        <w:rPr>
          <w:b/>
          <w:bCs/>
        </w:rPr>
        <w:t>KBW</w:t>
      </w:r>
      <w:r w:rsidR="00DC0DB7">
        <w:rPr>
          <w:b/>
          <w:bCs/>
        </w:rPr>
        <w:t xml:space="preserve"> Bank</w:t>
      </w:r>
      <w:r w:rsidRPr="00277065">
        <w:rPr>
          <w:b/>
          <w:bCs/>
          <w:rtl/>
        </w:rPr>
        <w:t xml:space="preserve">) </w:t>
      </w:r>
      <w:r w:rsidRPr="00277065">
        <w:rPr>
          <w:rFonts w:hint="cs"/>
          <w:b/>
          <w:bCs/>
          <w:rtl/>
        </w:rPr>
        <w:t>השיעור</w:t>
      </w:r>
      <w:r w:rsidRPr="00277065">
        <w:rPr>
          <w:b/>
          <w:bCs/>
          <w:rtl/>
        </w:rPr>
        <w:t xml:space="preserve"> </w:t>
      </w:r>
      <w:r w:rsidRPr="00277065">
        <w:rPr>
          <w:rFonts w:hint="cs"/>
          <w:b/>
          <w:bCs/>
          <w:rtl/>
        </w:rPr>
        <w:t>החציוני</w:t>
      </w:r>
      <w:r w:rsidRPr="00277065">
        <w:rPr>
          <w:b/>
          <w:bCs/>
          <w:rtl/>
        </w:rPr>
        <w:t xml:space="preserve"> </w:t>
      </w:r>
      <w:r w:rsidRPr="00277065">
        <w:rPr>
          <w:rFonts w:hint="cs"/>
          <w:b/>
          <w:bCs/>
          <w:rtl/>
        </w:rPr>
        <w:t>של</w:t>
      </w:r>
      <w:r w:rsidRPr="00277065">
        <w:rPr>
          <w:b/>
          <w:bCs/>
          <w:rtl/>
        </w:rPr>
        <w:t xml:space="preserve"> </w:t>
      </w:r>
      <w:r w:rsidRPr="00277065">
        <w:rPr>
          <w:rFonts w:hint="cs"/>
          <w:b/>
          <w:bCs/>
          <w:rtl/>
        </w:rPr>
        <w:t>הרכישות</w:t>
      </w:r>
      <w:r w:rsidRPr="00277065">
        <w:rPr>
          <w:b/>
          <w:bCs/>
          <w:rtl/>
        </w:rPr>
        <w:t xml:space="preserve"> </w:t>
      </w:r>
      <w:r w:rsidRPr="00277065">
        <w:rPr>
          <w:rFonts w:hint="cs"/>
          <w:b/>
          <w:bCs/>
          <w:rtl/>
        </w:rPr>
        <w:t>העצמיות</w:t>
      </w:r>
      <w:r w:rsidRPr="00277065">
        <w:rPr>
          <w:b/>
          <w:bCs/>
          <w:rtl/>
        </w:rPr>
        <w:t xml:space="preserve"> </w:t>
      </w:r>
      <w:r w:rsidRPr="00277065">
        <w:rPr>
          <w:rFonts w:hint="cs"/>
          <w:b/>
          <w:bCs/>
          <w:rtl/>
        </w:rPr>
        <w:t>הגיע</w:t>
      </w:r>
      <w:r w:rsidRPr="00277065">
        <w:rPr>
          <w:b/>
          <w:bCs/>
          <w:rtl/>
        </w:rPr>
        <w:t xml:space="preserve"> </w:t>
      </w:r>
      <w:r w:rsidR="00952ACA">
        <w:rPr>
          <w:rFonts w:hint="cs"/>
          <w:b/>
          <w:bCs/>
          <w:rtl/>
        </w:rPr>
        <w:t>בשנים האחרונות ל</w:t>
      </w:r>
      <w:r w:rsidRPr="00277065">
        <w:rPr>
          <w:rFonts w:hint="cs"/>
          <w:b/>
          <w:bCs/>
          <w:rtl/>
        </w:rPr>
        <w:t>קרוב</w:t>
      </w:r>
      <w:r w:rsidRPr="00277065">
        <w:rPr>
          <w:b/>
          <w:bCs/>
          <w:rtl/>
        </w:rPr>
        <w:t xml:space="preserve"> </w:t>
      </w:r>
      <w:r w:rsidRPr="00277065">
        <w:rPr>
          <w:rFonts w:hint="cs"/>
          <w:b/>
          <w:bCs/>
          <w:rtl/>
        </w:rPr>
        <w:t>ל</w:t>
      </w:r>
      <w:r w:rsidRPr="00277065">
        <w:rPr>
          <w:b/>
          <w:bCs/>
          <w:rtl/>
        </w:rPr>
        <w:t>-60%</w:t>
      </w:r>
      <w:r w:rsidRPr="00277065">
        <w:rPr>
          <w:rFonts w:hint="cs"/>
          <w:b/>
          <w:bCs/>
          <w:rtl/>
        </w:rPr>
        <w:t xml:space="preserve"> מהרווח השנתי</w:t>
      </w:r>
      <w:r w:rsidR="00DC0DB7">
        <w:rPr>
          <w:rFonts w:hint="cs"/>
          <w:b/>
          <w:bCs/>
          <w:rtl/>
        </w:rPr>
        <w:t xml:space="preserve"> ולכ-5% מההון העצמי</w:t>
      </w:r>
      <w:r w:rsidRPr="00277065">
        <w:rPr>
          <w:b/>
          <w:bCs/>
          <w:rtl/>
        </w:rPr>
        <w:t>.</w:t>
      </w:r>
      <w:r w:rsidRPr="00277065">
        <w:rPr>
          <w:rFonts w:hint="cs"/>
          <w:b/>
          <w:bCs/>
          <w:rtl/>
        </w:rPr>
        <w:t xml:space="preserve"> </w:t>
      </w:r>
    </w:p>
    <w:p w:rsidR="00277065" w:rsidRDefault="00277065" w:rsidP="00277065">
      <w:pPr>
        <w:tabs>
          <w:tab w:val="left" w:pos="284"/>
        </w:tabs>
        <w:contextualSpacing/>
        <w:rPr>
          <w:rtl/>
        </w:rPr>
      </w:pPr>
    </w:p>
    <w:p w:rsidR="00AC4857" w:rsidRPr="00277065" w:rsidRDefault="00AC4857" w:rsidP="00721BF6">
      <w:pPr>
        <w:tabs>
          <w:tab w:val="left" w:pos="284"/>
        </w:tabs>
        <w:contextualSpacing/>
      </w:pPr>
      <w:r w:rsidRPr="00277065">
        <w:rPr>
          <w:rFonts w:hint="cs"/>
          <w:rtl/>
        </w:rPr>
        <w:t>מבחינה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של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התפתחות</w:t>
      </w:r>
      <w:r w:rsidRPr="00277065">
        <w:rPr>
          <w:rtl/>
        </w:rPr>
        <w:t xml:space="preserve"> </w:t>
      </w:r>
      <w:r w:rsidR="006D2841">
        <w:rPr>
          <w:rFonts w:hint="cs"/>
          <w:rtl/>
        </w:rPr>
        <w:t>ה</w:t>
      </w:r>
      <w:r w:rsidRPr="00277065">
        <w:rPr>
          <w:rFonts w:hint="cs"/>
          <w:rtl/>
        </w:rPr>
        <w:t>רכישות</w:t>
      </w:r>
      <w:r w:rsidRPr="00277065">
        <w:rPr>
          <w:rtl/>
        </w:rPr>
        <w:t xml:space="preserve"> </w:t>
      </w:r>
      <w:r w:rsidR="006D2841">
        <w:rPr>
          <w:rFonts w:hint="cs"/>
          <w:rtl/>
        </w:rPr>
        <w:t>ה</w:t>
      </w:r>
      <w:r w:rsidRPr="00277065">
        <w:rPr>
          <w:rFonts w:hint="cs"/>
          <w:rtl/>
        </w:rPr>
        <w:t>עצמיות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של בנקים בעולם לאורך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זמן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ניתן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לראות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ירידה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משמעותית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ברכישות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העצמיות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בתקופ</w:t>
      </w:r>
      <w:r w:rsidR="006D2841">
        <w:rPr>
          <w:rFonts w:hint="cs"/>
          <w:rtl/>
        </w:rPr>
        <w:t>ת ה</w:t>
      </w:r>
      <w:r w:rsidRPr="00277065">
        <w:rPr>
          <w:rFonts w:hint="cs"/>
          <w:rtl/>
        </w:rPr>
        <w:t>משבר</w:t>
      </w:r>
      <w:r w:rsidR="00B22A48">
        <w:rPr>
          <w:rFonts w:hint="cs"/>
          <w:rtl/>
        </w:rPr>
        <w:t xml:space="preserve"> העולמי של</w:t>
      </w:r>
      <w:r w:rsidR="0094270B">
        <w:rPr>
          <w:rFonts w:hint="cs"/>
          <w:rtl/>
        </w:rPr>
        <w:t xml:space="preserve"> 2008</w:t>
      </w:r>
      <w:r w:rsidR="00952ACA">
        <w:rPr>
          <w:rFonts w:hint="cs"/>
          <w:rtl/>
        </w:rPr>
        <w:t xml:space="preserve"> ומעט אחריו</w:t>
      </w:r>
      <w:r w:rsidRPr="00277065">
        <w:rPr>
          <w:rtl/>
        </w:rPr>
        <w:t xml:space="preserve">, </w:t>
      </w:r>
      <w:r w:rsidRPr="00277065">
        <w:rPr>
          <w:rFonts w:hint="cs"/>
          <w:rtl/>
        </w:rPr>
        <w:t>אך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מתחילת</w:t>
      </w:r>
      <w:r w:rsidR="00757A90">
        <w:rPr>
          <w:rFonts w:hint="cs"/>
          <w:rtl/>
        </w:rPr>
        <w:t xml:space="preserve"> שנת</w:t>
      </w:r>
      <w:r w:rsidRPr="00277065">
        <w:rPr>
          <w:rtl/>
        </w:rPr>
        <w:t xml:space="preserve"> 2011</w:t>
      </w:r>
      <w:r w:rsidR="00277065">
        <w:rPr>
          <w:rFonts w:hint="cs"/>
          <w:rtl/>
        </w:rPr>
        <w:t>,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ניתן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לראות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כי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ההתאוששות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ברווחיות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לצד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העלייה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ביחסי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ההון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אפשרו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לבנקים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לשוב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לבצע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רכישה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>עצמית של</w:t>
      </w:r>
      <w:r w:rsidRPr="00277065">
        <w:rPr>
          <w:rtl/>
        </w:rPr>
        <w:t xml:space="preserve"> </w:t>
      </w:r>
      <w:r w:rsidRPr="00277065">
        <w:rPr>
          <w:rFonts w:hint="cs"/>
          <w:rtl/>
        </w:rPr>
        <w:t xml:space="preserve">מניות. </w:t>
      </w:r>
    </w:p>
    <w:p w:rsidR="00AC4857" w:rsidRPr="00277065" w:rsidRDefault="006D2841" w:rsidP="00757A90">
      <w:pPr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t>מ</w:t>
      </w:r>
      <w:r w:rsidR="00AC4857" w:rsidRPr="00277065">
        <w:rPr>
          <w:rFonts w:hint="cs"/>
          <w:b/>
          <w:bCs/>
          <w:rtl/>
        </w:rPr>
        <w:t>ההתפתחות בפ</w:t>
      </w:r>
      <w:r w:rsidR="007F35CE">
        <w:rPr>
          <w:rFonts w:hint="cs"/>
          <w:b/>
          <w:bCs/>
          <w:rtl/>
        </w:rPr>
        <w:t>ו</w:t>
      </w:r>
      <w:r w:rsidR="00AC4857" w:rsidRPr="00277065">
        <w:rPr>
          <w:rFonts w:hint="cs"/>
          <w:b/>
          <w:bCs/>
          <w:rtl/>
        </w:rPr>
        <w:t>על לאורך מחזור העסקים של הרכישות העצמיות והדיבידנדים של הבנקים</w:t>
      </w:r>
      <w:r w:rsidR="00AC4857" w:rsidRPr="00277065">
        <w:rPr>
          <w:rFonts w:hint="cs"/>
          <w:rtl/>
        </w:rPr>
        <w:t xml:space="preserve"> בעולם </w:t>
      </w:r>
      <w:r>
        <w:rPr>
          <w:rFonts w:hint="cs"/>
          <w:rtl/>
        </w:rPr>
        <w:t>עולה</w:t>
      </w:r>
      <w:r w:rsidR="00AC4857" w:rsidRPr="00277065">
        <w:rPr>
          <w:rFonts w:hint="cs"/>
          <w:rtl/>
        </w:rPr>
        <w:t xml:space="preserve"> שבעוד דיבידנדים מהווים לר</w:t>
      </w:r>
      <w:r w:rsidR="007F35CE">
        <w:rPr>
          <w:rFonts w:hint="cs"/>
          <w:rtl/>
        </w:rPr>
        <w:t>ו</w:t>
      </w:r>
      <w:r w:rsidR="00AC4857" w:rsidRPr="00277065">
        <w:rPr>
          <w:rFonts w:hint="cs"/>
          <w:rtl/>
        </w:rPr>
        <w:t xml:space="preserve">ב התחייבות קבועה וארוכת טווח של הבנק שמשתנה מעט לאורך מחזור העסקים, </w:t>
      </w:r>
      <w:r w:rsidR="00AC4857" w:rsidRPr="00277065">
        <w:rPr>
          <w:rFonts w:hint="cs"/>
          <w:b/>
          <w:bCs/>
          <w:rtl/>
        </w:rPr>
        <w:t xml:space="preserve">רכישה עצמית </w:t>
      </w:r>
      <w:r>
        <w:rPr>
          <w:rFonts w:hint="cs"/>
          <w:b/>
          <w:bCs/>
          <w:rtl/>
        </w:rPr>
        <w:t xml:space="preserve">היא מנגנון </w:t>
      </w:r>
      <w:r w:rsidR="00AC4857" w:rsidRPr="00277065">
        <w:rPr>
          <w:rFonts w:hint="cs"/>
          <w:b/>
          <w:bCs/>
          <w:rtl/>
        </w:rPr>
        <w:t xml:space="preserve">גמיש יותר </w:t>
      </w:r>
      <w:r>
        <w:rPr>
          <w:rFonts w:hint="cs"/>
          <w:b/>
          <w:bCs/>
          <w:rtl/>
        </w:rPr>
        <w:t>ש</w:t>
      </w:r>
      <w:r w:rsidR="00AC4857" w:rsidRPr="00277065">
        <w:rPr>
          <w:rFonts w:hint="cs"/>
          <w:b/>
          <w:bCs/>
          <w:rtl/>
        </w:rPr>
        <w:t>נות</w:t>
      </w:r>
      <w:r>
        <w:rPr>
          <w:rFonts w:hint="cs"/>
          <w:b/>
          <w:bCs/>
          <w:rtl/>
        </w:rPr>
        <w:t>ן</w:t>
      </w:r>
      <w:r w:rsidR="00AC4857" w:rsidRPr="00277065">
        <w:rPr>
          <w:rFonts w:hint="cs"/>
          <w:b/>
          <w:bCs/>
          <w:rtl/>
        </w:rPr>
        <w:t xml:space="preserve"> מענה לעודפי הון נקודתיים שהצטברו.</w:t>
      </w:r>
    </w:p>
    <w:p w:rsidR="002B6732" w:rsidRDefault="002B6732" w:rsidP="00AC4857">
      <w:pPr>
        <w:spacing w:before="120"/>
        <w:rPr>
          <w:rFonts w:ascii="Calibri" w:eastAsia="Calibri" w:hAnsi="Calibri"/>
          <w:b/>
          <w:bCs/>
          <w:sz w:val="28"/>
          <w:szCs w:val="28"/>
        </w:rPr>
      </w:pPr>
    </w:p>
    <w:p w:rsidR="002B6732" w:rsidRDefault="002B6732" w:rsidP="00AC4857">
      <w:pPr>
        <w:spacing w:before="120"/>
        <w:rPr>
          <w:rFonts w:ascii="Calibri" w:eastAsia="Calibri" w:hAnsi="Calibri"/>
          <w:b/>
          <w:bCs/>
          <w:sz w:val="28"/>
          <w:szCs w:val="28"/>
        </w:rPr>
      </w:pPr>
    </w:p>
    <w:p w:rsidR="002B6732" w:rsidRDefault="002B6732" w:rsidP="00AC4857">
      <w:pPr>
        <w:spacing w:before="120"/>
        <w:rPr>
          <w:rFonts w:ascii="Calibri" w:eastAsia="Calibri" w:hAnsi="Calibri"/>
          <w:b/>
          <w:bCs/>
          <w:sz w:val="28"/>
          <w:szCs w:val="28"/>
        </w:rPr>
      </w:pPr>
    </w:p>
    <w:p w:rsidR="00AC4857" w:rsidRDefault="005B6699" w:rsidP="00AF44E7">
      <w:pPr>
        <w:spacing w:before="120"/>
        <w:jc w:val="center"/>
        <w:rPr>
          <w:rFonts w:ascii="Calibri" w:eastAsia="Calibri" w:hAnsi="Calibri"/>
          <w:b/>
          <w:bCs/>
          <w:sz w:val="28"/>
          <w:szCs w:val="28"/>
          <w:rtl/>
        </w:rPr>
      </w:pPr>
      <w:r>
        <w:rPr>
          <w:noProof/>
          <w:color w:val="1F497D"/>
        </w:rPr>
        <w:lastRenderedPageBreak/>
        <w:drawing>
          <wp:inline distT="0" distB="0" distL="0" distR="0" wp14:anchorId="0B585E0D" wp14:editId="581CDB8F">
            <wp:extent cx="5548630" cy="4182488"/>
            <wp:effectExtent l="0" t="0" r="0" b="8890"/>
            <wp:docPr id="4" name="תמונה 4" descr="תוכניות הרכישה העצמית והדיבידנדים מההון העצמי" title="תוכניות הרכישה העצמית והדיבידנדים מההון העצמ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2.png@01D4C8FC.58201B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418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26" w:rsidRPr="00327FC2" w:rsidRDefault="00711826" w:rsidP="00277065">
      <w:pPr>
        <w:tabs>
          <w:tab w:val="left" w:pos="284"/>
        </w:tabs>
        <w:spacing w:line="480" w:lineRule="auto"/>
        <w:jc w:val="center"/>
        <w:rPr>
          <w:u w:val="single"/>
          <w:rtl/>
        </w:rPr>
      </w:pPr>
      <w:r>
        <w:rPr>
          <w:noProof/>
        </w:rPr>
        <w:drawing>
          <wp:inline distT="0" distB="0" distL="0" distR="0" wp14:anchorId="661FD7AF" wp14:editId="6EA25380">
            <wp:extent cx="5486400" cy="2990215"/>
            <wp:effectExtent l="0" t="0" r="19050" b="19685"/>
            <wp:docPr id="3" name="תרשים 3" descr="שיעור הבנקים שביצעו רכישה עצמית" title="שיעור הבנקים שביצעו רכישה עצמית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1212" w:rsidRDefault="00F31212" w:rsidP="007B7E90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</w:p>
    <w:p w:rsidR="00F31212" w:rsidRDefault="00F31212" w:rsidP="007B7E90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</w:p>
    <w:p w:rsidR="00F31212" w:rsidRDefault="00F31212" w:rsidP="007B7E90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</w:p>
    <w:p w:rsidR="00F31212" w:rsidRDefault="00F31212" w:rsidP="007B7E90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</w:p>
    <w:p w:rsidR="002B6732" w:rsidRDefault="002B6732" w:rsidP="007B7E90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</w:p>
    <w:p w:rsidR="006A7106" w:rsidRPr="00A14FC6" w:rsidRDefault="0046331E" w:rsidP="007B7E90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  <w:r>
        <w:rPr>
          <w:rFonts w:ascii="Calibri" w:eastAsia="Calibri" w:hAnsi="Calibri" w:hint="cs"/>
          <w:b/>
          <w:bCs/>
          <w:sz w:val="28"/>
          <w:szCs w:val="28"/>
          <w:rtl/>
        </w:rPr>
        <w:t>הגורמים לשינוי ההוראה של הפיקוח על הבנקים</w:t>
      </w:r>
    </w:p>
    <w:p w:rsidR="00EC5A03" w:rsidRDefault="00445AEC" w:rsidP="00757A90">
      <w:pPr>
        <w:spacing w:before="120"/>
        <w:rPr>
          <w:rFonts w:ascii="Calibri" w:eastAsia="Calibri" w:hAnsi="Calibri"/>
          <w:rtl/>
        </w:rPr>
      </w:pPr>
      <w:r w:rsidRPr="00445AEC">
        <w:rPr>
          <w:rFonts w:ascii="Calibri" w:eastAsia="Calibri" w:hAnsi="Calibri" w:hint="cs"/>
          <w:rtl/>
        </w:rPr>
        <w:t xml:space="preserve">הפיקוח סבור </w:t>
      </w:r>
      <w:r>
        <w:rPr>
          <w:rFonts w:ascii="Calibri" w:eastAsia="Calibri" w:hAnsi="Calibri" w:hint="cs"/>
          <w:rtl/>
        </w:rPr>
        <w:t xml:space="preserve">שאין </w:t>
      </w:r>
      <w:r w:rsidR="008E52CE">
        <w:rPr>
          <w:rFonts w:ascii="Calibri" w:eastAsia="Calibri" w:hAnsi="Calibri" w:hint="cs"/>
          <w:rtl/>
        </w:rPr>
        <w:t xml:space="preserve">הצדקה </w:t>
      </w:r>
      <w:r>
        <w:rPr>
          <w:rFonts w:ascii="Calibri" w:eastAsia="Calibri" w:hAnsi="Calibri" w:hint="cs"/>
          <w:rtl/>
        </w:rPr>
        <w:t xml:space="preserve">להמשיך </w:t>
      </w:r>
      <w:r w:rsidR="00632600">
        <w:rPr>
          <w:rFonts w:ascii="Calibri" w:eastAsia="Calibri" w:hAnsi="Calibri" w:hint="cs"/>
          <w:rtl/>
        </w:rPr>
        <w:t>ולקיים את האיסור</w:t>
      </w:r>
      <w:r w:rsidR="00EE475D">
        <w:rPr>
          <w:rFonts w:ascii="Calibri" w:eastAsia="Calibri" w:hAnsi="Calibri" w:hint="cs"/>
          <w:rtl/>
        </w:rPr>
        <w:t xml:space="preserve"> הגורף שהוא </w:t>
      </w:r>
      <w:r w:rsidR="00FD2E9B">
        <w:rPr>
          <w:rFonts w:ascii="Calibri" w:eastAsia="Calibri" w:hAnsi="Calibri" w:hint="cs"/>
          <w:rtl/>
        </w:rPr>
        <w:t>קבע</w:t>
      </w:r>
      <w:r w:rsidR="00EE475D">
        <w:rPr>
          <w:rFonts w:ascii="Calibri" w:eastAsia="Calibri" w:hAnsi="Calibri" w:hint="cs"/>
          <w:rtl/>
        </w:rPr>
        <w:t xml:space="preserve"> בהוראתו</w:t>
      </w:r>
      <w:r>
        <w:rPr>
          <w:rFonts w:ascii="Calibri" w:eastAsia="Calibri" w:hAnsi="Calibri" w:hint="cs"/>
          <w:rtl/>
        </w:rPr>
        <w:t xml:space="preserve"> </w:t>
      </w:r>
      <w:r w:rsidR="00EE475D">
        <w:rPr>
          <w:rFonts w:ascii="Calibri" w:eastAsia="Calibri" w:hAnsi="Calibri" w:hint="cs"/>
          <w:rtl/>
        </w:rPr>
        <w:t>בעבר</w:t>
      </w:r>
      <w:r w:rsidR="008E52CE">
        <w:rPr>
          <w:rFonts w:ascii="Calibri" w:eastAsia="Calibri" w:hAnsi="Calibri" w:hint="cs"/>
          <w:rtl/>
        </w:rPr>
        <w:t xml:space="preserve"> </w:t>
      </w:r>
      <w:r>
        <w:rPr>
          <w:rFonts w:ascii="Calibri" w:eastAsia="Calibri" w:hAnsi="Calibri" w:hint="cs"/>
          <w:rtl/>
        </w:rPr>
        <w:t>מ</w:t>
      </w:r>
      <w:r w:rsidR="00DB1771">
        <w:rPr>
          <w:rFonts w:ascii="Calibri" w:eastAsia="Calibri" w:hAnsi="Calibri" w:hint="cs"/>
          <w:rtl/>
        </w:rPr>
        <w:t>כמה</w:t>
      </w:r>
      <w:r>
        <w:rPr>
          <w:rFonts w:ascii="Calibri" w:eastAsia="Calibri" w:hAnsi="Calibri" w:hint="cs"/>
          <w:rtl/>
        </w:rPr>
        <w:t xml:space="preserve"> סיבות עיקריות:</w:t>
      </w:r>
    </w:p>
    <w:p w:rsidR="00536FF4" w:rsidRDefault="00536FF4" w:rsidP="00D73F4A">
      <w:pPr>
        <w:pStyle w:val="aa"/>
        <w:numPr>
          <w:ilvl w:val="0"/>
          <w:numId w:val="5"/>
        </w:numPr>
        <w:spacing w:before="120" w:line="360" w:lineRule="auto"/>
        <w:jc w:val="both"/>
        <w:rPr>
          <w:rFonts w:cs="David"/>
          <w:sz w:val="24"/>
          <w:szCs w:val="24"/>
        </w:rPr>
      </w:pPr>
      <w:r w:rsidRPr="006B119D">
        <w:rPr>
          <w:rFonts w:cs="David" w:hint="cs"/>
          <w:b/>
          <w:bCs/>
          <w:sz w:val="24"/>
          <w:szCs w:val="24"/>
          <w:rtl/>
        </w:rPr>
        <w:t>הלימות ההון של הבנקים בישראל</w:t>
      </w:r>
      <w:r w:rsidR="00EC5A03" w:rsidRPr="006B119D">
        <w:rPr>
          <w:rFonts w:cs="David" w:hint="cs"/>
          <w:b/>
          <w:bCs/>
          <w:sz w:val="24"/>
          <w:szCs w:val="24"/>
          <w:rtl/>
        </w:rPr>
        <w:t xml:space="preserve"> עלתה</w:t>
      </w:r>
      <w:r w:rsidR="00EC5A03">
        <w:rPr>
          <w:rFonts w:cs="David" w:hint="cs"/>
          <w:sz w:val="24"/>
          <w:szCs w:val="24"/>
          <w:rtl/>
        </w:rPr>
        <w:t xml:space="preserve"> </w:t>
      </w:r>
      <w:r w:rsidR="00CF1A0F" w:rsidRPr="00B733DB">
        <w:rPr>
          <w:rFonts w:cs="David" w:hint="cs"/>
          <w:b/>
          <w:bCs/>
          <w:sz w:val="24"/>
          <w:szCs w:val="24"/>
          <w:rtl/>
        </w:rPr>
        <w:t xml:space="preserve">בשנים האחרונות </w:t>
      </w:r>
      <w:r w:rsidR="00EC5A03" w:rsidRPr="00B733DB">
        <w:rPr>
          <w:rFonts w:cs="David" w:hint="cs"/>
          <w:b/>
          <w:bCs/>
          <w:sz w:val="24"/>
          <w:szCs w:val="24"/>
          <w:rtl/>
        </w:rPr>
        <w:t>באופן משמעותי</w:t>
      </w:r>
      <w:r w:rsidR="00632600">
        <w:rPr>
          <w:rFonts w:cs="David" w:hint="cs"/>
          <w:sz w:val="24"/>
          <w:szCs w:val="24"/>
          <w:rtl/>
        </w:rPr>
        <w:t xml:space="preserve">. כתוצאה מכך, הבנקים יכולים לחלק חלק </w:t>
      </w:r>
      <w:r w:rsidR="00D73F4A">
        <w:rPr>
          <w:rFonts w:cs="David" w:hint="cs"/>
          <w:sz w:val="24"/>
          <w:szCs w:val="24"/>
          <w:rtl/>
        </w:rPr>
        <w:t xml:space="preserve">מהרווחים הנצברים </w:t>
      </w:r>
      <w:r w:rsidR="00632600">
        <w:rPr>
          <w:rFonts w:cs="David" w:hint="cs"/>
          <w:sz w:val="24"/>
          <w:szCs w:val="24"/>
          <w:rtl/>
        </w:rPr>
        <w:t>באופן מדוד לבעלי המניות</w:t>
      </w:r>
      <w:r w:rsidR="00402207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הן באמצעות דיבידנדים והן באמצעות רכישה עצמית</w:t>
      </w:r>
      <w:r w:rsidR="00632600">
        <w:rPr>
          <w:rFonts w:cs="David" w:hint="cs"/>
          <w:sz w:val="24"/>
          <w:szCs w:val="24"/>
          <w:rtl/>
        </w:rPr>
        <w:t>, מבלי שתיפגע יציבותם.</w:t>
      </w:r>
      <w:r w:rsidR="00345474">
        <w:rPr>
          <w:rFonts w:cs="David" w:hint="cs"/>
          <w:sz w:val="24"/>
          <w:szCs w:val="24"/>
          <w:rtl/>
        </w:rPr>
        <w:t xml:space="preserve"> החלוקה בכל מקרה תבוצע רק לאחר בחינת נאותות ההון של הבנק על-ידי הפיקוח על הבנקים.</w:t>
      </w:r>
    </w:p>
    <w:p w:rsidR="00D44413" w:rsidRPr="00D44413" w:rsidRDefault="00D44413" w:rsidP="000775F5">
      <w:pPr>
        <w:pStyle w:val="aa"/>
        <w:numPr>
          <w:ilvl w:val="0"/>
          <w:numId w:val="2"/>
        </w:numPr>
        <w:spacing w:before="120" w:line="360" w:lineRule="auto"/>
        <w:jc w:val="both"/>
        <w:rPr>
          <w:rFonts w:cs="David"/>
          <w:sz w:val="24"/>
          <w:szCs w:val="24"/>
        </w:rPr>
      </w:pPr>
      <w:r w:rsidRPr="00D44413">
        <w:rPr>
          <w:rFonts w:cs="David" w:hint="cs"/>
          <w:b/>
          <w:bCs/>
          <w:sz w:val="24"/>
          <w:szCs w:val="24"/>
          <w:rtl/>
        </w:rPr>
        <w:t>לבנקים הישראלים נוצרו עודפי הון, שהולכים וגדלים מעבר לדרישות הרגולטוריות</w:t>
      </w:r>
      <w:r w:rsidRPr="00D44413">
        <w:rPr>
          <w:rFonts w:cs="David" w:hint="cs"/>
          <w:sz w:val="24"/>
          <w:szCs w:val="24"/>
          <w:rtl/>
        </w:rPr>
        <w:t xml:space="preserve"> (</w:t>
      </w:r>
      <w:r w:rsidR="0094270B">
        <w:rPr>
          <w:rFonts w:cs="David" w:hint="cs"/>
          <w:sz w:val="24"/>
          <w:szCs w:val="24"/>
          <w:rtl/>
        </w:rPr>
        <w:t xml:space="preserve">הסיבות העיקריות לכך הן </w:t>
      </w:r>
      <w:r w:rsidRPr="00D44413">
        <w:rPr>
          <w:rFonts w:cs="David" w:hint="cs"/>
          <w:sz w:val="24"/>
          <w:szCs w:val="24"/>
          <w:rtl/>
        </w:rPr>
        <w:t xml:space="preserve">ביקושים לאשראי הבנקאי, שגדלים באופן מתון מגידול הרווחים והכנסות חד פעמיות). </w:t>
      </w:r>
      <w:r w:rsidR="000775F5">
        <w:rPr>
          <w:rFonts w:cs="David" w:hint="cs"/>
          <w:sz w:val="24"/>
          <w:szCs w:val="24"/>
          <w:rtl/>
        </w:rPr>
        <w:t xml:space="preserve">עד היום הפיקוח התיר לבנקים לחלק דיבידנד בשיעור של עד </w:t>
      </w:r>
      <w:r w:rsidRPr="00D44413">
        <w:rPr>
          <w:rFonts w:cs="David" w:hint="cs"/>
          <w:sz w:val="24"/>
          <w:szCs w:val="24"/>
          <w:rtl/>
        </w:rPr>
        <w:t xml:space="preserve">50% מרווחי הבנק, ויש חשיבות להרחיב את הכלים שעומדים בפני הבנקים </w:t>
      </w:r>
      <w:r w:rsidR="00277065">
        <w:rPr>
          <w:rFonts w:cs="David" w:hint="cs"/>
          <w:sz w:val="24"/>
          <w:szCs w:val="24"/>
          <w:rtl/>
        </w:rPr>
        <w:t>בניהול</w:t>
      </w:r>
      <w:r w:rsidRPr="00D44413">
        <w:rPr>
          <w:rFonts w:cs="David" w:hint="cs"/>
          <w:sz w:val="24"/>
          <w:szCs w:val="24"/>
          <w:rtl/>
        </w:rPr>
        <w:t xml:space="preserve"> עודפי ההון. עודפי הון גדולים שלא יחולקו עלולים להוביל את הבנק לנטילת סיכונים גבוהים יותר (לדוגמא על-ידי הורדת דרישות בחיתום אשראי, או השקעה במכשירי נוסטרו בסיכון</w:t>
      </w:r>
      <w:r w:rsidR="00277065">
        <w:rPr>
          <w:rFonts w:cs="David" w:hint="cs"/>
          <w:sz w:val="24"/>
          <w:szCs w:val="24"/>
          <w:rtl/>
        </w:rPr>
        <w:t xml:space="preserve"> גבוה יותר), כדי להרחיב פעילות </w:t>
      </w:r>
      <w:r w:rsidRPr="00D44413">
        <w:rPr>
          <w:rFonts w:cs="David" w:hint="cs"/>
          <w:sz w:val="24"/>
          <w:szCs w:val="24"/>
          <w:rtl/>
        </w:rPr>
        <w:t xml:space="preserve">מעבר לביקוש הנגזר מהצמיחה </w:t>
      </w:r>
      <w:r w:rsidR="00277065">
        <w:rPr>
          <w:rFonts w:cs="David" w:hint="cs"/>
          <w:sz w:val="24"/>
          <w:szCs w:val="24"/>
          <w:rtl/>
        </w:rPr>
        <w:t>המשקית</w:t>
      </w:r>
      <w:r w:rsidRPr="00D44413">
        <w:rPr>
          <w:rFonts w:cs="David" w:hint="cs"/>
          <w:sz w:val="24"/>
          <w:szCs w:val="24"/>
          <w:rtl/>
        </w:rPr>
        <w:t xml:space="preserve"> וכדי לפצות על הפגיעה ברווחיות שנובעת מעודפי ההון.</w:t>
      </w:r>
    </w:p>
    <w:p w:rsidR="00B733DB" w:rsidRDefault="00D91D1A" w:rsidP="00D91D1A">
      <w:pPr>
        <w:pStyle w:val="aa"/>
        <w:numPr>
          <w:ilvl w:val="0"/>
          <w:numId w:val="2"/>
        </w:numPr>
        <w:spacing w:before="12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בישראל, </w:t>
      </w:r>
      <w:r w:rsidR="006B119D" w:rsidRPr="001F0569">
        <w:rPr>
          <w:rFonts w:cs="David" w:hint="cs"/>
          <w:b/>
          <w:bCs/>
          <w:sz w:val="24"/>
          <w:szCs w:val="24"/>
          <w:rtl/>
        </w:rPr>
        <w:t>רכישה עצמית הותרה לכלל החברות במשק ב</w:t>
      </w:r>
      <w:r w:rsidR="00427C04" w:rsidRPr="001F0569">
        <w:rPr>
          <w:rFonts w:cs="David" w:hint="cs"/>
          <w:b/>
          <w:bCs/>
          <w:sz w:val="24"/>
          <w:szCs w:val="24"/>
          <w:rtl/>
        </w:rPr>
        <w:t xml:space="preserve">מסגרת </w:t>
      </w:r>
      <w:r w:rsidR="006B119D" w:rsidRPr="001F0569">
        <w:rPr>
          <w:rFonts w:cs="David" w:hint="cs"/>
          <w:b/>
          <w:bCs/>
          <w:sz w:val="24"/>
          <w:szCs w:val="24"/>
          <w:rtl/>
        </w:rPr>
        <w:t xml:space="preserve">שינוי שנערך בחוק החברות </w:t>
      </w:r>
      <w:r w:rsidR="00427C04" w:rsidRPr="00CF61A7">
        <w:rPr>
          <w:rFonts w:cs="David" w:hint="cs"/>
          <w:b/>
          <w:bCs/>
          <w:sz w:val="24"/>
          <w:szCs w:val="24"/>
          <w:rtl/>
        </w:rPr>
        <w:t>ב</w:t>
      </w:r>
      <w:r w:rsidR="00B733DB" w:rsidRPr="00CF61A7">
        <w:rPr>
          <w:rFonts w:cs="David" w:hint="cs"/>
          <w:b/>
          <w:bCs/>
          <w:sz w:val="24"/>
          <w:szCs w:val="24"/>
          <w:rtl/>
        </w:rPr>
        <w:t xml:space="preserve">שנת </w:t>
      </w:r>
      <w:r w:rsidR="00B733DB" w:rsidRPr="00115AAF">
        <w:rPr>
          <w:rFonts w:cs="David" w:hint="cs"/>
          <w:b/>
          <w:bCs/>
          <w:sz w:val="24"/>
          <w:szCs w:val="24"/>
          <w:rtl/>
        </w:rPr>
        <w:t>1999</w:t>
      </w:r>
      <w:r w:rsidR="00AA1F7B" w:rsidRPr="00115AAF">
        <w:rPr>
          <w:rFonts w:cs="David" w:hint="cs"/>
          <w:b/>
          <w:bCs/>
          <w:sz w:val="24"/>
          <w:szCs w:val="24"/>
          <w:rtl/>
        </w:rPr>
        <w:t>, והיא מותרת גם לגופים מוסדיים (כגון חברות ביטוח)</w:t>
      </w:r>
      <w:r w:rsidR="00B733DB" w:rsidRPr="00115AAF">
        <w:rPr>
          <w:rFonts w:cs="David" w:hint="cs"/>
          <w:b/>
          <w:bCs/>
          <w:sz w:val="24"/>
          <w:szCs w:val="24"/>
          <w:rtl/>
        </w:rPr>
        <w:t xml:space="preserve">. </w:t>
      </w:r>
      <w:r w:rsidR="00B733DB" w:rsidRPr="00115AAF">
        <w:rPr>
          <w:rFonts w:cs="David" w:hint="cs"/>
          <w:sz w:val="24"/>
          <w:szCs w:val="24"/>
          <w:rtl/>
        </w:rPr>
        <w:t>החוק הכיר</w:t>
      </w:r>
      <w:r w:rsidR="00B733DB" w:rsidRPr="001F0569">
        <w:rPr>
          <w:rFonts w:cs="David" w:hint="cs"/>
          <w:sz w:val="24"/>
          <w:szCs w:val="24"/>
          <w:rtl/>
        </w:rPr>
        <w:t xml:space="preserve"> בכך שאין הבדל בין חלוקת דיבידנד לבין רכישה עצמית באופן השפעתם על הון החברה, יציבותה</w:t>
      </w:r>
      <w:r>
        <w:rPr>
          <w:rFonts w:cs="David" w:hint="cs"/>
          <w:sz w:val="24"/>
          <w:szCs w:val="24"/>
          <w:rtl/>
        </w:rPr>
        <w:t>,</w:t>
      </w:r>
      <w:r w:rsidR="00B733DB" w:rsidRPr="001F0569">
        <w:rPr>
          <w:rFonts w:cs="David" w:hint="cs"/>
          <w:sz w:val="24"/>
          <w:szCs w:val="24"/>
          <w:rtl/>
        </w:rPr>
        <w:t xml:space="preserve"> ויכולתה לעמוד בפירעון התחייבויותיה. </w:t>
      </w:r>
      <w:r w:rsidR="00427C04" w:rsidRPr="001F0569">
        <w:rPr>
          <w:rFonts w:cs="David" w:hint="cs"/>
          <w:sz w:val="24"/>
          <w:szCs w:val="24"/>
          <w:rtl/>
        </w:rPr>
        <w:t>הבנקים הם הגופים היחידים שפרקטיקה זו נותרה אסורה לגביהם, במסגרת הוראות הפיקוח על הבנקים שהחמירו מעל דרישות החוק.</w:t>
      </w:r>
    </w:p>
    <w:p w:rsidR="0046190E" w:rsidRDefault="0046190E" w:rsidP="006D2841">
      <w:pPr>
        <w:pStyle w:val="aa"/>
        <w:numPr>
          <w:ilvl w:val="0"/>
          <w:numId w:val="2"/>
        </w:numPr>
        <w:spacing w:before="120" w:line="360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כאמור, </w:t>
      </w:r>
      <w:r w:rsidR="006D2841">
        <w:rPr>
          <w:rFonts w:cs="David" w:hint="cs"/>
          <w:b/>
          <w:bCs/>
          <w:sz w:val="24"/>
          <w:szCs w:val="24"/>
          <w:rtl/>
        </w:rPr>
        <w:t>ב</w:t>
      </w:r>
      <w:r w:rsidR="0094270B">
        <w:rPr>
          <w:rFonts w:cs="David" w:hint="cs"/>
          <w:b/>
          <w:bCs/>
          <w:sz w:val="24"/>
          <w:szCs w:val="24"/>
          <w:rtl/>
        </w:rPr>
        <w:t>מדינות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="0094270B">
        <w:rPr>
          <w:rFonts w:cs="David" w:hint="cs"/>
          <w:b/>
          <w:bCs/>
          <w:sz w:val="24"/>
          <w:szCs w:val="24"/>
          <w:rtl/>
        </w:rPr>
        <w:t>המפותחות אי</w:t>
      </w:r>
      <w:r w:rsidR="000C62A8">
        <w:rPr>
          <w:rFonts w:cs="David" w:hint="cs"/>
          <w:b/>
          <w:bCs/>
          <w:sz w:val="24"/>
          <w:szCs w:val="24"/>
          <w:rtl/>
        </w:rPr>
        <w:t>ן</w:t>
      </w:r>
      <w:r w:rsidR="0094270B">
        <w:rPr>
          <w:rFonts w:cs="David" w:hint="cs"/>
          <w:b/>
          <w:bCs/>
          <w:sz w:val="24"/>
          <w:szCs w:val="24"/>
          <w:rtl/>
        </w:rPr>
        <w:t xml:space="preserve"> </w:t>
      </w:r>
      <w:r w:rsidR="006D2841">
        <w:rPr>
          <w:rFonts w:cs="David" w:hint="cs"/>
          <w:b/>
          <w:bCs/>
          <w:sz w:val="24"/>
          <w:szCs w:val="24"/>
          <w:rtl/>
        </w:rPr>
        <w:t xml:space="preserve">איסור </w:t>
      </w:r>
      <w:r>
        <w:rPr>
          <w:rFonts w:cs="David" w:hint="cs"/>
          <w:b/>
          <w:bCs/>
          <w:sz w:val="24"/>
          <w:szCs w:val="24"/>
          <w:rtl/>
        </w:rPr>
        <w:t>על בנקים לבצע רכישה עצמית.</w:t>
      </w:r>
    </w:p>
    <w:p w:rsidR="005C6FDF" w:rsidRPr="005C6FDF" w:rsidRDefault="005C6FDF" w:rsidP="00990104">
      <w:pPr>
        <w:pStyle w:val="aa"/>
        <w:numPr>
          <w:ilvl w:val="0"/>
          <w:numId w:val="2"/>
        </w:numPr>
        <w:spacing w:before="120" w:line="360" w:lineRule="auto"/>
        <w:jc w:val="both"/>
        <w:rPr>
          <w:rFonts w:cs="David"/>
          <w:b/>
          <w:bCs/>
          <w:sz w:val="24"/>
          <w:szCs w:val="24"/>
        </w:rPr>
      </w:pPr>
      <w:r w:rsidRPr="005C6FDF">
        <w:rPr>
          <w:rFonts w:cs="David" w:hint="cs"/>
          <w:b/>
          <w:bCs/>
          <w:sz w:val="24"/>
          <w:szCs w:val="24"/>
          <w:rtl/>
        </w:rPr>
        <w:t xml:space="preserve">חלו שינויים בשוק </w:t>
      </w:r>
      <w:r>
        <w:rPr>
          <w:rFonts w:cs="David" w:hint="cs"/>
          <w:b/>
          <w:bCs/>
          <w:sz w:val="24"/>
          <w:szCs w:val="24"/>
          <w:rtl/>
        </w:rPr>
        <w:t xml:space="preserve">ההון והכספים </w:t>
      </w:r>
      <w:r w:rsidRPr="005C6FDF">
        <w:rPr>
          <w:rFonts w:cs="David" w:hint="cs"/>
          <w:b/>
          <w:bCs/>
          <w:sz w:val="24"/>
          <w:szCs w:val="24"/>
          <w:rtl/>
        </w:rPr>
        <w:t>ובמנגנוני הבקרה</w:t>
      </w:r>
      <w:r w:rsidR="008D1B6E">
        <w:rPr>
          <w:rFonts w:cs="David" w:hint="cs"/>
          <w:b/>
          <w:bCs/>
          <w:sz w:val="24"/>
          <w:szCs w:val="24"/>
          <w:rtl/>
        </w:rPr>
        <w:t xml:space="preserve">, מה שמצמצם </w:t>
      </w:r>
      <w:r w:rsidRPr="005C6FDF">
        <w:rPr>
          <w:rFonts w:cs="David" w:hint="cs"/>
          <w:b/>
          <w:bCs/>
          <w:sz w:val="24"/>
          <w:szCs w:val="24"/>
          <w:rtl/>
        </w:rPr>
        <w:t>את הסיכונים, כמפורט להלן.</w:t>
      </w:r>
    </w:p>
    <w:p w:rsidR="00D67E0F" w:rsidRPr="00990104" w:rsidRDefault="00D67E0F" w:rsidP="0046331E">
      <w:pPr>
        <w:pStyle w:val="aa"/>
        <w:spacing w:before="120"/>
        <w:ind w:left="360"/>
        <w:rPr>
          <w:rFonts w:cstheme="minorBidi"/>
          <w:rtl/>
        </w:rPr>
      </w:pPr>
    </w:p>
    <w:p w:rsidR="000B4B88" w:rsidRPr="000B4B88" w:rsidRDefault="000B4B88" w:rsidP="00EC5A03">
      <w:pPr>
        <w:spacing w:before="120"/>
        <w:rPr>
          <w:rtl/>
        </w:rPr>
      </w:pPr>
    </w:p>
    <w:p w:rsidR="006546A6" w:rsidRDefault="0046331E" w:rsidP="0046331E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  <w:r>
        <w:rPr>
          <w:rFonts w:ascii="Calibri" w:eastAsia="Calibri" w:hAnsi="Calibri" w:hint="cs"/>
          <w:b/>
          <w:bCs/>
          <w:sz w:val="28"/>
          <w:szCs w:val="28"/>
          <w:rtl/>
        </w:rPr>
        <w:t>המנגנונים שפועלים לצמצום ה</w:t>
      </w:r>
      <w:r w:rsidR="00DC5119">
        <w:rPr>
          <w:rFonts w:ascii="Calibri" w:eastAsia="Calibri" w:hAnsi="Calibri" w:hint="cs"/>
          <w:b/>
          <w:bCs/>
          <w:sz w:val="28"/>
          <w:szCs w:val="28"/>
          <w:rtl/>
        </w:rPr>
        <w:t>סיכונים</w:t>
      </w:r>
      <w:r>
        <w:rPr>
          <w:rFonts w:ascii="Calibri" w:eastAsia="Calibri" w:hAnsi="Calibri" w:hint="cs"/>
          <w:b/>
          <w:bCs/>
          <w:sz w:val="28"/>
          <w:szCs w:val="28"/>
          <w:rtl/>
        </w:rPr>
        <w:t xml:space="preserve"> בפעילות רכישה עצמית</w:t>
      </w:r>
      <w:r w:rsidR="00DC5119"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</w:p>
    <w:p w:rsidR="006546A6" w:rsidRPr="00591811" w:rsidRDefault="00427C04" w:rsidP="008D1B6E">
      <w:pPr>
        <w:spacing w:before="120"/>
        <w:rPr>
          <w:rFonts w:ascii="Calibri" w:eastAsia="Calibri" w:hAnsi="Calibri"/>
          <w:b/>
          <w:bCs/>
          <w:rtl/>
        </w:rPr>
      </w:pPr>
      <w:r>
        <w:rPr>
          <w:rFonts w:ascii="Calibri" w:eastAsia="Calibri" w:hAnsi="Calibri" w:hint="cs"/>
          <w:b/>
          <w:bCs/>
          <w:rtl/>
        </w:rPr>
        <w:t xml:space="preserve">השמירה על יציבות המערכת הבנקאית היא היעד הראשון במעלה של הפיקוח על הבנקים, והלקחים מהמשבר </w:t>
      </w:r>
      <w:r w:rsidR="006B4AE9">
        <w:rPr>
          <w:rFonts w:ascii="Calibri" w:eastAsia="Calibri" w:hAnsi="Calibri" w:hint="cs"/>
          <w:b/>
          <w:bCs/>
          <w:rtl/>
        </w:rPr>
        <w:t>ה</w:t>
      </w:r>
      <w:r>
        <w:rPr>
          <w:rFonts w:ascii="Calibri" w:eastAsia="Calibri" w:hAnsi="Calibri" w:hint="cs"/>
          <w:b/>
          <w:bCs/>
          <w:rtl/>
        </w:rPr>
        <w:t xml:space="preserve">פיננסי שארע בישראל בשנות ה-80, מהמשבר העולמי של 2008 וממשברים נוספים מנחים באופן שוטף את מדיניות הפיקוח. </w:t>
      </w:r>
      <w:r w:rsidR="002A51EF">
        <w:rPr>
          <w:rFonts w:ascii="Calibri" w:eastAsia="Calibri" w:hAnsi="Calibri" w:hint="cs"/>
          <w:b/>
          <w:bCs/>
          <w:rtl/>
        </w:rPr>
        <w:t xml:space="preserve">לכן, נבחנו </w:t>
      </w:r>
      <w:r w:rsidR="00A2220E">
        <w:rPr>
          <w:rFonts w:ascii="Calibri" w:eastAsia="Calibri" w:hAnsi="Calibri" w:hint="cs"/>
          <w:b/>
          <w:bCs/>
          <w:rtl/>
        </w:rPr>
        <w:t xml:space="preserve">ונשקלו </w:t>
      </w:r>
      <w:r w:rsidR="002A51EF">
        <w:rPr>
          <w:rFonts w:ascii="Calibri" w:eastAsia="Calibri" w:hAnsi="Calibri" w:hint="cs"/>
          <w:b/>
          <w:bCs/>
          <w:rtl/>
        </w:rPr>
        <w:t xml:space="preserve">טרם </w:t>
      </w:r>
      <w:r w:rsidR="000C62A8">
        <w:rPr>
          <w:rFonts w:ascii="Calibri" w:eastAsia="Calibri" w:hAnsi="Calibri" w:hint="cs"/>
          <w:b/>
          <w:bCs/>
          <w:rtl/>
        </w:rPr>
        <w:t>פרסום</w:t>
      </w:r>
      <w:r w:rsidR="002A51EF">
        <w:rPr>
          <w:rFonts w:ascii="Calibri" w:eastAsia="Calibri" w:hAnsi="Calibri" w:hint="cs"/>
          <w:b/>
          <w:bCs/>
          <w:rtl/>
        </w:rPr>
        <w:t xml:space="preserve"> ההוראה כלל השינויים שהתרחשו בשנים האחרונות שמצמצמים </w:t>
      </w:r>
      <w:r w:rsidR="008D1B6E">
        <w:rPr>
          <w:rFonts w:ascii="Calibri" w:eastAsia="Calibri" w:hAnsi="Calibri" w:hint="cs"/>
          <w:b/>
          <w:bCs/>
          <w:rtl/>
        </w:rPr>
        <w:t xml:space="preserve">באופן </w:t>
      </w:r>
      <w:r w:rsidR="002A51EF">
        <w:rPr>
          <w:rFonts w:ascii="Calibri" w:eastAsia="Calibri" w:hAnsi="Calibri" w:hint="cs"/>
          <w:b/>
          <w:bCs/>
          <w:rtl/>
        </w:rPr>
        <w:t>משמעותי את הסיכונים</w:t>
      </w:r>
      <w:r w:rsidR="006546A6" w:rsidRPr="00591811">
        <w:rPr>
          <w:rFonts w:ascii="Calibri" w:eastAsia="Calibri" w:hAnsi="Calibri" w:hint="cs"/>
          <w:b/>
          <w:bCs/>
          <w:rtl/>
        </w:rPr>
        <w:t>:</w:t>
      </w:r>
    </w:p>
    <w:p w:rsidR="00F52B6E" w:rsidRPr="00F52B6E" w:rsidRDefault="00053728" w:rsidP="00053728">
      <w:pPr>
        <w:pStyle w:val="aa"/>
        <w:numPr>
          <w:ilvl w:val="1"/>
          <w:numId w:val="2"/>
        </w:numPr>
        <w:spacing w:before="12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צומצמה</w:t>
      </w:r>
      <w:r w:rsidRPr="00591811">
        <w:rPr>
          <w:rFonts w:cs="David" w:hint="cs"/>
          <w:b/>
          <w:bCs/>
          <w:sz w:val="24"/>
          <w:szCs w:val="24"/>
          <w:rtl/>
        </w:rPr>
        <w:t xml:space="preserve"> </w:t>
      </w:r>
      <w:r w:rsidR="00F52B6E" w:rsidRPr="00591811">
        <w:rPr>
          <w:rFonts w:cs="David" w:hint="cs"/>
          <w:b/>
          <w:bCs/>
          <w:sz w:val="24"/>
          <w:szCs w:val="24"/>
          <w:rtl/>
        </w:rPr>
        <w:t>מעורבותם של הבנקים בשוק ההון</w:t>
      </w:r>
      <w:r w:rsidR="00F52B6E" w:rsidRPr="00F52B6E">
        <w:rPr>
          <w:rFonts w:cs="David" w:hint="cs"/>
          <w:sz w:val="24"/>
          <w:szCs w:val="24"/>
          <w:rtl/>
        </w:rPr>
        <w:t xml:space="preserve"> בעקבות רפורמת בכר</w:t>
      </w:r>
      <w:r>
        <w:rPr>
          <w:rFonts w:cs="David" w:hint="cs"/>
          <w:sz w:val="24"/>
          <w:szCs w:val="24"/>
          <w:rtl/>
        </w:rPr>
        <w:t>, שניתקה אותם</w:t>
      </w:r>
      <w:r w:rsidR="00C5329F">
        <w:rPr>
          <w:rFonts w:cs="David" w:hint="cs"/>
          <w:sz w:val="24"/>
          <w:szCs w:val="24"/>
          <w:rtl/>
        </w:rPr>
        <w:t xml:space="preserve"> </w:t>
      </w:r>
      <w:r w:rsidR="00F52B6E" w:rsidRPr="00F52B6E">
        <w:rPr>
          <w:rFonts w:cs="David" w:hint="cs"/>
          <w:sz w:val="24"/>
          <w:szCs w:val="24"/>
          <w:rtl/>
        </w:rPr>
        <w:t xml:space="preserve">מניהול כספי גמל וקרנות נאמנות; </w:t>
      </w:r>
      <w:r>
        <w:rPr>
          <w:rFonts w:cs="David" w:hint="cs"/>
          <w:sz w:val="24"/>
          <w:szCs w:val="24"/>
          <w:rtl/>
        </w:rPr>
        <w:t>ניתוק זה מפחית את יכולתם של הבנקים להשפיע על שערי המניות בבורסה.</w:t>
      </w:r>
    </w:p>
    <w:p w:rsidR="00F52B6E" w:rsidRPr="00F52B6E" w:rsidRDefault="00C7412B" w:rsidP="00A2220E">
      <w:pPr>
        <w:pStyle w:val="aa"/>
        <w:numPr>
          <w:ilvl w:val="1"/>
          <w:numId w:val="2"/>
        </w:numPr>
        <w:spacing w:before="12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ה</w:t>
      </w:r>
      <w:r w:rsidR="00F52B6E" w:rsidRPr="00591811">
        <w:rPr>
          <w:rFonts w:cs="David" w:hint="cs"/>
          <w:b/>
          <w:bCs/>
          <w:sz w:val="24"/>
          <w:szCs w:val="24"/>
          <w:rtl/>
        </w:rPr>
        <w:t>רגולציה על בנקים</w:t>
      </w:r>
      <w:r w:rsidR="00053728">
        <w:rPr>
          <w:rFonts w:cs="David" w:hint="cs"/>
          <w:sz w:val="24"/>
          <w:szCs w:val="24"/>
          <w:rtl/>
        </w:rPr>
        <w:t xml:space="preserve"> </w:t>
      </w:r>
      <w:r w:rsidR="00053728" w:rsidRPr="00C5329F">
        <w:rPr>
          <w:rFonts w:cs="David" w:hint="cs"/>
          <w:b/>
          <w:bCs/>
          <w:sz w:val="24"/>
          <w:szCs w:val="24"/>
          <w:rtl/>
        </w:rPr>
        <w:t xml:space="preserve">הוחמרה באופן </w:t>
      </w:r>
      <w:r>
        <w:rPr>
          <w:rFonts w:cs="David" w:hint="cs"/>
          <w:b/>
          <w:bCs/>
          <w:sz w:val="24"/>
          <w:szCs w:val="24"/>
          <w:rtl/>
        </w:rPr>
        <w:t>משמעותי</w:t>
      </w:r>
      <w:r w:rsidR="00053728">
        <w:rPr>
          <w:rFonts w:cs="David" w:hint="cs"/>
          <w:sz w:val="24"/>
          <w:szCs w:val="24"/>
          <w:rtl/>
        </w:rPr>
        <w:t>; בפרט, ה</w:t>
      </w:r>
      <w:r w:rsidR="00DC5119">
        <w:rPr>
          <w:rFonts w:cs="David" w:hint="cs"/>
          <w:sz w:val="24"/>
          <w:szCs w:val="24"/>
          <w:rtl/>
        </w:rPr>
        <w:t>ו</w:t>
      </w:r>
      <w:r w:rsidR="00053728">
        <w:rPr>
          <w:rFonts w:cs="David" w:hint="cs"/>
          <w:sz w:val="24"/>
          <w:szCs w:val="24"/>
          <w:rtl/>
        </w:rPr>
        <w:t xml:space="preserve">חמרו </w:t>
      </w:r>
      <w:r w:rsidR="00F52B6E" w:rsidRPr="00F52B6E">
        <w:rPr>
          <w:rFonts w:cs="David" w:hint="cs"/>
          <w:sz w:val="24"/>
          <w:szCs w:val="24"/>
          <w:rtl/>
        </w:rPr>
        <w:t>כללי הממשל התאגידי, ניהול הסיכונים, ו</w:t>
      </w:r>
      <w:r w:rsidR="00053728">
        <w:rPr>
          <w:rFonts w:cs="David" w:hint="cs"/>
          <w:sz w:val="24"/>
          <w:szCs w:val="24"/>
          <w:rtl/>
        </w:rPr>
        <w:t>ה</w:t>
      </w:r>
      <w:r w:rsidR="00F52B6E" w:rsidRPr="00F52B6E">
        <w:rPr>
          <w:rFonts w:cs="David" w:hint="cs"/>
          <w:sz w:val="24"/>
          <w:szCs w:val="24"/>
          <w:rtl/>
        </w:rPr>
        <w:t>כללים למניעת ניגודי עניינים</w:t>
      </w:r>
      <w:r w:rsidR="00A14FC6">
        <w:rPr>
          <w:rFonts w:cs="David" w:hint="cs"/>
          <w:sz w:val="24"/>
          <w:szCs w:val="24"/>
          <w:rtl/>
        </w:rPr>
        <w:t xml:space="preserve"> בפעילויות בשוק ההון</w:t>
      </w:r>
      <w:r w:rsidR="00F52B6E" w:rsidRPr="00F52B6E">
        <w:rPr>
          <w:rFonts w:cs="David" w:hint="cs"/>
          <w:sz w:val="24"/>
          <w:szCs w:val="24"/>
          <w:rtl/>
        </w:rPr>
        <w:t xml:space="preserve">; </w:t>
      </w:r>
    </w:p>
    <w:p w:rsidR="00A14FC6" w:rsidRDefault="00053728" w:rsidP="00053728">
      <w:pPr>
        <w:pStyle w:val="aa"/>
        <w:numPr>
          <w:ilvl w:val="1"/>
          <w:numId w:val="2"/>
        </w:numPr>
        <w:spacing w:before="12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הוסדר</w:t>
      </w:r>
      <w:r w:rsidR="00F52B6E" w:rsidRPr="00591811">
        <w:rPr>
          <w:rFonts w:cs="David" w:hint="cs"/>
          <w:b/>
          <w:bCs/>
          <w:sz w:val="24"/>
          <w:szCs w:val="24"/>
          <w:rtl/>
        </w:rPr>
        <w:t xml:space="preserve"> תחום ייעוץ ההשקעות וניהול התיקים</w:t>
      </w:r>
      <w:r w:rsidR="00F52B6E" w:rsidRPr="00F52B6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במסגרת </w:t>
      </w:r>
      <w:r w:rsidR="00F52B6E" w:rsidRPr="00F52B6E">
        <w:rPr>
          <w:rFonts w:cs="David" w:hint="cs"/>
          <w:sz w:val="24"/>
          <w:szCs w:val="24"/>
          <w:rtl/>
        </w:rPr>
        <w:t>חוק הסדרת העיסוק בייעוץ השקעות, בשיווק השקעות ובניהול תיקי השקעות, התשנ"ה-1995</w:t>
      </w:r>
      <w:r w:rsidR="00A14FC6">
        <w:rPr>
          <w:rFonts w:cs="David" w:hint="cs"/>
          <w:sz w:val="24"/>
          <w:szCs w:val="24"/>
          <w:rtl/>
        </w:rPr>
        <w:t>;</w:t>
      </w:r>
    </w:p>
    <w:p w:rsidR="00A14FC6" w:rsidRDefault="00053728" w:rsidP="008D1B6E">
      <w:pPr>
        <w:pStyle w:val="aa"/>
        <w:numPr>
          <w:ilvl w:val="1"/>
          <w:numId w:val="2"/>
        </w:numPr>
        <w:spacing w:before="120" w:line="360" w:lineRule="auto"/>
        <w:jc w:val="both"/>
        <w:rPr>
          <w:rFonts w:cs="David"/>
          <w:sz w:val="24"/>
          <w:szCs w:val="24"/>
        </w:rPr>
      </w:pPr>
      <w:r w:rsidRPr="00C5329F">
        <w:rPr>
          <w:rFonts w:cs="David" w:hint="cs"/>
          <w:b/>
          <w:bCs/>
          <w:sz w:val="24"/>
          <w:szCs w:val="24"/>
          <w:rtl/>
        </w:rPr>
        <w:t xml:space="preserve">בוצע </w:t>
      </w:r>
      <w:r w:rsidR="00A14FC6" w:rsidRPr="00C5329F">
        <w:rPr>
          <w:rFonts w:cs="David" w:hint="cs"/>
          <w:b/>
          <w:bCs/>
          <w:sz w:val="24"/>
          <w:szCs w:val="24"/>
          <w:rtl/>
        </w:rPr>
        <w:t>שינוי דרמטי בשיטות המסחר בבורסה בתל אביב</w:t>
      </w:r>
      <w:r w:rsidR="00C7412B">
        <w:rPr>
          <w:rFonts w:cs="David" w:hint="cs"/>
          <w:b/>
          <w:bCs/>
          <w:sz w:val="24"/>
          <w:szCs w:val="24"/>
          <w:rtl/>
        </w:rPr>
        <w:t>,</w:t>
      </w:r>
      <w:r w:rsidR="00A14FC6" w:rsidRPr="00C5329F">
        <w:rPr>
          <w:rFonts w:cs="David" w:hint="cs"/>
          <w:b/>
          <w:bCs/>
          <w:sz w:val="24"/>
          <w:szCs w:val="24"/>
          <w:rtl/>
        </w:rPr>
        <w:t xml:space="preserve"> </w:t>
      </w:r>
      <w:r w:rsidR="00A14FC6" w:rsidRPr="000C62A8">
        <w:rPr>
          <w:rFonts w:cs="David" w:hint="cs"/>
          <w:b/>
          <w:bCs/>
          <w:sz w:val="24"/>
          <w:szCs w:val="24"/>
          <w:rtl/>
        </w:rPr>
        <w:t>המאפשר</w:t>
      </w:r>
      <w:r w:rsidR="000C62A8" w:rsidRPr="000C62A8">
        <w:rPr>
          <w:rFonts w:cs="David" w:hint="cs"/>
          <w:b/>
          <w:bCs/>
          <w:sz w:val="24"/>
          <w:szCs w:val="24"/>
          <w:rtl/>
        </w:rPr>
        <w:t xml:space="preserve"> לבורסה</w:t>
      </w:r>
      <w:r w:rsidR="00A14FC6" w:rsidRPr="000C62A8">
        <w:rPr>
          <w:rFonts w:cs="David" w:hint="cs"/>
          <w:b/>
          <w:bCs/>
          <w:sz w:val="24"/>
          <w:szCs w:val="24"/>
          <w:rtl/>
        </w:rPr>
        <w:t xml:space="preserve"> </w:t>
      </w:r>
      <w:r w:rsidR="000C62A8" w:rsidRPr="000C62A8">
        <w:rPr>
          <w:rFonts w:cs="David" w:hint="cs"/>
          <w:b/>
          <w:bCs/>
          <w:sz w:val="24"/>
          <w:szCs w:val="24"/>
          <w:rtl/>
        </w:rPr>
        <w:t>ו</w:t>
      </w:r>
      <w:r w:rsidRPr="000C62A8">
        <w:rPr>
          <w:rFonts w:cs="David" w:hint="cs"/>
          <w:b/>
          <w:bCs/>
          <w:sz w:val="24"/>
          <w:szCs w:val="24"/>
          <w:rtl/>
        </w:rPr>
        <w:t>לרשות</w:t>
      </w:r>
      <w:r>
        <w:rPr>
          <w:rFonts w:cs="David" w:hint="cs"/>
          <w:b/>
          <w:bCs/>
          <w:sz w:val="24"/>
          <w:szCs w:val="24"/>
          <w:rtl/>
        </w:rPr>
        <w:t xml:space="preserve"> ניירות ערך לבצע </w:t>
      </w:r>
      <w:r w:rsidR="00A14FC6" w:rsidRPr="00591811">
        <w:rPr>
          <w:rFonts w:cs="David" w:hint="cs"/>
          <w:b/>
          <w:bCs/>
          <w:sz w:val="24"/>
          <w:szCs w:val="24"/>
          <w:rtl/>
        </w:rPr>
        <w:t xml:space="preserve">פיקוח ובקרה על המסחר </w:t>
      </w:r>
      <w:r>
        <w:rPr>
          <w:rFonts w:cs="David" w:hint="cs"/>
          <w:b/>
          <w:bCs/>
          <w:sz w:val="24"/>
          <w:szCs w:val="24"/>
          <w:rtl/>
        </w:rPr>
        <w:t xml:space="preserve">בשיטות </w:t>
      </w:r>
      <w:r w:rsidR="00A14FC6" w:rsidRPr="00591811">
        <w:rPr>
          <w:rFonts w:cs="David" w:hint="cs"/>
          <w:b/>
          <w:bCs/>
          <w:sz w:val="24"/>
          <w:szCs w:val="24"/>
          <w:rtl/>
        </w:rPr>
        <w:t>שלא היו קיימ</w:t>
      </w:r>
      <w:r>
        <w:rPr>
          <w:rFonts w:cs="David" w:hint="cs"/>
          <w:b/>
          <w:bCs/>
          <w:sz w:val="24"/>
          <w:szCs w:val="24"/>
          <w:rtl/>
        </w:rPr>
        <w:t>ות בעבר</w:t>
      </w:r>
      <w:r w:rsidR="00A14FC6" w:rsidRPr="00591811">
        <w:rPr>
          <w:rFonts w:cs="David" w:hint="cs"/>
          <w:b/>
          <w:bCs/>
          <w:sz w:val="24"/>
          <w:szCs w:val="24"/>
          <w:rtl/>
        </w:rPr>
        <w:t>.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C5329F">
        <w:rPr>
          <w:rFonts w:cs="David" w:hint="cs"/>
          <w:sz w:val="24"/>
          <w:szCs w:val="24"/>
          <w:rtl/>
        </w:rPr>
        <w:t>שיטות אלו הובילו לכך שהרשות הצליחה</w:t>
      </w:r>
      <w:r w:rsidR="008D1B6E">
        <w:rPr>
          <w:rFonts w:cs="David" w:hint="cs"/>
          <w:sz w:val="24"/>
          <w:szCs w:val="24"/>
          <w:rtl/>
        </w:rPr>
        <w:t xml:space="preserve"> בשנים האחרונות </w:t>
      </w:r>
      <w:r w:rsidRPr="00C5329F">
        <w:rPr>
          <w:rFonts w:cs="David" w:hint="cs"/>
          <w:sz w:val="24"/>
          <w:szCs w:val="24"/>
          <w:rtl/>
        </w:rPr>
        <w:t xml:space="preserve"> לחשוף מספר אירועים משמעותיים של נ</w:t>
      </w:r>
      <w:r w:rsidR="001B05C7" w:rsidRPr="00C5329F">
        <w:rPr>
          <w:rFonts w:cs="David" w:hint="cs"/>
          <w:sz w:val="24"/>
          <w:szCs w:val="24"/>
          <w:rtl/>
        </w:rPr>
        <w:t>י</w:t>
      </w:r>
      <w:r w:rsidRPr="00C5329F">
        <w:rPr>
          <w:rFonts w:cs="David" w:hint="cs"/>
          <w:sz w:val="24"/>
          <w:szCs w:val="24"/>
          <w:rtl/>
        </w:rPr>
        <w:t>סיון להשפיע באופן לא חוקי על מחיריהם של ניירות ערך שונים.</w:t>
      </w:r>
    </w:p>
    <w:p w:rsidR="00F52B6E" w:rsidRPr="00DC5119" w:rsidRDefault="00DC5119" w:rsidP="00C7412B">
      <w:pPr>
        <w:pStyle w:val="aa"/>
        <w:numPr>
          <w:ilvl w:val="1"/>
          <w:numId w:val="2"/>
        </w:numPr>
        <w:spacing w:before="120" w:line="360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מתן אשראי על-</w:t>
      </w:r>
      <w:r w:rsidRPr="00DC5119">
        <w:rPr>
          <w:rFonts w:cs="David" w:hint="cs"/>
          <w:b/>
          <w:bCs/>
          <w:sz w:val="24"/>
          <w:szCs w:val="24"/>
          <w:rtl/>
        </w:rPr>
        <w:t xml:space="preserve">ידי הבנקים </w:t>
      </w:r>
      <w:r w:rsidR="0087109F" w:rsidRPr="00DC5119">
        <w:rPr>
          <w:rFonts w:cs="David" w:hint="cs"/>
          <w:b/>
          <w:bCs/>
          <w:sz w:val="24"/>
          <w:szCs w:val="24"/>
          <w:rtl/>
        </w:rPr>
        <w:t>לרכישת מניותיהם</w:t>
      </w:r>
      <w:r w:rsidRPr="00DC5119">
        <w:rPr>
          <w:rFonts w:cs="David" w:hint="cs"/>
          <w:b/>
          <w:bCs/>
          <w:sz w:val="24"/>
          <w:szCs w:val="24"/>
          <w:rtl/>
        </w:rPr>
        <w:t xml:space="preserve"> </w:t>
      </w:r>
      <w:r w:rsidR="0087109F" w:rsidRPr="00DC5119">
        <w:rPr>
          <w:rFonts w:cs="David" w:hint="cs"/>
          <w:b/>
          <w:bCs/>
          <w:sz w:val="24"/>
          <w:szCs w:val="24"/>
          <w:rtl/>
        </w:rPr>
        <w:t xml:space="preserve">נאסר בהוראה </w:t>
      </w:r>
      <w:r w:rsidR="0046331E">
        <w:rPr>
          <w:rFonts w:cs="David" w:hint="cs"/>
          <w:b/>
          <w:bCs/>
          <w:sz w:val="24"/>
          <w:szCs w:val="24"/>
          <w:rtl/>
        </w:rPr>
        <w:t xml:space="preserve">המקורית </w:t>
      </w:r>
      <w:r w:rsidR="0087109F" w:rsidRPr="00DC5119">
        <w:rPr>
          <w:rFonts w:cs="David" w:hint="cs"/>
          <w:b/>
          <w:bCs/>
          <w:sz w:val="24"/>
          <w:szCs w:val="24"/>
          <w:rtl/>
        </w:rPr>
        <w:t>של הפיקוח על הבנקים</w:t>
      </w:r>
      <w:r w:rsidR="00C7412B">
        <w:rPr>
          <w:rFonts w:cs="David" w:hint="cs"/>
          <w:b/>
          <w:bCs/>
          <w:sz w:val="24"/>
          <w:szCs w:val="24"/>
          <w:rtl/>
        </w:rPr>
        <w:t>,</w:t>
      </w:r>
      <w:r w:rsidRPr="00DC5119">
        <w:rPr>
          <w:rFonts w:cs="David" w:hint="cs"/>
          <w:b/>
          <w:bCs/>
          <w:sz w:val="24"/>
          <w:szCs w:val="24"/>
          <w:rtl/>
        </w:rPr>
        <w:t xml:space="preserve"> ו</w:t>
      </w:r>
      <w:r w:rsidR="00B6433A" w:rsidRPr="00DC5119">
        <w:rPr>
          <w:rFonts w:cs="David" w:hint="cs"/>
          <w:b/>
          <w:bCs/>
          <w:sz w:val="24"/>
          <w:szCs w:val="24"/>
          <w:rtl/>
        </w:rPr>
        <w:t>א</w:t>
      </w:r>
      <w:r w:rsidR="0087109F" w:rsidRPr="00DC5119">
        <w:rPr>
          <w:rFonts w:cs="David" w:hint="cs"/>
          <w:b/>
          <w:bCs/>
          <w:sz w:val="24"/>
          <w:szCs w:val="24"/>
          <w:rtl/>
        </w:rPr>
        <w:t xml:space="preserve">יסור זה </w:t>
      </w:r>
      <w:r w:rsidR="00C7412B">
        <w:rPr>
          <w:rFonts w:cs="David" w:hint="cs"/>
          <w:b/>
          <w:bCs/>
          <w:sz w:val="24"/>
          <w:szCs w:val="24"/>
          <w:rtl/>
        </w:rPr>
        <w:t xml:space="preserve">נותר </w:t>
      </w:r>
      <w:r w:rsidR="009B60DB" w:rsidRPr="00DC5119">
        <w:rPr>
          <w:rFonts w:cs="David" w:hint="cs"/>
          <w:b/>
          <w:bCs/>
          <w:sz w:val="24"/>
          <w:szCs w:val="24"/>
          <w:rtl/>
        </w:rPr>
        <w:t>בתוקף</w:t>
      </w:r>
      <w:r w:rsidR="0087109F" w:rsidRPr="00DC5119">
        <w:rPr>
          <w:rFonts w:cs="David" w:hint="cs"/>
          <w:b/>
          <w:bCs/>
          <w:sz w:val="24"/>
          <w:szCs w:val="24"/>
          <w:rtl/>
        </w:rPr>
        <w:t xml:space="preserve">. </w:t>
      </w:r>
    </w:p>
    <w:p w:rsidR="006F1D74" w:rsidRPr="00F3697E" w:rsidRDefault="006F1D74" w:rsidP="00990104">
      <w:pPr>
        <w:pStyle w:val="aa"/>
        <w:numPr>
          <w:ilvl w:val="1"/>
          <w:numId w:val="2"/>
        </w:numPr>
        <w:spacing w:before="120" w:line="360" w:lineRule="auto"/>
        <w:ind w:left="1077" w:hanging="357"/>
        <w:jc w:val="both"/>
        <w:rPr>
          <w:rFonts w:cs="David"/>
          <w:sz w:val="24"/>
          <w:szCs w:val="24"/>
          <w:rtl/>
        </w:rPr>
      </w:pPr>
      <w:r w:rsidRPr="00F3697E">
        <w:rPr>
          <w:rFonts w:cs="David" w:hint="cs"/>
          <w:b/>
          <w:bCs/>
          <w:sz w:val="24"/>
          <w:szCs w:val="24"/>
          <w:rtl/>
        </w:rPr>
        <w:t>בנוסף</w:t>
      </w:r>
      <w:r w:rsidRPr="00F3697E">
        <w:rPr>
          <w:rFonts w:cs="David"/>
          <w:b/>
          <w:bCs/>
          <w:sz w:val="24"/>
          <w:szCs w:val="24"/>
          <w:rtl/>
        </w:rPr>
        <w:t xml:space="preserve">, </w:t>
      </w:r>
      <w:r w:rsidRPr="00F3697E">
        <w:rPr>
          <w:rFonts w:cs="David" w:hint="cs"/>
          <w:b/>
          <w:bCs/>
          <w:sz w:val="24"/>
          <w:szCs w:val="24"/>
          <w:rtl/>
        </w:rPr>
        <w:t>התגמול</w:t>
      </w:r>
      <w:r w:rsidRPr="00F3697E">
        <w:rPr>
          <w:rFonts w:cs="David"/>
          <w:b/>
          <w:bCs/>
          <w:sz w:val="24"/>
          <w:szCs w:val="24"/>
          <w:rtl/>
        </w:rPr>
        <w:t xml:space="preserve"> </w:t>
      </w:r>
      <w:r w:rsidRPr="00F3697E">
        <w:rPr>
          <w:rFonts w:cs="David" w:hint="cs"/>
          <w:b/>
          <w:bCs/>
          <w:sz w:val="24"/>
          <w:szCs w:val="24"/>
          <w:rtl/>
        </w:rPr>
        <w:t>של</w:t>
      </w:r>
      <w:r w:rsidRPr="00F3697E">
        <w:rPr>
          <w:rFonts w:cs="David"/>
          <w:b/>
          <w:bCs/>
          <w:sz w:val="24"/>
          <w:szCs w:val="24"/>
          <w:rtl/>
        </w:rPr>
        <w:t xml:space="preserve"> </w:t>
      </w:r>
      <w:r w:rsidRPr="00F3697E">
        <w:rPr>
          <w:rFonts w:cs="David" w:hint="cs"/>
          <w:b/>
          <w:bCs/>
          <w:sz w:val="24"/>
          <w:szCs w:val="24"/>
          <w:rtl/>
        </w:rPr>
        <w:t>המנכ</w:t>
      </w:r>
      <w:r w:rsidRPr="00F3697E">
        <w:rPr>
          <w:rFonts w:cs="David"/>
          <w:b/>
          <w:bCs/>
          <w:sz w:val="24"/>
          <w:szCs w:val="24"/>
          <w:rtl/>
        </w:rPr>
        <w:t>"</w:t>
      </w:r>
      <w:r w:rsidRPr="00F3697E">
        <w:rPr>
          <w:rFonts w:cs="David" w:hint="cs"/>
          <w:b/>
          <w:bCs/>
          <w:sz w:val="24"/>
          <w:szCs w:val="24"/>
          <w:rtl/>
        </w:rPr>
        <w:t>לים</w:t>
      </w:r>
      <w:r w:rsidRPr="00F3697E">
        <w:rPr>
          <w:rFonts w:cs="David"/>
          <w:b/>
          <w:bCs/>
          <w:sz w:val="24"/>
          <w:szCs w:val="24"/>
          <w:rtl/>
        </w:rPr>
        <w:t xml:space="preserve"> </w:t>
      </w:r>
      <w:r w:rsidRPr="00F3697E">
        <w:rPr>
          <w:rFonts w:cs="David" w:hint="cs"/>
          <w:b/>
          <w:bCs/>
          <w:sz w:val="24"/>
          <w:szCs w:val="24"/>
          <w:rtl/>
        </w:rPr>
        <w:t>והמנהלים</w:t>
      </w:r>
      <w:r w:rsidRPr="00F3697E">
        <w:rPr>
          <w:rFonts w:cs="David"/>
          <w:b/>
          <w:bCs/>
          <w:sz w:val="24"/>
          <w:szCs w:val="24"/>
          <w:rtl/>
        </w:rPr>
        <w:t xml:space="preserve"> </w:t>
      </w:r>
      <w:r w:rsidRPr="00F3697E">
        <w:rPr>
          <w:rFonts w:cs="David" w:hint="cs"/>
          <w:b/>
          <w:bCs/>
          <w:sz w:val="24"/>
          <w:szCs w:val="24"/>
          <w:rtl/>
        </w:rPr>
        <w:t>הבכירים</w:t>
      </w:r>
      <w:r w:rsidRPr="00F3697E">
        <w:rPr>
          <w:rFonts w:cs="David"/>
          <w:b/>
          <w:bCs/>
          <w:sz w:val="24"/>
          <w:szCs w:val="24"/>
          <w:rtl/>
        </w:rPr>
        <w:t xml:space="preserve"> </w:t>
      </w:r>
      <w:r w:rsidRPr="00F3697E">
        <w:rPr>
          <w:rFonts w:cs="David" w:hint="cs"/>
          <w:b/>
          <w:bCs/>
          <w:sz w:val="24"/>
          <w:szCs w:val="24"/>
          <w:rtl/>
        </w:rPr>
        <w:t>בבנקים הוגבל</w:t>
      </w:r>
      <w:r w:rsidRPr="00F3697E">
        <w:rPr>
          <w:rFonts w:cs="David"/>
          <w:b/>
          <w:bCs/>
          <w:sz w:val="24"/>
          <w:szCs w:val="24"/>
          <w:rtl/>
        </w:rPr>
        <w:t xml:space="preserve"> </w:t>
      </w:r>
      <w:r w:rsidRPr="00F3697E">
        <w:rPr>
          <w:rFonts w:cs="David" w:hint="cs"/>
          <w:b/>
          <w:bCs/>
          <w:sz w:val="24"/>
          <w:szCs w:val="24"/>
          <w:rtl/>
        </w:rPr>
        <w:t>על</w:t>
      </w:r>
      <w:r w:rsidRPr="00F3697E">
        <w:rPr>
          <w:rFonts w:cs="David"/>
          <w:b/>
          <w:bCs/>
          <w:sz w:val="24"/>
          <w:szCs w:val="24"/>
          <w:rtl/>
        </w:rPr>
        <w:t>-</w:t>
      </w:r>
      <w:r w:rsidRPr="00F3697E">
        <w:rPr>
          <w:rFonts w:cs="David" w:hint="cs"/>
          <w:b/>
          <w:bCs/>
          <w:sz w:val="24"/>
          <w:szCs w:val="24"/>
          <w:rtl/>
        </w:rPr>
        <w:t>ידי</w:t>
      </w:r>
      <w:r w:rsidRPr="00F3697E">
        <w:rPr>
          <w:rFonts w:cs="David"/>
          <w:b/>
          <w:bCs/>
          <w:sz w:val="24"/>
          <w:szCs w:val="24"/>
          <w:rtl/>
        </w:rPr>
        <w:t xml:space="preserve"> </w:t>
      </w:r>
      <w:r w:rsidRPr="00F3697E">
        <w:rPr>
          <w:rFonts w:cs="David" w:hint="cs"/>
          <w:b/>
          <w:bCs/>
          <w:sz w:val="24"/>
          <w:szCs w:val="24"/>
          <w:rtl/>
        </w:rPr>
        <w:t>חוק</w:t>
      </w:r>
      <w:r w:rsidRPr="00F3697E">
        <w:rPr>
          <w:rFonts w:cs="David"/>
          <w:b/>
          <w:bCs/>
          <w:sz w:val="24"/>
          <w:szCs w:val="24"/>
          <w:rtl/>
        </w:rPr>
        <w:t xml:space="preserve"> </w:t>
      </w:r>
      <w:r w:rsidR="00990104" w:rsidRPr="00990104">
        <w:rPr>
          <w:rFonts w:cs="David" w:hint="cs"/>
          <w:b/>
          <w:bCs/>
          <w:sz w:val="24"/>
          <w:szCs w:val="24"/>
          <w:rtl/>
        </w:rPr>
        <w:t>תגמול לנושאי משרה בתאגידים פיננסיים (אישור מיוחד ואי-התרת הוצאה לצורכי מס בשל תגמול חריג), תשע"ו-2016</w:t>
      </w:r>
      <w:r w:rsidRPr="00F3697E">
        <w:rPr>
          <w:rFonts w:cs="David"/>
          <w:b/>
          <w:bCs/>
          <w:sz w:val="24"/>
          <w:szCs w:val="24"/>
          <w:rtl/>
        </w:rPr>
        <w:t xml:space="preserve">, </w:t>
      </w:r>
      <w:r w:rsidRPr="00F3697E">
        <w:rPr>
          <w:rFonts w:cs="David" w:hint="cs"/>
          <w:sz w:val="24"/>
          <w:szCs w:val="24"/>
          <w:rtl/>
        </w:rPr>
        <w:t>ועל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רקע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זה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הצטמצם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מאוד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התגמול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המשתנה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ובתוך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כך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התגמול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במניות</w:t>
      </w:r>
      <w:r w:rsidRPr="00F3697E">
        <w:rPr>
          <w:rFonts w:cs="David"/>
          <w:sz w:val="24"/>
          <w:szCs w:val="24"/>
          <w:rtl/>
        </w:rPr>
        <w:t xml:space="preserve">. </w:t>
      </w:r>
      <w:r w:rsidRPr="00F3697E">
        <w:rPr>
          <w:rFonts w:cs="David" w:hint="cs"/>
          <w:sz w:val="24"/>
          <w:szCs w:val="24"/>
          <w:rtl/>
        </w:rPr>
        <w:t>לכן</w:t>
      </w:r>
      <w:r w:rsidR="008D1B6E">
        <w:rPr>
          <w:rFonts w:cs="David" w:hint="cs"/>
          <w:sz w:val="24"/>
          <w:szCs w:val="24"/>
          <w:rtl/>
        </w:rPr>
        <w:t>,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ככלל</w:t>
      </w:r>
      <w:r w:rsidR="008D1B6E">
        <w:rPr>
          <w:rFonts w:cs="David" w:hint="cs"/>
          <w:sz w:val="24"/>
          <w:szCs w:val="24"/>
          <w:rtl/>
        </w:rPr>
        <w:t>,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לא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קיים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תמריץ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אישי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משמעותי של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המנהלים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שעלול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להשפיע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על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הרצון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לבצע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>רכישה</w:t>
      </w:r>
      <w:r w:rsidRPr="00F3697E">
        <w:rPr>
          <w:rFonts w:cs="David"/>
          <w:sz w:val="24"/>
          <w:szCs w:val="24"/>
          <w:rtl/>
        </w:rPr>
        <w:t xml:space="preserve"> </w:t>
      </w:r>
      <w:r w:rsidRPr="00F3697E">
        <w:rPr>
          <w:rFonts w:cs="David" w:hint="cs"/>
          <w:sz w:val="24"/>
          <w:szCs w:val="24"/>
          <w:rtl/>
        </w:rPr>
        <w:t xml:space="preserve">עצמית לעומת </w:t>
      </w:r>
      <w:r w:rsidR="00F3697E">
        <w:rPr>
          <w:rFonts w:cs="David" w:hint="cs"/>
          <w:sz w:val="24"/>
          <w:szCs w:val="24"/>
          <w:rtl/>
        </w:rPr>
        <w:t xml:space="preserve">חלוקת </w:t>
      </w:r>
      <w:r w:rsidRPr="00F3697E">
        <w:rPr>
          <w:rFonts w:cs="David" w:hint="cs"/>
          <w:sz w:val="24"/>
          <w:szCs w:val="24"/>
          <w:rtl/>
        </w:rPr>
        <w:t>דיבידנד</w:t>
      </w:r>
      <w:r w:rsidRPr="00F3697E">
        <w:rPr>
          <w:rFonts w:cs="David"/>
          <w:sz w:val="24"/>
          <w:szCs w:val="24"/>
          <w:rtl/>
        </w:rPr>
        <w:t>.</w:t>
      </w:r>
      <w:r w:rsidRPr="00F3697E">
        <w:rPr>
          <w:rFonts w:cs="David" w:hint="cs"/>
          <w:sz w:val="24"/>
          <w:szCs w:val="24"/>
          <w:rtl/>
        </w:rPr>
        <w:t xml:space="preserve"> </w:t>
      </w:r>
    </w:p>
    <w:p w:rsidR="00110C38" w:rsidRPr="00123D0D" w:rsidRDefault="00110C38" w:rsidP="00110C38">
      <w:pPr>
        <w:spacing w:before="120"/>
      </w:pPr>
    </w:p>
    <w:p w:rsidR="006A10FA" w:rsidRPr="00A14FC6" w:rsidRDefault="0046331E" w:rsidP="008D1B6E">
      <w:pPr>
        <w:spacing w:before="120"/>
        <w:rPr>
          <w:rFonts w:ascii="Calibri" w:eastAsia="Calibri" w:hAnsi="Calibri"/>
          <w:b/>
          <w:bCs/>
          <w:sz w:val="28"/>
          <w:szCs w:val="28"/>
        </w:rPr>
      </w:pPr>
      <w:r>
        <w:rPr>
          <w:rFonts w:ascii="Calibri" w:eastAsia="Calibri" w:hAnsi="Calibri" w:hint="cs"/>
          <w:b/>
          <w:bCs/>
          <w:sz w:val="28"/>
          <w:szCs w:val="28"/>
          <w:rtl/>
        </w:rPr>
        <w:t xml:space="preserve">ההחמרות שהפיקוח על הבנקים דורש </w:t>
      </w:r>
      <w:r w:rsidR="008D1B6E">
        <w:rPr>
          <w:rFonts w:ascii="Calibri" w:eastAsia="Calibri" w:hAnsi="Calibri" w:hint="cs"/>
          <w:b/>
          <w:bCs/>
          <w:sz w:val="28"/>
          <w:szCs w:val="28"/>
          <w:rtl/>
        </w:rPr>
        <w:t xml:space="preserve">מהבנקים </w:t>
      </w:r>
      <w:r>
        <w:rPr>
          <w:rFonts w:ascii="Calibri" w:eastAsia="Calibri" w:hAnsi="Calibri" w:hint="cs"/>
          <w:b/>
          <w:bCs/>
          <w:sz w:val="28"/>
          <w:szCs w:val="28"/>
          <w:rtl/>
        </w:rPr>
        <w:t>בהוראה מעבר לחוק החברות</w:t>
      </w:r>
      <w:r w:rsidR="007D7C86"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</w:p>
    <w:p w:rsidR="0046331E" w:rsidRPr="0046331E" w:rsidRDefault="00BC71EA" w:rsidP="00A03DB2">
      <w:pPr>
        <w:spacing w:before="120"/>
        <w:rPr>
          <w:rFonts w:ascii="Calibri" w:eastAsia="Calibri" w:hAnsi="Calibri"/>
        </w:rPr>
      </w:pPr>
      <w:r w:rsidRPr="0046331E">
        <w:rPr>
          <w:rFonts w:hint="cs"/>
          <w:b/>
          <w:bCs/>
          <w:rtl/>
        </w:rPr>
        <w:t xml:space="preserve">הפיקוח על הבנקים </w:t>
      </w:r>
      <w:r w:rsidR="0046331E" w:rsidRPr="0046331E">
        <w:rPr>
          <w:rFonts w:hint="cs"/>
          <w:b/>
          <w:bCs/>
          <w:rtl/>
        </w:rPr>
        <w:t xml:space="preserve">החמיר </w:t>
      </w:r>
      <w:r w:rsidR="00645F30">
        <w:rPr>
          <w:rFonts w:hint="cs"/>
          <w:b/>
          <w:bCs/>
          <w:rtl/>
        </w:rPr>
        <w:t>בהורא</w:t>
      </w:r>
      <w:r w:rsidR="00C7412B">
        <w:rPr>
          <w:rFonts w:hint="cs"/>
          <w:b/>
          <w:bCs/>
          <w:rtl/>
        </w:rPr>
        <w:t>ה</w:t>
      </w:r>
      <w:r w:rsidR="00645F30">
        <w:rPr>
          <w:rFonts w:hint="cs"/>
          <w:b/>
          <w:bCs/>
          <w:rtl/>
        </w:rPr>
        <w:t xml:space="preserve"> הנוכחית </w:t>
      </w:r>
      <w:r w:rsidR="00E62ED4" w:rsidRPr="0046331E">
        <w:rPr>
          <w:rFonts w:hint="cs"/>
          <w:b/>
          <w:bCs/>
          <w:rtl/>
        </w:rPr>
        <w:t xml:space="preserve">את הדרישות </w:t>
      </w:r>
      <w:r w:rsidR="00A03DB2">
        <w:rPr>
          <w:rFonts w:hint="cs"/>
          <w:b/>
          <w:bCs/>
          <w:rtl/>
        </w:rPr>
        <w:t xml:space="preserve">החלות על רכישה עצמית של </w:t>
      </w:r>
      <w:r w:rsidR="00E62ED4" w:rsidRPr="0046331E">
        <w:rPr>
          <w:rFonts w:hint="cs"/>
          <w:b/>
          <w:bCs/>
          <w:rtl/>
        </w:rPr>
        <w:t xml:space="preserve">בנקים </w:t>
      </w:r>
      <w:r w:rsidR="00E62ED4" w:rsidRPr="0046331E">
        <w:rPr>
          <w:rFonts w:hint="cs"/>
          <w:rtl/>
        </w:rPr>
        <w:t xml:space="preserve"> </w:t>
      </w:r>
      <w:r w:rsidR="00E62ED4" w:rsidRPr="0046331E">
        <w:rPr>
          <w:rFonts w:hint="cs"/>
          <w:b/>
          <w:bCs/>
          <w:rtl/>
        </w:rPr>
        <w:t>ביחס לדרישות החוק בישראל,</w:t>
      </w:r>
      <w:r w:rsidR="00E62ED4" w:rsidRPr="0046331E">
        <w:rPr>
          <w:rFonts w:hint="cs"/>
          <w:rtl/>
        </w:rPr>
        <w:t xml:space="preserve"> שכן </w:t>
      </w:r>
      <w:r w:rsidRPr="0046331E">
        <w:rPr>
          <w:rFonts w:hint="cs"/>
          <w:rtl/>
        </w:rPr>
        <w:t xml:space="preserve">בנק </w:t>
      </w:r>
      <w:r w:rsidR="007D7C86" w:rsidRPr="0046331E">
        <w:rPr>
          <w:rFonts w:hint="cs"/>
          <w:rtl/>
        </w:rPr>
        <w:t>אינ</w:t>
      </w:r>
      <w:r w:rsidR="00BC1BA4" w:rsidRPr="0046331E">
        <w:rPr>
          <w:rFonts w:hint="cs"/>
          <w:rtl/>
        </w:rPr>
        <w:t>ו</w:t>
      </w:r>
      <w:r w:rsidRPr="0046331E">
        <w:rPr>
          <w:rFonts w:hint="cs"/>
          <w:rtl/>
        </w:rPr>
        <w:t xml:space="preserve"> חברה ציבורית רגילה</w:t>
      </w:r>
      <w:r w:rsidR="0040302E" w:rsidRPr="0046331E">
        <w:rPr>
          <w:rFonts w:hint="cs"/>
          <w:rtl/>
        </w:rPr>
        <w:t xml:space="preserve">, אלא </w:t>
      </w:r>
      <w:r w:rsidR="00E80B1D" w:rsidRPr="0046331E">
        <w:rPr>
          <w:rFonts w:hint="cs"/>
          <w:rtl/>
        </w:rPr>
        <w:t xml:space="preserve">מוסד פיננסי </w:t>
      </w:r>
      <w:r w:rsidR="0040302E" w:rsidRPr="0046331E">
        <w:rPr>
          <w:rFonts w:hint="cs"/>
          <w:rtl/>
        </w:rPr>
        <w:t>הנושא ב</w:t>
      </w:r>
      <w:r w:rsidR="00E80B1D" w:rsidRPr="0046331E">
        <w:rPr>
          <w:rFonts w:hint="cs"/>
          <w:rtl/>
        </w:rPr>
        <w:t>אחריות כלפי המפקידים</w:t>
      </w:r>
      <w:r w:rsidR="00E62ED4" w:rsidRPr="0046331E">
        <w:rPr>
          <w:rFonts w:hint="cs"/>
          <w:rtl/>
        </w:rPr>
        <w:t xml:space="preserve">. הפיקוח קבע </w:t>
      </w:r>
      <w:r w:rsidR="00645F30">
        <w:rPr>
          <w:rFonts w:hint="cs"/>
          <w:rtl/>
        </w:rPr>
        <w:t>ב</w:t>
      </w:r>
      <w:r w:rsidR="00E62ED4" w:rsidRPr="0046331E">
        <w:rPr>
          <w:rFonts w:hint="cs"/>
          <w:rtl/>
        </w:rPr>
        <w:t xml:space="preserve">הוראה </w:t>
      </w:r>
      <w:r w:rsidR="007D7C86" w:rsidRPr="0046331E">
        <w:rPr>
          <w:rFonts w:hint="cs"/>
          <w:rtl/>
        </w:rPr>
        <w:t xml:space="preserve">מגבלות </w:t>
      </w:r>
      <w:r w:rsidR="00A46FE1" w:rsidRPr="0046331E">
        <w:rPr>
          <w:rFonts w:hint="cs"/>
          <w:rtl/>
        </w:rPr>
        <w:t xml:space="preserve">ותנאים </w:t>
      </w:r>
      <w:r w:rsidR="00C54CAB" w:rsidRPr="0046331E">
        <w:rPr>
          <w:rFonts w:hint="cs"/>
          <w:rtl/>
        </w:rPr>
        <w:t xml:space="preserve">נוספים </w:t>
      </w:r>
      <w:r w:rsidR="00A46FE1" w:rsidRPr="0046331E">
        <w:rPr>
          <w:rFonts w:hint="cs"/>
          <w:rtl/>
        </w:rPr>
        <w:t>שאינם חלים על חבר</w:t>
      </w:r>
      <w:r w:rsidR="00C54CAB" w:rsidRPr="0046331E">
        <w:rPr>
          <w:rFonts w:hint="cs"/>
          <w:rtl/>
        </w:rPr>
        <w:t>ות</w:t>
      </w:r>
      <w:r w:rsidR="00A46FE1" w:rsidRPr="0046331E">
        <w:rPr>
          <w:rFonts w:hint="cs"/>
          <w:rtl/>
        </w:rPr>
        <w:t xml:space="preserve"> ציבורי</w:t>
      </w:r>
      <w:r w:rsidR="00C54CAB" w:rsidRPr="0046331E">
        <w:rPr>
          <w:rFonts w:hint="cs"/>
          <w:rtl/>
        </w:rPr>
        <w:t>ו</w:t>
      </w:r>
      <w:r w:rsidR="00A46FE1" w:rsidRPr="0046331E">
        <w:rPr>
          <w:rFonts w:hint="cs"/>
          <w:rtl/>
        </w:rPr>
        <w:t>ת המבצע</w:t>
      </w:r>
      <w:r w:rsidR="00C54CAB" w:rsidRPr="0046331E">
        <w:rPr>
          <w:rFonts w:hint="cs"/>
          <w:rtl/>
        </w:rPr>
        <w:t>ו</w:t>
      </w:r>
      <w:r w:rsidR="00A46FE1" w:rsidRPr="0046331E">
        <w:rPr>
          <w:rFonts w:hint="cs"/>
          <w:rtl/>
        </w:rPr>
        <w:t>ת רכישה עצמית</w:t>
      </w:r>
      <w:r w:rsidR="0040302E" w:rsidRPr="0046331E">
        <w:rPr>
          <w:rFonts w:hint="cs"/>
          <w:rtl/>
        </w:rPr>
        <w:t xml:space="preserve">, אשר </w:t>
      </w:r>
      <w:r w:rsidR="003700E5" w:rsidRPr="0046331E">
        <w:rPr>
          <w:rFonts w:hint="cs"/>
          <w:rtl/>
        </w:rPr>
        <w:t>נועדו להבטיח שרכישה עצמית תבוצע בצורה מדודה ומבוקרת</w:t>
      </w:r>
      <w:r w:rsidR="007F35CE">
        <w:rPr>
          <w:rFonts w:hint="cs"/>
          <w:rtl/>
        </w:rPr>
        <w:t>.</w:t>
      </w:r>
    </w:p>
    <w:p w:rsidR="003700E5" w:rsidRPr="00894E14" w:rsidRDefault="007A2135" w:rsidP="00A03DB2">
      <w:pPr>
        <w:pStyle w:val="aa"/>
        <w:numPr>
          <w:ilvl w:val="1"/>
          <w:numId w:val="4"/>
        </w:numPr>
        <w:spacing w:before="120" w:line="360" w:lineRule="auto"/>
        <w:ind w:left="374" w:hanging="425"/>
        <w:jc w:val="both"/>
        <w:rPr>
          <w:rFonts w:cs="David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התנאי הראשון הוא </w:t>
      </w:r>
      <w:r>
        <w:rPr>
          <w:rFonts w:ascii="Arial" w:hAnsi="Arial" w:cs="David" w:hint="cs"/>
          <w:b/>
          <w:bCs/>
          <w:sz w:val="24"/>
          <w:szCs w:val="24"/>
          <w:rtl/>
        </w:rPr>
        <w:t>ש</w:t>
      </w:r>
      <w:r w:rsidR="007D7C86" w:rsidRPr="00894E14">
        <w:rPr>
          <w:rFonts w:ascii="Arial" w:hAnsi="Arial" w:cs="David" w:hint="cs"/>
          <w:b/>
          <w:bCs/>
          <w:sz w:val="24"/>
          <w:szCs w:val="24"/>
          <w:rtl/>
        </w:rPr>
        <w:t xml:space="preserve">בנק יידרש לקבל </w:t>
      </w:r>
      <w:r w:rsidR="006A7106" w:rsidRPr="00894E14">
        <w:rPr>
          <w:rFonts w:ascii="Arial" w:hAnsi="Arial" w:cs="David" w:hint="cs"/>
          <w:b/>
          <w:bCs/>
          <w:sz w:val="24"/>
          <w:szCs w:val="24"/>
          <w:rtl/>
        </w:rPr>
        <w:t>אישור</w:t>
      </w:r>
      <w:r w:rsidR="006A7106" w:rsidRPr="00894E14">
        <w:rPr>
          <w:rFonts w:cs="David" w:hint="cs"/>
          <w:b/>
          <w:bCs/>
          <w:sz w:val="24"/>
          <w:szCs w:val="24"/>
          <w:rtl/>
        </w:rPr>
        <w:t xml:space="preserve"> </w:t>
      </w:r>
      <w:r w:rsidR="007D7C86" w:rsidRPr="00894E14">
        <w:rPr>
          <w:rFonts w:cs="David" w:hint="cs"/>
          <w:b/>
          <w:bCs/>
          <w:sz w:val="24"/>
          <w:szCs w:val="24"/>
          <w:rtl/>
        </w:rPr>
        <w:t xml:space="preserve">מראש של </w:t>
      </w:r>
      <w:r w:rsidR="006A7106" w:rsidRPr="00894E14">
        <w:rPr>
          <w:rFonts w:ascii="Arial" w:hAnsi="Arial" w:cs="David" w:hint="cs"/>
          <w:b/>
          <w:bCs/>
          <w:sz w:val="24"/>
          <w:szCs w:val="24"/>
          <w:rtl/>
        </w:rPr>
        <w:t>הפיקוח</w:t>
      </w:r>
      <w:r w:rsidR="006A7106" w:rsidRPr="00894E14">
        <w:rPr>
          <w:rFonts w:cs="David" w:hint="cs"/>
          <w:b/>
          <w:bCs/>
          <w:sz w:val="24"/>
          <w:szCs w:val="24"/>
          <w:rtl/>
        </w:rPr>
        <w:t xml:space="preserve"> </w:t>
      </w:r>
      <w:r w:rsidR="006A7106" w:rsidRPr="00894E14">
        <w:rPr>
          <w:rFonts w:ascii="Arial" w:hAnsi="Arial" w:cs="David" w:hint="cs"/>
          <w:b/>
          <w:bCs/>
          <w:sz w:val="24"/>
          <w:szCs w:val="24"/>
          <w:rtl/>
        </w:rPr>
        <w:t>על</w:t>
      </w:r>
      <w:r w:rsidR="006A7106" w:rsidRPr="00894E14">
        <w:rPr>
          <w:rFonts w:cs="David" w:hint="cs"/>
          <w:b/>
          <w:bCs/>
          <w:sz w:val="24"/>
          <w:szCs w:val="24"/>
          <w:rtl/>
        </w:rPr>
        <w:t xml:space="preserve"> </w:t>
      </w:r>
      <w:r w:rsidR="006A7106" w:rsidRPr="00894E14">
        <w:rPr>
          <w:rFonts w:ascii="Arial" w:hAnsi="Arial" w:cs="David" w:hint="cs"/>
          <w:b/>
          <w:bCs/>
          <w:sz w:val="24"/>
          <w:szCs w:val="24"/>
          <w:rtl/>
        </w:rPr>
        <w:t>הבנקים</w:t>
      </w:r>
      <w:r w:rsidR="006A7106" w:rsidRPr="00894E14">
        <w:rPr>
          <w:rFonts w:cs="David" w:hint="cs"/>
          <w:sz w:val="24"/>
          <w:szCs w:val="24"/>
          <w:rtl/>
        </w:rPr>
        <w:t xml:space="preserve"> </w:t>
      </w:r>
      <w:r w:rsidR="007D7C86" w:rsidRPr="00894E14">
        <w:rPr>
          <w:rFonts w:cs="David" w:hint="cs"/>
          <w:sz w:val="24"/>
          <w:szCs w:val="24"/>
          <w:rtl/>
        </w:rPr>
        <w:t>לביצוע רכישה עצמית</w:t>
      </w:r>
      <w:r w:rsidR="00FC1F22" w:rsidRPr="00894E14">
        <w:rPr>
          <w:rFonts w:cs="David" w:hint="cs"/>
          <w:sz w:val="24"/>
          <w:szCs w:val="24"/>
          <w:rtl/>
        </w:rPr>
        <w:t>, על סמך תכנית רכישה שהציג לפיקוח</w:t>
      </w:r>
      <w:r w:rsidR="007D7C86" w:rsidRPr="00894E14">
        <w:rPr>
          <w:rFonts w:cs="David" w:hint="cs"/>
          <w:sz w:val="24"/>
          <w:szCs w:val="24"/>
          <w:rtl/>
        </w:rPr>
        <w:t xml:space="preserve">. האישור נועד לאפשר לפיקוח </w:t>
      </w:r>
      <w:r w:rsidR="0040302E" w:rsidRPr="00894E14">
        <w:rPr>
          <w:rFonts w:cs="David" w:hint="cs"/>
          <w:sz w:val="24"/>
          <w:szCs w:val="24"/>
          <w:rtl/>
        </w:rPr>
        <w:t>לוודא</w:t>
      </w:r>
      <w:r w:rsidR="007D7C86" w:rsidRPr="00894E14">
        <w:rPr>
          <w:rFonts w:cs="David" w:hint="cs"/>
          <w:sz w:val="24"/>
          <w:szCs w:val="24"/>
          <w:rtl/>
        </w:rPr>
        <w:t>, בין היתר, שהרכישה העצמית אינה פוגעת ביציבות התאגיד בהווה או בעתיד</w:t>
      </w:r>
      <w:r w:rsidR="00A03DB2">
        <w:rPr>
          <w:rFonts w:cs="David" w:hint="cs"/>
          <w:sz w:val="24"/>
          <w:szCs w:val="24"/>
          <w:rtl/>
        </w:rPr>
        <w:t xml:space="preserve"> בהתחשב גם בחלוקות דיבידנדים</w:t>
      </w:r>
      <w:r w:rsidR="00EA2740">
        <w:rPr>
          <w:rFonts w:cs="David" w:hint="cs"/>
          <w:sz w:val="24"/>
          <w:szCs w:val="24"/>
          <w:rtl/>
        </w:rPr>
        <w:t xml:space="preserve"> </w:t>
      </w:r>
      <w:r w:rsidR="00A03DB2">
        <w:rPr>
          <w:rFonts w:cs="David" w:hint="cs"/>
          <w:sz w:val="24"/>
          <w:szCs w:val="24"/>
          <w:rtl/>
        </w:rPr>
        <w:t>ו</w:t>
      </w:r>
      <w:r w:rsidR="005332E1">
        <w:rPr>
          <w:rFonts w:cs="David" w:hint="cs"/>
          <w:sz w:val="24"/>
          <w:szCs w:val="24"/>
          <w:rtl/>
        </w:rPr>
        <w:t>ב</w:t>
      </w:r>
      <w:r w:rsidR="00EA2740">
        <w:rPr>
          <w:rFonts w:cs="David" w:hint="cs"/>
          <w:sz w:val="24"/>
          <w:szCs w:val="24"/>
          <w:rtl/>
        </w:rPr>
        <w:t xml:space="preserve">ניתוח התוכנית העסקית של הבנק הצפויה בשנים הקרובות (קצב גידול האשראי הצפוי וכו'), </w:t>
      </w:r>
      <w:r w:rsidR="0040302E" w:rsidRPr="00894E14">
        <w:rPr>
          <w:rFonts w:cs="David" w:hint="cs"/>
          <w:sz w:val="24"/>
          <w:szCs w:val="24"/>
          <w:rtl/>
        </w:rPr>
        <w:t>ו</w:t>
      </w:r>
      <w:r w:rsidR="00A03DB2">
        <w:rPr>
          <w:rFonts w:cs="David" w:hint="cs"/>
          <w:sz w:val="24"/>
          <w:szCs w:val="24"/>
          <w:rtl/>
        </w:rPr>
        <w:t xml:space="preserve">לוודא </w:t>
      </w:r>
      <w:r w:rsidR="0040302E" w:rsidRPr="00894E14">
        <w:rPr>
          <w:rFonts w:cs="David" w:hint="cs"/>
          <w:sz w:val="24"/>
          <w:szCs w:val="24"/>
          <w:rtl/>
        </w:rPr>
        <w:t>שההחלטה התקבלה מתוך ראייה של טובת כלל בעלי המניות והמפקידים בבנק</w:t>
      </w:r>
      <w:r w:rsidR="007D7C86" w:rsidRPr="00894E14">
        <w:rPr>
          <w:rFonts w:cs="David" w:hint="cs"/>
          <w:sz w:val="24"/>
          <w:szCs w:val="24"/>
          <w:rtl/>
        </w:rPr>
        <w:t xml:space="preserve">. </w:t>
      </w:r>
      <w:r w:rsidR="003700E5" w:rsidRPr="00894E14">
        <w:rPr>
          <w:rFonts w:cs="David" w:hint="cs"/>
          <w:sz w:val="24"/>
          <w:szCs w:val="24"/>
          <w:rtl/>
        </w:rPr>
        <w:t xml:space="preserve">אישור הפיקוח </w:t>
      </w:r>
      <w:r w:rsidR="003700E5" w:rsidRPr="00894E14">
        <w:rPr>
          <w:rFonts w:cs="David" w:hint="cs"/>
          <w:b/>
          <w:bCs/>
          <w:sz w:val="24"/>
          <w:szCs w:val="24"/>
          <w:rtl/>
        </w:rPr>
        <w:t xml:space="preserve">יהיה תקף </w:t>
      </w:r>
      <w:r w:rsidR="00E62ED4" w:rsidRPr="00894E14">
        <w:rPr>
          <w:rFonts w:cs="David" w:hint="cs"/>
          <w:b/>
          <w:bCs/>
          <w:sz w:val="24"/>
          <w:szCs w:val="24"/>
          <w:rtl/>
        </w:rPr>
        <w:t>לזמן מוגבל</w:t>
      </w:r>
      <w:r w:rsidR="00E62ED4" w:rsidRPr="00894E14">
        <w:rPr>
          <w:rFonts w:cs="David" w:hint="cs"/>
          <w:sz w:val="24"/>
          <w:szCs w:val="24"/>
          <w:rtl/>
        </w:rPr>
        <w:t xml:space="preserve">- </w:t>
      </w:r>
      <w:r w:rsidR="001B05C7" w:rsidRPr="00894E14">
        <w:rPr>
          <w:rFonts w:cs="David" w:hint="cs"/>
          <w:sz w:val="24"/>
          <w:szCs w:val="24"/>
          <w:rtl/>
        </w:rPr>
        <w:t xml:space="preserve">בדרך </w:t>
      </w:r>
      <w:r w:rsidR="003700E5" w:rsidRPr="00894E14">
        <w:rPr>
          <w:rFonts w:cs="David" w:hint="cs"/>
          <w:sz w:val="24"/>
          <w:szCs w:val="24"/>
          <w:rtl/>
        </w:rPr>
        <w:t>כלל לשנה.</w:t>
      </w:r>
    </w:p>
    <w:p w:rsidR="003700E5" w:rsidRPr="007D7C86" w:rsidRDefault="003700E5" w:rsidP="00A03DB2">
      <w:pPr>
        <w:pStyle w:val="aa"/>
        <w:numPr>
          <w:ilvl w:val="0"/>
          <w:numId w:val="4"/>
        </w:numPr>
        <w:spacing w:before="120" w:line="360" w:lineRule="auto"/>
        <w:jc w:val="both"/>
        <w:rPr>
          <w:rFonts w:cs="David"/>
          <w:sz w:val="24"/>
          <w:szCs w:val="24"/>
        </w:rPr>
      </w:pPr>
      <w:r w:rsidRPr="0071171F">
        <w:rPr>
          <w:rFonts w:cs="David" w:hint="cs"/>
          <w:b/>
          <w:bCs/>
          <w:sz w:val="24"/>
          <w:szCs w:val="24"/>
          <w:rtl/>
        </w:rPr>
        <w:t xml:space="preserve">היקף הרכישה </w:t>
      </w:r>
      <w:r w:rsidR="0046331E">
        <w:rPr>
          <w:rFonts w:cs="David" w:hint="cs"/>
          <w:b/>
          <w:bCs/>
          <w:sz w:val="24"/>
          <w:szCs w:val="24"/>
          <w:rtl/>
        </w:rPr>
        <w:t xml:space="preserve">המקסימלי </w:t>
      </w:r>
      <w:r w:rsidR="00C54CAB" w:rsidRPr="0071171F">
        <w:rPr>
          <w:rFonts w:cs="David" w:hint="cs"/>
          <w:b/>
          <w:bCs/>
          <w:sz w:val="24"/>
          <w:szCs w:val="24"/>
          <w:rtl/>
        </w:rPr>
        <w:t xml:space="preserve">בכל תכנית </w:t>
      </w:r>
      <w:r w:rsidR="00BC1BA4" w:rsidRPr="0071171F">
        <w:rPr>
          <w:rFonts w:cs="David" w:hint="cs"/>
          <w:b/>
          <w:bCs/>
          <w:sz w:val="24"/>
          <w:szCs w:val="24"/>
          <w:rtl/>
        </w:rPr>
        <w:t>י</w:t>
      </w:r>
      <w:r w:rsidRPr="0071171F">
        <w:rPr>
          <w:rFonts w:cs="David" w:hint="cs"/>
          <w:b/>
          <w:bCs/>
          <w:sz w:val="24"/>
          <w:szCs w:val="24"/>
          <w:rtl/>
        </w:rPr>
        <w:t>וגבל ל-</w:t>
      </w:r>
      <w:r w:rsidR="007A2135">
        <w:rPr>
          <w:rFonts w:cs="David" w:hint="cs"/>
          <w:b/>
          <w:bCs/>
          <w:sz w:val="24"/>
          <w:szCs w:val="24"/>
          <w:rtl/>
        </w:rPr>
        <w:t>3</w:t>
      </w:r>
      <w:r w:rsidRPr="0071171F">
        <w:rPr>
          <w:rFonts w:cs="David" w:hint="cs"/>
          <w:b/>
          <w:bCs/>
          <w:sz w:val="24"/>
          <w:szCs w:val="24"/>
          <w:rtl/>
        </w:rPr>
        <w:t xml:space="preserve">% מהון </w:t>
      </w:r>
      <w:r>
        <w:rPr>
          <w:rFonts w:cs="David" w:hint="cs"/>
          <w:sz w:val="24"/>
          <w:szCs w:val="24"/>
          <w:rtl/>
        </w:rPr>
        <w:t>המניות המונפק והנפרע של הבנק</w:t>
      </w:r>
      <w:r w:rsidR="00645F30">
        <w:rPr>
          <w:rFonts w:cs="David" w:hint="cs"/>
          <w:sz w:val="24"/>
          <w:szCs w:val="24"/>
          <w:rtl/>
        </w:rPr>
        <w:t xml:space="preserve">. </w:t>
      </w:r>
      <w:r w:rsidR="0046331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</w:t>
      </w:r>
    </w:p>
    <w:p w:rsidR="007A2135" w:rsidRDefault="0040302E" w:rsidP="00C047D0">
      <w:pPr>
        <w:pStyle w:val="aa"/>
        <w:numPr>
          <w:ilvl w:val="0"/>
          <w:numId w:val="4"/>
        </w:numPr>
        <w:spacing w:before="12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בנוסף לאלו, </w:t>
      </w:r>
      <w:r w:rsidR="003700E5">
        <w:rPr>
          <w:rFonts w:cs="David" w:hint="cs"/>
          <w:sz w:val="24"/>
          <w:szCs w:val="24"/>
          <w:rtl/>
        </w:rPr>
        <w:t>ולאור הערות שהתקבלו לטיוטה שפרסם הפיקוח בנושא,</w:t>
      </w:r>
      <w:r w:rsidR="00C54CAB">
        <w:rPr>
          <w:rFonts w:cs="David" w:hint="cs"/>
          <w:sz w:val="24"/>
          <w:szCs w:val="24"/>
          <w:rtl/>
        </w:rPr>
        <w:t xml:space="preserve"> </w:t>
      </w:r>
      <w:r w:rsidR="0046331E">
        <w:rPr>
          <w:rFonts w:cs="David" w:hint="cs"/>
          <w:sz w:val="24"/>
          <w:szCs w:val="24"/>
          <w:rtl/>
        </w:rPr>
        <w:t>ה</w:t>
      </w:r>
      <w:r w:rsidR="001B05C7">
        <w:rPr>
          <w:rFonts w:cs="David" w:hint="cs"/>
          <w:sz w:val="24"/>
          <w:szCs w:val="24"/>
          <w:rtl/>
        </w:rPr>
        <w:t>פיקוח</w:t>
      </w:r>
      <w:r w:rsidR="00C54CAB">
        <w:rPr>
          <w:rFonts w:cs="David" w:hint="cs"/>
          <w:sz w:val="24"/>
          <w:szCs w:val="24"/>
          <w:rtl/>
        </w:rPr>
        <w:t xml:space="preserve"> </w:t>
      </w:r>
      <w:r w:rsidR="0046331E">
        <w:rPr>
          <w:rFonts w:cs="David" w:hint="cs"/>
          <w:sz w:val="24"/>
          <w:szCs w:val="24"/>
          <w:rtl/>
        </w:rPr>
        <w:t xml:space="preserve">קבע כי </w:t>
      </w:r>
      <w:r w:rsidR="00AD631C" w:rsidRPr="00AD631C">
        <w:rPr>
          <w:rFonts w:cs="David" w:hint="cs"/>
          <w:b/>
          <w:bCs/>
          <w:sz w:val="24"/>
          <w:szCs w:val="24"/>
          <w:rtl/>
        </w:rPr>
        <w:t xml:space="preserve">ביצוע הרכישה העצמית לא יהיה על-ידי הבנק </w:t>
      </w:r>
      <w:r w:rsidR="0059155D">
        <w:rPr>
          <w:rFonts w:cs="David" w:hint="cs"/>
          <w:b/>
          <w:bCs/>
          <w:sz w:val="24"/>
          <w:szCs w:val="24"/>
          <w:rtl/>
        </w:rPr>
        <w:t xml:space="preserve">עצמו </w:t>
      </w:r>
      <w:r w:rsidR="00AD631C" w:rsidRPr="00AD631C">
        <w:rPr>
          <w:rFonts w:cs="David" w:hint="cs"/>
          <w:b/>
          <w:bCs/>
          <w:sz w:val="24"/>
          <w:szCs w:val="24"/>
          <w:rtl/>
        </w:rPr>
        <w:t>אלא על-ידי גורם חיצוני לבנק, בלתי תלוי, חבר בורסה,</w:t>
      </w:r>
      <w:r w:rsidR="00AD631C">
        <w:rPr>
          <w:rFonts w:cs="David" w:hint="cs"/>
          <w:sz w:val="24"/>
          <w:szCs w:val="24"/>
          <w:rtl/>
        </w:rPr>
        <w:t xml:space="preserve"> </w:t>
      </w:r>
      <w:r w:rsidR="00123D0D" w:rsidRPr="00EA2740">
        <w:rPr>
          <w:rFonts w:cs="David" w:hint="cs"/>
          <w:b/>
          <w:bCs/>
          <w:sz w:val="24"/>
          <w:szCs w:val="24"/>
          <w:rtl/>
        </w:rPr>
        <w:t>בהתאם למנגנון "הגנת נמל מבטחים"</w:t>
      </w:r>
      <w:r w:rsidR="00123D0D" w:rsidRPr="00C07832">
        <w:rPr>
          <w:rFonts w:cs="David" w:hint="cs"/>
          <w:sz w:val="24"/>
          <w:szCs w:val="24"/>
          <w:rtl/>
        </w:rPr>
        <w:t xml:space="preserve"> </w:t>
      </w:r>
      <w:r w:rsidR="00123D0D">
        <w:rPr>
          <w:rFonts w:cs="David" w:hint="cs"/>
          <w:sz w:val="24"/>
          <w:szCs w:val="24"/>
          <w:rtl/>
        </w:rPr>
        <w:t>שפרסמה</w:t>
      </w:r>
      <w:r w:rsidR="00123D0D" w:rsidRPr="00123D0D">
        <w:rPr>
          <w:rFonts w:cs="David"/>
          <w:sz w:val="24"/>
          <w:szCs w:val="24"/>
          <w:rtl/>
        </w:rPr>
        <w:t xml:space="preserve"> </w:t>
      </w:r>
      <w:r w:rsidR="00123D0D">
        <w:rPr>
          <w:rFonts w:cs="David" w:hint="cs"/>
          <w:sz w:val="24"/>
          <w:szCs w:val="24"/>
          <w:rtl/>
        </w:rPr>
        <w:t>ה</w:t>
      </w:r>
      <w:r w:rsidR="00123D0D" w:rsidRPr="00123D0D">
        <w:rPr>
          <w:rFonts w:cs="David" w:hint="cs"/>
          <w:sz w:val="24"/>
          <w:szCs w:val="24"/>
          <w:rtl/>
        </w:rPr>
        <w:t>רשות</w:t>
      </w:r>
      <w:r w:rsidR="00123D0D" w:rsidRPr="00123D0D">
        <w:rPr>
          <w:rFonts w:cs="David"/>
          <w:sz w:val="24"/>
          <w:szCs w:val="24"/>
          <w:rtl/>
        </w:rPr>
        <w:t xml:space="preserve"> </w:t>
      </w:r>
      <w:r w:rsidR="00123D0D">
        <w:rPr>
          <w:rFonts w:cs="David" w:hint="cs"/>
          <w:sz w:val="24"/>
          <w:szCs w:val="24"/>
          <w:rtl/>
        </w:rPr>
        <w:t>ל</w:t>
      </w:r>
      <w:r w:rsidR="00123D0D" w:rsidRPr="00123D0D">
        <w:rPr>
          <w:rFonts w:cs="David" w:hint="cs"/>
          <w:sz w:val="24"/>
          <w:szCs w:val="24"/>
          <w:rtl/>
        </w:rPr>
        <w:t>ניירות</w:t>
      </w:r>
      <w:r w:rsidR="00123D0D" w:rsidRPr="00123D0D">
        <w:rPr>
          <w:rFonts w:cs="David"/>
          <w:sz w:val="24"/>
          <w:szCs w:val="24"/>
          <w:rtl/>
        </w:rPr>
        <w:t xml:space="preserve"> </w:t>
      </w:r>
      <w:r w:rsidR="00123D0D" w:rsidRPr="00123D0D">
        <w:rPr>
          <w:rFonts w:cs="David" w:hint="cs"/>
          <w:sz w:val="24"/>
          <w:szCs w:val="24"/>
          <w:rtl/>
        </w:rPr>
        <w:t>ערך</w:t>
      </w:r>
      <w:r w:rsidR="00123D0D">
        <w:rPr>
          <w:rFonts w:cs="David" w:hint="cs"/>
          <w:sz w:val="24"/>
          <w:szCs w:val="24"/>
          <w:rtl/>
        </w:rPr>
        <w:t xml:space="preserve">. </w:t>
      </w:r>
      <w:r w:rsidR="00C54CAB">
        <w:rPr>
          <w:rFonts w:cs="David" w:hint="cs"/>
          <w:sz w:val="24"/>
          <w:szCs w:val="24"/>
          <w:rtl/>
        </w:rPr>
        <w:t xml:space="preserve">מנגנון זה </w:t>
      </w:r>
      <w:r w:rsidR="00123D0D">
        <w:rPr>
          <w:rFonts w:cs="David" w:hint="cs"/>
          <w:sz w:val="24"/>
          <w:szCs w:val="24"/>
          <w:rtl/>
        </w:rPr>
        <w:t>נועד ל</w:t>
      </w:r>
      <w:r w:rsidR="00356DFE">
        <w:rPr>
          <w:rFonts w:cs="David" w:hint="cs"/>
          <w:sz w:val="24"/>
          <w:szCs w:val="24"/>
          <w:rtl/>
        </w:rPr>
        <w:t xml:space="preserve">הרחיק את </w:t>
      </w:r>
      <w:r w:rsidR="00AD631C">
        <w:rPr>
          <w:rFonts w:cs="David" w:hint="cs"/>
          <w:sz w:val="24"/>
          <w:szCs w:val="24"/>
          <w:rtl/>
        </w:rPr>
        <w:t xml:space="preserve">היישום של הרכישה העצמית מהבנק </w:t>
      </w:r>
      <w:r>
        <w:rPr>
          <w:rFonts w:cs="David" w:hint="cs"/>
          <w:sz w:val="24"/>
          <w:szCs w:val="24"/>
          <w:rtl/>
        </w:rPr>
        <w:t xml:space="preserve">עצמו. </w:t>
      </w:r>
      <w:r w:rsidR="00BC1BA4">
        <w:rPr>
          <w:rFonts w:cs="David" w:hint="cs"/>
          <w:sz w:val="24"/>
          <w:szCs w:val="24"/>
          <w:rtl/>
        </w:rPr>
        <w:t xml:space="preserve">המנגנון מייצר </w:t>
      </w:r>
      <w:r w:rsidR="00C54CAB" w:rsidRPr="000D05AA">
        <w:rPr>
          <w:rFonts w:cs="David" w:hint="cs"/>
          <w:sz w:val="24"/>
          <w:szCs w:val="24"/>
          <w:rtl/>
        </w:rPr>
        <w:t xml:space="preserve">"טייס אוטומטי" לביצוע הרכישות ללא מעורבות שוטפת </w:t>
      </w:r>
      <w:r w:rsidR="008D1B6E">
        <w:rPr>
          <w:rFonts w:cs="David" w:hint="cs"/>
          <w:sz w:val="24"/>
          <w:szCs w:val="24"/>
          <w:rtl/>
        </w:rPr>
        <w:t xml:space="preserve">ברכישות </w:t>
      </w:r>
      <w:r w:rsidR="00C54CAB" w:rsidRPr="000D05AA">
        <w:rPr>
          <w:rFonts w:cs="David" w:hint="cs"/>
          <w:sz w:val="24"/>
          <w:szCs w:val="24"/>
          <w:rtl/>
        </w:rPr>
        <w:t>של ה</w:t>
      </w:r>
      <w:r w:rsidR="00356DFE" w:rsidRPr="000D05AA">
        <w:rPr>
          <w:rFonts w:cs="David" w:hint="cs"/>
          <w:sz w:val="24"/>
          <w:szCs w:val="24"/>
          <w:rtl/>
        </w:rPr>
        <w:t>תאגיד</w:t>
      </w:r>
      <w:r w:rsidR="00C54CAB" w:rsidRPr="000D05AA">
        <w:rPr>
          <w:rFonts w:cs="David" w:hint="cs"/>
          <w:sz w:val="24"/>
          <w:szCs w:val="24"/>
          <w:rtl/>
        </w:rPr>
        <w:t xml:space="preserve"> </w:t>
      </w:r>
      <w:r w:rsidR="008D1B6E">
        <w:rPr>
          <w:rFonts w:cs="David" w:hint="cs"/>
          <w:sz w:val="24"/>
          <w:szCs w:val="24"/>
          <w:rtl/>
        </w:rPr>
        <w:t xml:space="preserve">הבנקאי </w:t>
      </w:r>
      <w:r w:rsidR="00C54CAB" w:rsidRPr="000D05AA">
        <w:rPr>
          <w:rFonts w:cs="David" w:hint="cs"/>
          <w:sz w:val="24"/>
          <w:szCs w:val="24"/>
          <w:rtl/>
        </w:rPr>
        <w:t xml:space="preserve">ומקבלי ההחלטות </w:t>
      </w:r>
      <w:r w:rsidR="008D1B6E">
        <w:rPr>
          <w:rFonts w:cs="David" w:hint="cs"/>
          <w:sz w:val="24"/>
          <w:szCs w:val="24"/>
          <w:rtl/>
        </w:rPr>
        <w:t>בו</w:t>
      </w:r>
      <w:r w:rsidR="0059155D">
        <w:rPr>
          <w:rFonts w:cs="David" w:hint="cs"/>
          <w:sz w:val="24"/>
          <w:szCs w:val="24"/>
          <w:rtl/>
        </w:rPr>
        <w:t>,</w:t>
      </w:r>
      <w:r w:rsidR="00C54CAB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החל </w:t>
      </w:r>
      <w:r w:rsidR="00C54CAB">
        <w:rPr>
          <w:rFonts w:cs="David" w:hint="cs"/>
          <w:sz w:val="24"/>
          <w:szCs w:val="24"/>
          <w:rtl/>
        </w:rPr>
        <w:t>ממועד אישור התכנית מראש</w:t>
      </w:r>
      <w:r w:rsidR="008D1B6E">
        <w:rPr>
          <w:rFonts w:cs="David" w:hint="cs"/>
          <w:sz w:val="24"/>
          <w:szCs w:val="24"/>
          <w:rtl/>
        </w:rPr>
        <w:t>,</w:t>
      </w:r>
      <w:r w:rsidR="00C54CAB">
        <w:rPr>
          <w:rFonts w:cs="David" w:hint="cs"/>
          <w:sz w:val="24"/>
          <w:szCs w:val="24"/>
          <w:rtl/>
        </w:rPr>
        <w:t xml:space="preserve"> על ידי הגדרת תכנית רכישה פרטנית שלא ניתן לשנותה במהלך תקופת ביצועה, ו</w:t>
      </w:r>
      <w:r w:rsidR="00BB2A06">
        <w:rPr>
          <w:rFonts w:cs="David" w:hint="cs"/>
          <w:sz w:val="24"/>
          <w:szCs w:val="24"/>
          <w:rtl/>
        </w:rPr>
        <w:t xml:space="preserve">העברת ביצועה </w:t>
      </w:r>
      <w:r w:rsidR="00C54CAB">
        <w:rPr>
          <w:rFonts w:cs="David" w:hint="cs"/>
          <w:sz w:val="24"/>
          <w:szCs w:val="24"/>
          <w:rtl/>
        </w:rPr>
        <w:t xml:space="preserve"> </w:t>
      </w:r>
      <w:r w:rsidR="00BB2A06">
        <w:rPr>
          <w:rFonts w:cs="David" w:hint="cs"/>
          <w:sz w:val="24"/>
          <w:szCs w:val="24"/>
          <w:rtl/>
        </w:rPr>
        <w:t>ל</w:t>
      </w:r>
      <w:r w:rsidR="00C54CAB">
        <w:rPr>
          <w:rFonts w:cs="David" w:hint="cs"/>
          <w:sz w:val="24"/>
          <w:szCs w:val="24"/>
          <w:rtl/>
        </w:rPr>
        <w:t>גורם חיצוני בלתי תלוי ב</w:t>
      </w:r>
      <w:r w:rsidR="00356DFE">
        <w:rPr>
          <w:rFonts w:cs="David" w:hint="cs"/>
          <w:sz w:val="24"/>
          <w:szCs w:val="24"/>
          <w:rtl/>
        </w:rPr>
        <w:t>תאגיד</w:t>
      </w:r>
      <w:r w:rsidR="00B26143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מנגנון זה נותן מענה לחשש לשימוש במידע פנים על ידי גורמים בבנק, וממזער את </w:t>
      </w:r>
      <w:r w:rsidRPr="00C07832">
        <w:rPr>
          <w:rFonts w:cs="David" w:hint="cs"/>
          <w:sz w:val="24"/>
          <w:szCs w:val="24"/>
          <w:rtl/>
        </w:rPr>
        <w:t>פוטנציאל ניגודי העניינים בפעילות זו</w:t>
      </w:r>
      <w:r>
        <w:rPr>
          <w:rFonts w:cs="David" w:hint="cs"/>
          <w:sz w:val="24"/>
          <w:szCs w:val="24"/>
          <w:rtl/>
        </w:rPr>
        <w:t>.</w:t>
      </w:r>
      <w:r w:rsidR="003C6D41">
        <w:rPr>
          <w:rFonts w:cs="David" w:hint="cs"/>
          <w:sz w:val="24"/>
          <w:szCs w:val="24"/>
          <w:rtl/>
        </w:rPr>
        <w:t xml:space="preserve"> </w:t>
      </w:r>
    </w:p>
    <w:p w:rsidR="00E4026B" w:rsidRDefault="007A2135" w:rsidP="001C0EDD">
      <w:pPr>
        <w:pStyle w:val="aa"/>
        <w:numPr>
          <w:ilvl w:val="0"/>
          <w:numId w:val="4"/>
        </w:numPr>
        <w:spacing w:before="120" w:line="360" w:lineRule="auto"/>
        <w:ind w:left="0"/>
        <w:jc w:val="both"/>
        <w:rPr>
          <w:rFonts w:cs="David"/>
          <w:sz w:val="24"/>
          <w:szCs w:val="24"/>
        </w:rPr>
      </w:pPr>
      <w:r w:rsidRPr="004A572F">
        <w:rPr>
          <w:rFonts w:cs="David" w:hint="cs"/>
          <w:b/>
          <w:bCs/>
          <w:sz w:val="24"/>
          <w:szCs w:val="24"/>
          <w:rtl/>
        </w:rPr>
        <w:t xml:space="preserve">צמצום השפעת </w:t>
      </w:r>
      <w:r w:rsidR="008D1B6E">
        <w:rPr>
          <w:rFonts w:cs="David" w:hint="cs"/>
          <w:b/>
          <w:bCs/>
          <w:sz w:val="24"/>
          <w:szCs w:val="24"/>
          <w:rtl/>
        </w:rPr>
        <w:t xml:space="preserve">הרכישה העצמית על </w:t>
      </w:r>
      <w:r w:rsidRPr="004A572F">
        <w:rPr>
          <w:rFonts w:cs="David" w:hint="cs"/>
          <w:b/>
          <w:bCs/>
          <w:sz w:val="24"/>
          <w:szCs w:val="24"/>
          <w:rtl/>
        </w:rPr>
        <w:t>מחיר</w:t>
      </w:r>
      <w:r w:rsidR="008D1B6E">
        <w:rPr>
          <w:rFonts w:cs="David" w:hint="cs"/>
          <w:b/>
          <w:bCs/>
          <w:sz w:val="24"/>
          <w:szCs w:val="24"/>
          <w:rtl/>
        </w:rPr>
        <w:t xml:space="preserve"> המניה בבורסה</w:t>
      </w:r>
      <w:r w:rsidRPr="004A572F">
        <w:rPr>
          <w:rFonts w:cs="David" w:hint="cs"/>
          <w:b/>
          <w:bCs/>
          <w:sz w:val="24"/>
          <w:szCs w:val="24"/>
          <w:rtl/>
        </w:rPr>
        <w:t xml:space="preserve">: </w:t>
      </w:r>
      <w:r w:rsidRPr="004A572F">
        <w:rPr>
          <w:rFonts w:cs="David" w:hint="cs"/>
          <w:sz w:val="24"/>
          <w:szCs w:val="24"/>
          <w:rtl/>
        </w:rPr>
        <w:t>נקבע בהוראה ש</w:t>
      </w:r>
      <w:r w:rsidR="008D5FBF">
        <w:rPr>
          <w:rFonts w:cs="David" w:hint="cs"/>
          <w:sz w:val="24"/>
          <w:szCs w:val="24"/>
          <w:rtl/>
        </w:rPr>
        <w:t xml:space="preserve">תכנית הרכישה של </w:t>
      </w:r>
      <w:r w:rsidRPr="004A572F">
        <w:rPr>
          <w:rFonts w:cs="David" w:hint="cs"/>
          <w:sz w:val="24"/>
          <w:szCs w:val="24"/>
          <w:rtl/>
        </w:rPr>
        <w:t xml:space="preserve">בנק </w:t>
      </w:r>
      <w:r w:rsidR="008D5FBF">
        <w:rPr>
          <w:rFonts w:cs="David" w:hint="cs"/>
          <w:sz w:val="24"/>
          <w:szCs w:val="24"/>
          <w:rtl/>
        </w:rPr>
        <w:t>ת</w:t>
      </w:r>
      <w:r w:rsidR="004A572F" w:rsidRPr="004A572F">
        <w:rPr>
          <w:rFonts w:cs="David" w:hint="cs"/>
          <w:sz w:val="24"/>
          <w:szCs w:val="24"/>
          <w:rtl/>
        </w:rPr>
        <w:t>תחשב במחזורי המסחר של מניית ה</w:t>
      </w:r>
      <w:r w:rsidR="001C0EDD">
        <w:rPr>
          <w:rFonts w:cs="David" w:hint="cs"/>
          <w:sz w:val="24"/>
          <w:szCs w:val="24"/>
          <w:rtl/>
        </w:rPr>
        <w:t>בנק</w:t>
      </w:r>
      <w:r w:rsidR="007A4AB2">
        <w:rPr>
          <w:rFonts w:cs="David" w:hint="cs"/>
          <w:sz w:val="24"/>
          <w:szCs w:val="24"/>
          <w:rtl/>
        </w:rPr>
        <w:t>.</w:t>
      </w:r>
      <w:r w:rsidR="004A572F" w:rsidRPr="004A572F">
        <w:rPr>
          <w:rFonts w:cs="David" w:hint="cs"/>
          <w:sz w:val="24"/>
          <w:szCs w:val="24"/>
          <w:rtl/>
        </w:rPr>
        <w:t xml:space="preserve"> </w:t>
      </w:r>
    </w:p>
    <w:p w:rsidR="000775F5" w:rsidRDefault="000775F5" w:rsidP="000775F5">
      <w:pPr>
        <w:pStyle w:val="aa"/>
        <w:spacing w:before="120" w:line="360" w:lineRule="auto"/>
        <w:ind w:left="0"/>
        <w:jc w:val="both"/>
        <w:rPr>
          <w:rFonts w:cs="David"/>
          <w:sz w:val="24"/>
          <w:szCs w:val="24"/>
          <w:rtl/>
        </w:rPr>
      </w:pPr>
    </w:p>
    <w:tbl>
      <w:tblPr>
        <w:tblStyle w:val="a5"/>
        <w:bidiVisual/>
        <w:tblW w:w="0" w:type="auto"/>
        <w:jc w:val="center"/>
        <w:tblInd w:w="-368" w:type="dxa"/>
        <w:tblLook w:val="04A0" w:firstRow="1" w:lastRow="0" w:firstColumn="1" w:lastColumn="0" w:noHBand="0" w:noVBand="1"/>
      </w:tblPr>
      <w:tblGrid>
        <w:gridCol w:w="9096"/>
      </w:tblGrid>
      <w:tr w:rsidR="000C116E" w:rsidTr="00AF44E7">
        <w:trPr>
          <w:jc w:val="center"/>
        </w:trPr>
        <w:tc>
          <w:tcPr>
            <w:tcW w:w="9096" w:type="dxa"/>
          </w:tcPr>
          <w:p w:rsidR="000C116E" w:rsidRDefault="000C116E" w:rsidP="000C116E">
            <w:pPr>
              <w:spacing w:before="12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הגנות שהוגדרו </w:t>
            </w:r>
            <w:r w:rsidR="001F0569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על-ידי הפיקוח </w:t>
            </w: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כחלק מהאישור לרכישה עצמית</w:t>
            </w:r>
            <w:r w:rsidR="00645F3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, מעבר לנדרש בחוק החברות</w:t>
            </w: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:</w:t>
            </w:r>
          </w:p>
          <w:p w:rsidR="000C116E" w:rsidRDefault="000C116E" w:rsidP="000C116E">
            <w:pPr>
              <w:pStyle w:val="aa"/>
              <w:numPr>
                <w:ilvl w:val="0"/>
                <w:numId w:val="8"/>
              </w:numPr>
              <w:spacing w:before="120"/>
              <w:jc w:val="both"/>
              <w:rPr>
                <w:rFonts w:cs="David"/>
                <w:sz w:val="24"/>
                <w:szCs w:val="24"/>
              </w:rPr>
            </w:pPr>
            <w:r w:rsidRPr="000C116E">
              <w:rPr>
                <w:rFonts w:cs="David" w:hint="cs"/>
                <w:sz w:val="24"/>
                <w:szCs w:val="24"/>
                <w:rtl/>
              </w:rPr>
              <w:t>הרכישה תבוצע לפי כללי חוק החברות</w:t>
            </w:r>
            <w:r w:rsidR="0059155D">
              <w:rPr>
                <w:rFonts w:cs="David" w:hint="cs"/>
                <w:sz w:val="24"/>
                <w:szCs w:val="24"/>
                <w:rtl/>
              </w:rPr>
              <w:t xml:space="preserve"> שמתיר רכישה עצמית </w:t>
            </w:r>
            <w:r w:rsidR="001F0569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A4AB2" w:rsidRDefault="007A4AB2" w:rsidP="001F0569">
            <w:pPr>
              <w:spacing w:before="120"/>
              <w:ind w:left="360"/>
              <w:rPr>
                <w:b/>
                <w:bCs/>
                <w:rtl/>
              </w:rPr>
            </w:pPr>
          </w:p>
          <w:p w:rsidR="001F0569" w:rsidRPr="007A4AB2" w:rsidRDefault="001F0569" w:rsidP="001F0569">
            <w:pPr>
              <w:spacing w:before="120"/>
              <w:ind w:left="360"/>
              <w:rPr>
                <w:b/>
                <w:bCs/>
              </w:rPr>
            </w:pPr>
            <w:r w:rsidRPr="007A4AB2">
              <w:rPr>
                <w:rFonts w:hint="cs"/>
                <w:b/>
                <w:bCs/>
                <w:rtl/>
              </w:rPr>
              <w:t>בנוסף לכך:</w:t>
            </w:r>
          </w:p>
          <w:p w:rsidR="000C116E" w:rsidRPr="000C116E" w:rsidRDefault="000C116E" w:rsidP="008D6BFC">
            <w:pPr>
              <w:pStyle w:val="aa"/>
              <w:numPr>
                <w:ilvl w:val="0"/>
                <w:numId w:val="8"/>
              </w:numPr>
              <w:spacing w:before="120"/>
              <w:jc w:val="both"/>
              <w:rPr>
                <w:rFonts w:cs="David"/>
                <w:sz w:val="24"/>
                <w:szCs w:val="24"/>
              </w:rPr>
            </w:pPr>
            <w:r w:rsidRPr="000C116E">
              <w:rPr>
                <w:rFonts w:cs="David" w:hint="cs"/>
                <w:sz w:val="24"/>
                <w:szCs w:val="24"/>
                <w:rtl/>
              </w:rPr>
              <w:t xml:space="preserve">הפיקוח יבחן </w:t>
            </w:r>
            <w:r w:rsidR="008D6BFC">
              <w:rPr>
                <w:rFonts w:cs="David" w:hint="cs"/>
                <w:sz w:val="24"/>
                <w:szCs w:val="24"/>
                <w:rtl/>
              </w:rPr>
              <w:t xml:space="preserve">מראש </w:t>
            </w:r>
            <w:r w:rsidRPr="000C116E">
              <w:rPr>
                <w:rFonts w:cs="David" w:hint="cs"/>
                <w:sz w:val="24"/>
                <w:szCs w:val="24"/>
                <w:rtl/>
              </w:rPr>
              <w:t>את נאותות ההון של</w:t>
            </w:r>
            <w:r w:rsidR="008D6BFC">
              <w:rPr>
                <w:rFonts w:cs="David" w:hint="cs"/>
                <w:sz w:val="24"/>
                <w:szCs w:val="24"/>
                <w:rtl/>
              </w:rPr>
              <w:t xml:space="preserve"> בנק שיפנה בבקשה,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כתנאי לאישור</w:t>
            </w:r>
            <w:r w:rsidR="00A03DB2">
              <w:rPr>
                <w:rFonts w:cs="David" w:hint="cs"/>
                <w:sz w:val="24"/>
                <w:szCs w:val="24"/>
                <w:rtl/>
              </w:rPr>
              <w:t>, תוך התחשבות הן ברכישה והן בחלוקת דיבידנדים</w:t>
            </w:r>
          </w:p>
          <w:p w:rsidR="000C116E" w:rsidRPr="000C116E" w:rsidRDefault="000C116E" w:rsidP="00A03DB2">
            <w:pPr>
              <w:pStyle w:val="aa"/>
              <w:numPr>
                <w:ilvl w:val="0"/>
                <w:numId w:val="8"/>
              </w:numPr>
              <w:spacing w:before="120"/>
              <w:jc w:val="both"/>
              <w:rPr>
                <w:rFonts w:cs="David"/>
                <w:sz w:val="24"/>
                <w:szCs w:val="24"/>
              </w:rPr>
            </w:pPr>
            <w:r w:rsidRPr="000C116E">
              <w:rPr>
                <w:rFonts w:cs="David" w:hint="cs"/>
                <w:sz w:val="24"/>
                <w:szCs w:val="24"/>
                <w:rtl/>
              </w:rPr>
              <w:t xml:space="preserve">הרכישה תוגבל ל- </w:t>
            </w:r>
            <w:r w:rsidR="007A2135">
              <w:rPr>
                <w:rFonts w:cs="David" w:hint="cs"/>
                <w:sz w:val="24"/>
                <w:szCs w:val="24"/>
                <w:rtl/>
              </w:rPr>
              <w:t>3</w:t>
            </w:r>
            <w:r w:rsidRPr="000C116E">
              <w:rPr>
                <w:rFonts w:cs="David" w:hint="cs"/>
                <w:sz w:val="24"/>
                <w:szCs w:val="24"/>
                <w:rtl/>
              </w:rPr>
              <w:t xml:space="preserve">% מהון הבנק </w:t>
            </w:r>
            <w:r w:rsidR="00A03DB2">
              <w:rPr>
                <w:rFonts w:cs="David" w:hint="cs"/>
                <w:sz w:val="24"/>
                <w:szCs w:val="24"/>
                <w:rtl/>
              </w:rPr>
              <w:t>בכל תכנית</w:t>
            </w:r>
          </w:p>
          <w:p w:rsidR="00E4026B" w:rsidRPr="00E4026B" w:rsidRDefault="000C116E" w:rsidP="00A03DB2">
            <w:pPr>
              <w:pStyle w:val="aa"/>
              <w:numPr>
                <w:ilvl w:val="0"/>
                <w:numId w:val="8"/>
              </w:num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E4026B">
              <w:rPr>
                <w:rFonts w:cs="David" w:hint="cs"/>
                <w:sz w:val="24"/>
                <w:szCs w:val="24"/>
                <w:rtl/>
              </w:rPr>
              <w:t>הבנק יודיע לציבור הרחב על תכנית הרכישה מראש</w:t>
            </w:r>
          </w:p>
          <w:p w:rsidR="00E4026B" w:rsidRPr="00E4026B" w:rsidRDefault="00E4026B" w:rsidP="009249EA">
            <w:pPr>
              <w:pStyle w:val="aa"/>
              <w:numPr>
                <w:ilvl w:val="0"/>
                <w:numId w:val="8"/>
              </w:num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הרכישה </w:t>
            </w:r>
            <w:r w:rsidR="009249EA">
              <w:rPr>
                <w:rFonts w:cs="David" w:hint="cs"/>
                <w:sz w:val="24"/>
                <w:szCs w:val="24"/>
                <w:rtl/>
              </w:rPr>
              <w:t>לא תופנה לקבוצה מסוימת של בעלי מניות, אלא אם מדובר ב</w:t>
            </w:r>
            <w:r w:rsidR="00CA3F35">
              <w:rPr>
                <w:rFonts w:cs="David" w:hint="cs"/>
                <w:sz w:val="24"/>
                <w:szCs w:val="24"/>
                <w:rtl/>
              </w:rPr>
              <w:t xml:space="preserve">גופים </w:t>
            </w:r>
            <w:r w:rsidR="006C4FDF">
              <w:rPr>
                <w:rFonts w:cs="David" w:hint="cs"/>
                <w:sz w:val="24"/>
                <w:szCs w:val="24"/>
                <w:rtl/>
              </w:rPr>
              <w:t>מוסדיים ודומיהם</w:t>
            </w:r>
          </w:p>
          <w:p w:rsidR="007A2135" w:rsidRDefault="000C116E" w:rsidP="00DA60DC">
            <w:pPr>
              <w:pStyle w:val="aa"/>
              <w:numPr>
                <w:ilvl w:val="0"/>
                <w:numId w:val="8"/>
              </w:numPr>
              <w:spacing w:before="120"/>
              <w:jc w:val="both"/>
              <w:rPr>
                <w:rFonts w:cs="David"/>
                <w:sz w:val="24"/>
                <w:szCs w:val="24"/>
              </w:rPr>
            </w:pPr>
            <w:r w:rsidRPr="00E4026B">
              <w:rPr>
                <w:rFonts w:cs="David" w:hint="cs"/>
                <w:sz w:val="24"/>
                <w:szCs w:val="24"/>
                <w:rtl/>
              </w:rPr>
              <w:t>הרכישה תבוצע על-ידי גורם חיצוני בלתי תלוי בבנק ("הגנת נמל מבטחים")</w:t>
            </w:r>
            <w:r w:rsidR="003F34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0C116E" w:rsidRPr="003F3434" w:rsidRDefault="004A572F" w:rsidP="00900192">
            <w:pPr>
              <w:pStyle w:val="aa"/>
              <w:numPr>
                <w:ilvl w:val="0"/>
                <w:numId w:val="8"/>
              </w:numPr>
              <w:spacing w:before="12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בכדי ל</w:t>
            </w:r>
            <w:r w:rsidR="00F3697E">
              <w:rPr>
                <w:rFonts w:cs="David" w:hint="cs"/>
                <w:sz w:val="24"/>
                <w:szCs w:val="24"/>
                <w:rtl/>
              </w:rPr>
              <w:t xml:space="preserve">צמצם </w:t>
            </w:r>
            <w:r w:rsidR="008D1B6E">
              <w:rPr>
                <w:rFonts w:cs="David" w:hint="cs"/>
                <w:sz w:val="24"/>
                <w:szCs w:val="24"/>
                <w:rtl/>
              </w:rPr>
              <w:t xml:space="preserve">את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השפעת </w:t>
            </w:r>
            <w:r w:rsidR="008D1B6E">
              <w:rPr>
                <w:rFonts w:cs="David" w:hint="cs"/>
                <w:sz w:val="24"/>
                <w:szCs w:val="24"/>
                <w:rtl/>
              </w:rPr>
              <w:t xml:space="preserve">הרכישה על </w:t>
            </w:r>
            <w:r>
              <w:rPr>
                <w:rFonts w:cs="David" w:hint="cs"/>
                <w:sz w:val="24"/>
                <w:szCs w:val="24"/>
                <w:rtl/>
              </w:rPr>
              <w:t>מחיר</w:t>
            </w:r>
            <w:r w:rsidR="008D1B6E">
              <w:rPr>
                <w:rFonts w:cs="David" w:hint="cs"/>
                <w:sz w:val="24"/>
                <w:szCs w:val="24"/>
                <w:rtl/>
              </w:rPr>
              <w:t xml:space="preserve"> המניה בבורסה</w:t>
            </w:r>
            <w:r w:rsidR="00F3697E">
              <w:rPr>
                <w:rFonts w:cs="David" w:hint="cs"/>
                <w:sz w:val="24"/>
                <w:szCs w:val="24"/>
                <w:rtl/>
              </w:rPr>
              <w:t>,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תכנית הרכישה תתחשב גם במחזורי המסחר של מניית </w:t>
            </w:r>
            <w:r w:rsidR="00900192">
              <w:rPr>
                <w:rFonts w:cs="David" w:hint="cs"/>
                <w:sz w:val="24"/>
                <w:szCs w:val="24"/>
                <w:rtl/>
              </w:rPr>
              <w:t>הבנק</w:t>
            </w:r>
            <w:r w:rsidR="003F3434" w:rsidRPr="003F34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0C116E" w:rsidRDefault="000C116E" w:rsidP="00B26143">
            <w:pPr>
              <w:spacing w:before="12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0C116E" w:rsidRPr="003573B3" w:rsidRDefault="000C116E" w:rsidP="00B26143">
      <w:pPr>
        <w:spacing w:before="120"/>
        <w:rPr>
          <w:rFonts w:ascii="Calibri" w:eastAsia="Calibri" w:hAnsi="Calibri"/>
          <w:b/>
          <w:bCs/>
          <w:sz w:val="28"/>
          <w:szCs w:val="28"/>
          <w:rtl/>
        </w:rPr>
      </w:pPr>
    </w:p>
    <w:p w:rsidR="00042F68" w:rsidRPr="00042F68" w:rsidRDefault="00042F68" w:rsidP="004B1BF5">
      <w:pPr>
        <w:pStyle w:val="aa"/>
        <w:spacing w:before="120" w:line="360" w:lineRule="auto"/>
        <w:ind w:left="0"/>
        <w:jc w:val="both"/>
        <w:rPr>
          <w:rFonts w:cs="David"/>
          <w:sz w:val="24"/>
          <w:szCs w:val="24"/>
          <w:rtl/>
        </w:rPr>
      </w:pPr>
    </w:p>
    <w:sectPr w:rsidR="00042F68" w:rsidRPr="00042F68" w:rsidSect="00AF44E7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endnotePr>
        <w:numFmt w:val="lowerLetter"/>
      </w:endnotePr>
      <w:pgSz w:w="11906" w:h="16838" w:code="9"/>
      <w:pgMar w:top="1440" w:right="1080" w:bottom="1440" w:left="1080" w:header="1080" w:footer="562" w:gutter="0"/>
      <w:cols w:space="720"/>
      <w:titlePg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77" w:rsidRDefault="002E7C77">
      <w:r>
        <w:separator/>
      </w:r>
    </w:p>
  </w:endnote>
  <w:endnote w:type="continuationSeparator" w:id="0">
    <w:p w:rsidR="002E7C77" w:rsidRDefault="002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A3" w:rsidRDefault="00BC56A3" w:rsidP="0064358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BC56A3" w:rsidRDefault="00BC56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A3" w:rsidRDefault="00BC56A3" w:rsidP="00EF237D">
    <w:pPr>
      <w:jc w:val="center"/>
      <w:rPr>
        <w:sz w:val="22"/>
        <w:szCs w:val="22"/>
        <w:rtl/>
      </w:rPr>
    </w:pPr>
    <w:bookmarkStart w:id="2" w:name="T003"/>
    <w:bookmarkEnd w:id="2"/>
  </w:p>
  <w:p w:rsidR="00BC56A3" w:rsidRPr="00D340F3" w:rsidRDefault="00BC56A3" w:rsidP="00EF237D">
    <w:pPr>
      <w:jc w:val="center"/>
      <w:rPr>
        <w:color w:val="FFFFFF"/>
        <w:sz w:val="2"/>
        <w:szCs w:val="2"/>
        <w:rtl/>
      </w:rPr>
    </w:pPr>
    <w:bookmarkStart w:id="3" w:name="DocOpen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77" w:rsidRDefault="002E7C77">
      <w:r>
        <w:separator/>
      </w:r>
    </w:p>
  </w:footnote>
  <w:footnote w:type="continuationSeparator" w:id="0">
    <w:p w:rsidR="002E7C77" w:rsidRDefault="002E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A3" w:rsidRDefault="00BC56A3" w:rsidP="0028590F">
    <w:pPr>
      <w:pStyle w:val="a6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BC56A3" w:rsidRDefault="00BC56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A3" w:rsidRDefault="00BC56A3" w:rsidP="0028590F">
    <w:pPr>
      <w:pStyle w:val="a6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512845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:rsidR="00BC56A3" w:rsidRDefault="00BC56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A3" w:rsidRPr="00CF2125" w:rsidRDefault="00BC56A3" w:rsidP="003B43FE">
    <w:pPr>
      <w:pStyle w:val="a6"/>
      <w:rPr>
        <w:sz w:val="2"/>
        <w:szCs w:val="2"/>
      </w:rPr>
    </w:pPr>
    <w:bookmarkStart w:id="1" w:name="Flag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A95"/>
    <w:multiLevelType w:val="hybridMultilevel"/>
    <w:tmpl w:val="9E5C9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53D59"/>
    <w:multiLevelType w:val="hybridMultilevel"/>
    <w:tmpl w:val="A5D8C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A1D93"/>
    <w:multiLevelType w:val="hybridMultilevel"/>
    <w:tmpl w:val="ECC2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4AC4"/>
    <w:multiLevelType w:val="hybridMultilevel"/>
    <w:tmpl w:val="16007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08323E"/>
    <w:multiLevelType w:val="hybridMultilevel"/>
    <w:tmpl w:val="0CFEB1B6"/>
    <w:lvl w:ilvl="0" w:tplc="42448322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A0458"/>
    <w:multiLevelType w:val="hybridMultilevel"/>
    <w:tmpl w:val="F1FC1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884203"/>
    <w:multiLevelType w:val="hybridMultilevel"/>
    <w:tmpl w:val="033C7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07851"/>
    <w:multiLevelType w:val="multilevel"/>
    <w:tmpl w:val="8F9AB302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8">
    <w:nsid w:val="7FD01122"/>
    <w:multiLevelType w:val="hybridMultilevel"/>
    <w:tmpl w:val="D2D4CC28"/>
    <w:lvl w:ilvl="0" w:tplc="42448322">
      <w:start w:val="1"/>
      <w:numFmt w:val="hebrew1"/>
      <w:lvlText w:val="%1)"/>
      <w:lvlJc w:val="left"/>
      <w:pPr>
        <w:ind w:left="360" w:hanging="360"/>
      </w:pPr>
      <w:rPr>
        <w:rFonts w:hint="default"/>
      </w:rPr>
    </w:lvl>
    <w:lvl w:ilvl="1" w:tplc="42448322">
      <w:start w:val="1"/>
      <w:numFmt w:val="hebrew1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av Soffer">
    <w15:presenceInfo w15:providerId="None" w15:userId="Yoav So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64"/>
    <w:rsid w:val="000009F1"/>
    <w:rsid w:val="000026CF"/>
    <w:rsid w:val="00007B3A"/>
    <w:rsid w:val="00007C4B"/>
    <w:rsid w:val="00011504"/>
    <w:rsid w:val="0001164B"/>
    <w:rsid w:val="00013569"/>
    <w:rsid w:val="000138B6"/>
    <w:rsid w:val="00013C79"/>
    <w:rsid w:val="000141C0"/>
    <w:rsid w:val="00015E09"/>
    <w:rsid w:val="000260BF"/>
    <w:rsid w:val="000328E6"/>
    <w:rsid w:val="00033358"/>
    <w:rsid w:val="00035F57"/>
    <w:rsid w:val="000378AB"/>
    <w:rsid w:val="00041900"/>
    <w:rsid w:val="00041B04"/>
    <w:rsid w:val="00042345"/>
    <w:rsid w:val="00042F68"/>
    <w:rsid w:val="0004453D"/>
    <w:rsid w:val="000454F4"/>
    <w:rsid w:val="000458B3"/>
    <w:rsid w:val="00045FE5"/>
    <w:rsid w:val="00047D15"/>
    <w:rsid w:val="0005118E"/>
    <w:rsid w:val="0005120D"/>
    <w:rsid w:val="00051E6B"/>
    <w:rsid w:val="00053728"/>
    <w:rsid w:val="00054106"/>
    <w:rsid w:val="00055F25"/>
    <w:rsid w:val="00057135"/>
    <w:rsid w:val="00057218"/>
    <w:rsid w:val="00060B9A"/>
    <w:rsid w:val="0006325B"/>
    <w:rsid w:val="00067218"/>
    <w:rsid w:val="00070644"/>
    <w:rsid w:val="00073855"/>
    <w:rsid w:val="00074D82"/>
    <w:rsid w:val="0007611F"/>
    <w:rsid w:val="000775F5"/>
    <w:rsid w:val="00080F31"/>
    <w:rsid w:val="00081137"/>
    <w:rsid w:val="000817AA"/>
    <w:rsid w:val="0008218D"/>
    <w:rsid w:val="000821B2"/>
    <w:rsid w:val="000845B5"/>
    <w:rsid w:val="00084E9A"/>
    <w:rsid w:val="000861D4"/>
    <w:rsid w:val="00086CA6"/>
    <w:rsid w:val="0008722A"/>
    <w:rsid w:val="00087C8A"/>
    <w:rsid w:val="00090A24"/>
    <w:rsid w:val="00094BA3"/>
    <w:rsid w:val="00095E0A"/>
    <w:rsid w:val="00096D9E"/>
    <w:rsid w:val="000976BD"/>
    <w:rsid w:val="000A0C4F"/>
    <w:rsid w:val="000A17A4"/>
    <w:rsid w:val="000A2739"/>
    <w:rsid w:val="000A5714"/>
    <w:rsid w:val="000A7D1A"/>
    <w:rsid w:val="000B4065"/>
    <w:rsid w:val="000B46DD"/>
    <w:rsid w:val="000B47D0"/>
    <w:rsid w:val="000B4B88"/>
    <w:rsid w:val="000B4BD5"/>
    <w:rsid w:val="000B5951"/>
    <w:rsid w:val="000B6437"/>
    <w:rsid w:val="000C116E"/>
    <w:rsid w:val="000C3299"/>
    <w:rsid w:val="000C491E"/>
    <w:rsid w:val="000C62A8"/>
    <w:rsid w:val="000D05AA"/>
    <w:rsid w:val="000D08EB"/>
    <w:rsid w:val="000D0E49"/>
    <w:rsid w:val="000D197F"/>
    <w:rsid w:val="000D3195"/>
    <w:rsid w:val="000D68C4"/>
    <w:rsid w:val="000E0CCA"/>
    <w:rsid w:val="000E4353"/>
    <w:rsid w:val="000E6063"/>
    <w:rsid w:val="000E655A"/>
    <w:rsid w:val="000E66DF"/>
    <w:rsid w:val="000F27D3"/>
    <w:rsid w:val="000F318D"/>
    <w:rsid w:val="000F4AA6"/>
    <w:rsid w:val="000F4ABC"/>
    <w:rsid w:val="000F6C4F"/>
    <w:rsid w:val="000F6FB6"/>
    <w:rsid w:val="000F7104"/>
    <w:rsid w:val="000F785B"/>
    <w:rsid w:val="00100AC3"/>
    <w:rsid w:val="00101288"/>
    <w:rsid w:val="00102044"/>
    <w:rsid w:val="00103060"/>
    <w:rsid w:val="00105D15"/>
    <w:rsid w:val="00110C38"/>
    <w:rsid w:val="00110CC5"/>
    <w:rsid w:val="00111567"/>
    <w:rsid w:val="00112DA7"/>
    <w:rsid w:val="00113229"/>
    <w:rsid w:val="00114069"/>
    <w:rsid w:val="00115537"/>
    <w:rsid w:val="00115AAF"/>
    <w:rsid w:val="001171D2"/>
    <w:rsid w:val="001211C1"/>
    <w:rsid w:val="00122AC9"/>
    <w:rsid w:val="0012372B"/>
    <w:rsid w:val="00123D0D"/>
    <w:rsid w:val="00126797"/>
    <w:rsid w:val="001272AD"/>
    <w:rsid w:val="00127926"/>
    <w:rsid w:val="00130B12"/>
    <w:rsid w:val="00131FFE"/>
    <w:rsid w:val="00133D36"/>
    <w:rsid w:val="00135649"/>
    <w:rsid w:val="001362CF"/>
    <w:rsid w:val="00136EEA"/>
    <w:rsid w:val="00137FE4"/>
    <w:rsid w:val="001420C5"/>
    <w:rsid w:val="00142AF8"/>
    <w:rsid w:val="00142EAA"/>
    <w:rsid w:val="0014453B"/>
    <w:rsid w:val="00146716"/>
    <w:rsid w:val="00146D0A"/>
    <w:rsid w:val="00147470"/>
    <w:rsid w:val="0015033E"/>
    <w:rsid w:val="00151097"/>
    <w:rsid w:val="00153CF0"/>
    <w:rsid w:val="00155830"/>
    <w:rsid w:val="00155A8A"/>
    <w:rsid w:val="00156C1B"/>
    <w:rsid w:val="00156EA2"/>
    <w:rsid w:val="00161FE8"/>
    <w:rsid w:val="001625DE"/>
    <w:rsid w:val="00163AF9"/>
    <w:rsid w:val="00164AA0"/>
    <w:rsid w:val="00167028"/>
    <w:rsid w:val="00167A84"/>
    <w:rsid w:val="00167E36"/>
    <w:rsid w:val="00170266"/>
    <w:rsid w:val="00171CF0"/>
    <w:rsid w:val="001727EC"/>
    <w:rsid w:val="00176367"/>
    <w:rsid w:val="00177165"/>
    <w:rsid w:val="00177EB0"/>
    <w:rsid w:val="0018125C"/>
    <w:rsid w:val="001813C4"/>
    <w:rsid w:val="00181E41"/>
    <w:rsid w:val="00184124"/>
    <w:rsid w:val="00184A03"/>
    <w:rsid w:val="00184C00"/>
    <w:rsid w:val="00184D7A"/>
    <w:rsid w:val="00186466"/>
    <w:rsid w:val="00190300"/>
    <w:rsid w:val="00191B5D"/>
    <w:rsid w:val="00194486"/>
    <w:rsid w:val="001945A5"/>
    <w:rsid w:val="00194701"/>
    <w:rsid w:val="0019495D"/>
    <w:rsid w:val="00194AD9"/>
    <w:rsid w:val="00194B92"/>
    <w:rsid w:val="00194FBC"/>
    <w:rsid w:val="0019691D"/>
    <w:rsid w:val="00196D09"/>
    <w:rsid w:val="001A01E9"/>
    <w:rsid w:val="001A243E"/>
    <w:rsid w:val="001A405F"/>
    <w:rsid w:val="001A4876"/>
    <w:rsid w:val="001A53B3"/>
    <w:rsid w:val="001B05C7"/>
    <w:rsid w:val="001B0BC5"/>
    <w:rsid w:val="001B372B"/>
    <w:rsid w:val="001C0EDD"/>
    <w:rsid w:val="001C1966"/>
    <w:rsid w:val="001C295C"/>
    <w:rsid w:val="001C2F76"/>
    <w:rsid w:val="001C59F2"/>
    <w:rsid w:val="001C6957"/>
    <w:rsid w:val="001C6A20"/>
    <w:rsid w:val="001D1534"/>
    <w:rsid w:val="001D5596"/>
    <w:rsid w:val="001D6939"/>
    <w:rsid w:val="001E1307"/>
    <w:rsid w:val="001E1BFA"/>
    <w:rsid w:val="001E7C4C"/>
    <w:rsid w:val="001F044E"/>
    <w:rsid w:val="001F0569"/>
    <w:rsid w:val="001F0AFF"/>
    <w:rsid w:val="001F3CCB"/>
    <w:rsid w:val="001F4677"/>
    <w:rsid w:val="001F59E8"/>
    <w:rsid w:val="002002F9"/>
    <w:rsid w:val="002007C5"/>
    <w:rsid w:val="00201DC9"/>
    <w:rsid w:val="00202323"/>
    <w:rsid w:val="00202458"/>
    <w:rsid w:val="00202706"/>
    <w:rsid w:val="00205AF3"/>
    <w:rsid w:val="00212D83"/>
    <w:rsid w:val="00213AC8"/>
    <w:rsid w:val="002150F7"/>
    <w:rsid w:val="00216393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2B3A"/>
    <w:rsid w:val="0023546C"/>
    <w:rsid w:val="002362FE"/>
    <w:rsid w:val="00243271"/>
    <w:rsid w:val="002435F5"/>
    <w:rsid w:val="002437D9"/>
    <w:rsid w:val="00244D5E"/>
    <w:rsid w:val="00246763"/>
    <w:rsid w:val="00247BBC"/>
    <w:rsid w:val="00250650"/>
    <w:rsid w:val="00250784"/>
    <w:rsid w:val="00251010"/>
    <w:rsid w:val="00251864"/>
    <w:rsid w:val="00252FA4"/>
    <w:rsid w:val="0025451F"/>
    <w:rsid w:val="00254AF8"/>
    <w:rsid w:val="00254E88"/>
    <w:rsid w:val="00255888"/>
    <w:rsid w:val="00255A65"/>
    <w:rsid w:val="00256C22"/>
    <w:rsid w:val="002644DE"/>
    <w:rsid w:val="00270428"/>
    <w:rsid w:val="00270DE6"/>
    <w:rsid w:val="00271122"/>
    <w:rsid w:val="0027211B"/>
    <w:rsid w:val="002724DF"/>
    <w:rsid w:val="00273F4F"/>
    <w:rsid w:val="002755BE"/>
    <w:rsid w:val="00277065"/>
    <w:rsid w:val="00280677"/>
    <w:rsid w:val="00280A4A"/>
    <w:rsid w:val="00281822"/>
    <w:rsid w:val="00282DF6"/>
    <w:rsid w:val="00283153"/>
    <w:rsid w:val="0028590F"/>
    <w:rsid w:val="0028765A"/>
    <w:rsid w:val="002905C8"/>
    <w:rsid w:val="002908F2"/>
    <w:rsid w:val="002929E1"/>
    <w:rsid w:val="002931D6"/>
    <w:rsid w:val="0029435A"/>
    <w:rsid w:val="00294F93"/>
    <w:rsid w:val="00296CB4"/>
    <w:rsid w:val="002A05C1"/>
    <w:rsid w:val="002A27A9"/>
    <w:rsid w:val="002A2ACB"/>
    <w:rsid w:val="002A51EF"/>
    <w:rsid w:val="002A6731"/>
    <w:rsid w:val="002A6CA2"/>
    <w:rsid w:val="002A75F7"/>
    <w:rsid w:val="002B02BE"/>
    <w:rsid w:val="002B1970"/>
    <w:rsid w:val="002B2743"/>
    <w:rsid w:val="002B3F9B"/>
    <w:rsid w:val="002B4577"/>
    <w:rsid w:val="002B5124"/>
    <w:rsid w:val="002B5941"/>
    <w:rsid w:val="002B65BC"/>
    <w:rsid w:val="002B6732"/>
    <w:rsid w:val="002B7502"/>
    <w:rsid w:val="002B7766"/>
    <w:rsid w:val="002B7DA2"/>
    <w:rsid w:val="002C0546"/>
    <w:rsid w:val="002C130F"/>
    <w:rsid w:val="002C1753"/>
    <w:rsid w:val="002C3AFC"/>
    <w:rsid w:val="002C419D"/>
    <w:rsid w:val="002C70F9"/>
    <w:rsid w:val="002C72C8"/>
    <w:rsid w:val="002C7A75"/>
    <w:rsid w:val="002D2300"/>
    <w:rsid w:val="002D2E71"/>
    <w:rsid w:val="002D31A3"/>
    <w:rsid w:val="002D3AAD"/>
    <w:rsid w:val="002D3C78"/>
    <w:rsid w:val="002D3F47"/>
    <w:rsid w:val="002D75CB"/>
    <w:rsid w:val="002D7D8D"/>
    <w:rsid w:val="002E1502"/>
    <w:rsid w:val="002E23F6"/>
    <w:rsid w:val="002E4247"/>
    <w:rsid w:val="002E7C77"/>
    <w:rsid w:val="002E7DBA"/>
    <w:rsid w:val="002F12D8"/>
    <w:rsid w:val="002F28BA"/>
    <w:rsid w:val="002F3553"/>
    <w:rsid w:val="002F7A8C"/>
    <w:rsid w:val="002F7BA3"/>
    <w:rsid w:val="003000B6"/>
    <w:rsid w:val="00300F86"/>
    <w:rsid w:val="00300FF0"/>
    <w:rsid w:val="00301B09"/>
    <w:rsid w:val="00303455"/>
    <w:rsid w:val="00303734"/>
    <w:rsid w:val="003051CB"/>
    <w:rsid w:val="00306D35"/>
    <w:rsid w:val="00307223"/>
    <w:rsid w:val="0031140D"/>
    <w:rsid w:val="00312E07"/>
    <w:rsid w:val="00314701"/>
    <w:rsid w:val="00315B92"/>
    <w:rsid w:val="00321406"/>
    <w:rsid w:val="003218DA"/>
    <w:rsid w:val="003254C8"/>
    <w:rsid w:val="003262C4"/>
    <w:rsid w:val="003268F7"/>
    <w:rsid w:val="003271BA"/>
    <w:rsid w:val="00327890"/>
    <w:rsid w:val="00327B85"/>
    <w:rsid w:val="0033362C"/>
    <w:rsid w:val="00336128"/>
    <w:rsid w:val="00336C5B"/>
    <w:rsid w:val="003372C0"/>
    <w:rsid w:val="00337B6B"/>
    <w:rsid w:val="0034037E"/>
    <w:rsid w:val="00342E0B"/>
    <w:rsid w:val="00345474"/>
    <w:rsid w:val="00345A0C"/>
    <w:rsid w:val="00346469"/>
    <w:rsid w:val="003470B1"/>
    <w:rsid w:val="00347CE0"/>
    <w:rsid w:val="00351939"/>
    <w:rsid w:val="00353B74"/>
    <w:rsid w:val="00355A0F"/>
    <w:rsid w:val="00355E0B"/>
    <w:rsid w:val="003564D2"/>
    <w:rsid w:val="00356DFE"/>
    <w:rsid w:val="003573B3"/>
    <w:rsid w:val="00360ECB"/>
    <w:rsid w:val="00360F12"/>
    <w:rsid w:val="003622AC"/>
    <w:rsid w:val="00362C64"/>
    <w:rsid w:val="00362E18"/>
    <w:rsid w:val="00363249"/>
    <w:rsid w:val="00365066"/>
    <w:rsid w:val="003652B5"/>
    <w:rsid w:val="00366697"/>
    <w:rsid w:val="00366AEF"/>
    <w:rsid w:val="003677E8"/>
    <w:rsid w:val="003700E5"/>
    <w:rsid w:val="003713AF"/>
    <w:rsid w:val="00372AD5"/>
    <w:rsid w:val="003754EA"/>
    <w:rsid w:val="003759F0"/>
    <w:rsid w:val="003775E7"/>
    <w:rsid w:val="00377BCC"/>
    <w:rsid w:val="003823E8"/>
    <w:rsid w:val="00383897"/>
    <w:rsid w:val="003868A2"/>
    <w:rsid w:val="003872CE"/>
    <w:rsid w:val="00390FDD"/>
    <w:rsid w:val="00391905"/>
    <w:rsid w:val="00391E19"/>
    <w:rsid w:val="00392580"/>
    <w:rsid w:val="0039381A"/>
    <w:rsid w:val="00393D99"/>
    <w:rsid w:val="00395D98"/>
    <w:rsid w:val="003960D3"/>
    <w:rsid w:val="003969E7"/>
    <w:rsid w:val="00396ABB"/>
    <w:rsid w:val="00397ABD"/>
    <w:rsid w:val="003A1AC9"/>
    <w:rsid w:val="003A3260"/>
    <w:rsid w:val="003A33DC"/>
    <w:rsid w:val="003A58D7"/>
    <w:rsid w:val="003A6220"/>
    <w:rsid w:val="003B1566"/>
    <w:rsid w:val="003B1712"/>
    <w:rsid w:val="003B1DC0"/>
    <w:rsid w:val="003B4241"/>
    <w:rsid w:val="003B43FE"/>
    <w:rsid w:val="003B538C"/>
    <w:rsid w:val="003C1DAB"/>
    <w:rsid w:val="003C28AF"/>
    <w:rsid w:val="003C4F4D"/>
    <w:rsid w:val="003C50B7"/>
    <w:rsid w:val="003C54DA"/>
    <w:rsid w:val="003C602C"/>
    <w:rsid w:val="003C6D41"/>
    <w:rsid w:val="003D05B0"/>
    <w:rsid w:val="003D05BA"/>
    <w:rsid w:val="003D1008"/>
    <w:rsid w:val="003D236D"/>
    <w:rsid w:val="003D3856"/>
    <w:rsid w:val="003D3D30"/>
    <w:rsid w:val="003D604C"/>
    <w:rsid w:val="003D6B17"/>
    <w:rsid w:val="003D6F9F"/>
    <w:rsid w:val="003D7F6A"/>
    <w:rsid w:val="003E1421"/>
    <w:rsid w:val="003E3D97"/>
    <w:rsid w:val="003E4314"/>
    <w:rsid w:val="003E6421"/>
    <w:rsid w:val="003E740C"/>
    <w:rsid w:val="003E7430"/>
    <w:rsid w:val="003F138A"/>
    <w:rsid w:val="003F30A2"/>
    <w:rsid w:val="003F32B4"/>
    <w:rsid w:val="003F3434"/>
    <w:rsid w:val="003F58CF"/>
    <w:rsid w:val="003F6967"/>
    <w:rsid w:val="00400454"/>
    <w:rsid w:val="0040064E"/>
    <w:rsid w:val="004016E8"/>
    <w:rsid w:val="0040208D"/>
    <w:rsid w:val="00402207"/>
    <w:rsid w:val="0040302E"/>
    <w:rsid w:val="0040432E"/>
    <w:rsid w:val="00404BAC"/>
    <w:rsid w:val="00405475"/>
    <w:rsid w:val="0040551F"/>
    <w:rsid w:val="00407BBE"/>
    <w:rsid w:val="00412357"/>
    <w:rsid w:val="00414AF3"/>
    <w:rsid w:val="00415587"/>
    <w:rsid w:val="00416064"/>
    <w:rsid w:val="004164F7"/>
    <w:rsid w:val="00416D55"/>
    <w:rsid w:val="004172CC"/>
    <w:rsid w:val="00417685"/>
    <w:rsid w:val="004176C4"/>
    <w:rsid w:val="00417729"/>
    <w:rsid w:val="004207F1"/>
    <w:rsid w:val="004226CB"/>
    <w:rsid w:val="00422C81"/>
    <w:rsid w:val="00424030"/>
    <w:rsid w:val="004262CB"/>
    <w:rsid w:val="00427C04"/>
    <w:rsid w:val="00430662"/>
    <w:rsid w:val="0043173C"/>
    <w:rsid w:val="00431F95"/>
    <w:rsid w:val="004339F6"/>
    <w:rsid w:val="00435BAD"/>
    <w:rsid w:val="00436361"/>
    <w:rsid w:val="0043715E"/>
    <w:rsid w:val="0043742A"/>
    <w:rsid w:val="00440C3F"/>
    <w:rsid w:val="00441212"/>
    <w:rsid w:val="00441B3D"/>
    <w:rsid w:val="00441D73"/>
    <w:rsid w:val="004421F8"/>
    <w:rsid w:val="004438B6"/>
    <w:rsid w:val="00443B0A"/>
    <w:rsid w:val="00445AEC"/>
    <w:rsid w:val="004467D4"/>
    <w:rsid w:val="00447019"/>
    <w:rsid w:val="0045002A"/>
    <w:rsid w:val="004511A8"/>
    <w:rsid w:val="00451DBC"/>
    <w:rsid w:val="0045219D"/>
    <w:rsid w:val="004527A7"/>
    <w:rsid w:val="004538BE"/>
    <w:rsid w:val="00454608"/>
    <w:rsid w:val="00454CCF"/>
    <w:rsid w:val="00455654"/>
    <w:rsid w:val="0046190E"/>
    <w:rsid w:val="0046331E"/>
    <w:rsid w:val="0046459E"/>
    <w:rsid w:val="00464929"/>
    <w:rsid w:val="00464C4D"/>
    <w:rsid w:val="00467C9E"/>
    <w:rsid w:val="00470E3A"/>
    <w:rsid w:val="00473017"/>
    <w:rsid w:val="00475D9E"/>
    <w:rsid w:val="00476E89"/>
    <w:rsid w:val="00481FE7"/>
    <w:rsid w:val="0048355D"/>
    <w:rsid w:val="00483947"/>
    <w:rsid w:val="00484C6E"/>
    <w:rsid w:val="004852C8"/>
    <w:rsid w:val="00485CE3"/>
    <w:rsid w:val="00487119"/>
    <w:rsid w:val="00487B59"/>
    <w:rsid w:val="00487DC7"/>
    <w:rsid w:val="00487EF6"/>
    <w:rsid w:val="00493529"/>
    <w:rsid w:val="00495F98"/>
    <w:rsid w:val="004963B2"/>
    <w:rsid w:val="004A0C15"/>
    <w:rsid w:val="004A14A1"/>
    <w:rsid w:val="004A1B67"/>
    <w:rsid w:val="004A3850"/>
    <w:rsid w:val="004A572F"/>
    <w:rsid w:val="004A62B0"/>
    <w:rsid w:val="004A63C7"/>
    <w:rsid w:val="004B0955"/>
    <w:rsid w:val="004B0FE6"/>
    <w:rsid w:val="004B1BF5"/>
    <w:rsid w:val="004B24C5"/>
    <w:rsid w:val="004B6EF3"/>
    <w:rsid w:val="004C1E9D"/>
    <w:rsid w:val="004C431D"/>
    <w:rsid w:val="004C4667"/>
    <w:rsid w:val="004C52F2"/>
    <w:rsid w:val="004C7CF7"/>
    <w:rsid w:val="004D0830"/>
    <w:rsid w:val="004D18DC"/>
    <w:rsid w:val="004D2DAC"/>
    <w:rsid w:val="004D3716"/>
    <w:rsid w:val="004D4CA9"/>
    <w:rsid w:val="004D4F93"/>
    <w:rsid w:val="004D5AB9"/>
    <w:rsid w:val="004D6CBF"/>
    <w:rsid w:val="004E0649"/>
    <w:rsid w:val="004E078F"/>
    <w:rsid w:val="004E0AA5"/>
    <w:rsid w:val="004E0B60"/>
    <w:rsid w:val="004E28A1"/>
    <w:rsid w:val="004E2F78"/>
    <w:rsid w:val="004E31A7"/>
    <w:rsid w:val="004E3DA6"/>
    <w:rsid w:val="004E3EBC"/>
    <w:rsid w:val="004E5AB1"/>
    <w:rsid w:val="004E6A76"/>
    <w:rsid w:val="004E70CB"/>
    <w:rsid w:val="004F5911"/>
    <w:rsid w:val="00501FA9"/>
    <w:rsid w:val="005039E0"/>
    <w:rsid w:val="005044C7"/>
    <w:rsid w:val="00504CBC"/>
    <w:rsid w:val="00505A86"/>
    <w:rsid w:val="005064AF"/>
    <w:rsid w:val="005071A0"/>
    <w:rsid w:val="005071D7"/>
    <w:rsid w:val="005076C1"/>
    <w:rsid w:val="00510D91"/>
    <w:rsid w:val="00510EA3"/>
    <w:rsid w:val="00510ECE"/>
    <w:rsid w:val="00512845"/>
    <w:rsid w:val="005140CB"/>
    <w:rsid w:val="00514EE6"/>
    <w:rsid w:val="00516D1D"/>
    <w:rsid w:val="00516F0F"/>
    <w:rsid w:val="005176F8"/>
    <w:rsid w:val="00521F7B"/>
    <w:rsid w:val="0052464C"/>
    <w:rsid w:val="00524AB4"/>
    <w:rsid w:val="00530042"/>
    <w:rsid w:val="0053292B"/>
    <w:rsid w:val="005332E1"/>
    <w:rsid w:val="0053479A"/>
    <w:rsid w:val="00536569"/>
    <w:rsid w:val="00536FF4"/>
    <w:rsid w:val="00537327"/>
    <w:rsid w:val="00537F00"/>
    <w:rsid w:val="00540D23"/>
    <w:rsid w:val="00541B1C"/>
    <w:rsid w:val="00542763"/>
    <w:rsid w:val="00542A22"/>
    <w:rsid w:val="00547DB2"/>
    <w:rsid w:val="00550375"/>
    <w:rsid w:val="00555FD4"/>
    <w:rsid w:val="0056307E"/>
    <w:rsid w:val="00565159"/>
    <w:rsid w:val="00570850"/>
    <w:rsid w:val="0057464F"/>
    <w:rsid w:val="00575022"/>
    <w:rsid w:val="005752A2"/>
    <w:rsid w:val="00575F6C"/>
    <w:rsid w:val="00575FBA"/>
    <w:rsid w:val="00577864"/>
    <w:rsid w:val="00580A0A"/>
    <w:rsid w:val="005816F7"/>
    <w:rsid w:val="00583858"/>
    <w:rsid w:val="005850AC"/>
    <w:rsid w:val="00586A2E"/>
    <w:rsid w:val="0059155D"/>
    <w:rsid w:val="00591811"/>
    <w:rsid w:val="00591AB8"/>
    <w:rsid w:val="00591BFD"/>
    <w:rsid w:val="00594AFD"/>
    <w:rsid w:val="00594D0B"/>
    <w:rsid w:val="0059532C"/>
    <w:rsid w:val="005958DE"/>
    <w:rsid w:val="00595AF8"/>
    <w:rsid w:val="00596C8D"/>
    <w:rsid w:val="00597717"/>
    <w:rsid w:val="00597DF3"/>
    <w:rsid w:val="005A27CD"/>
    <w:rsid w:val="005A2FAD"/>
    <w:rsid w:val="005A3B39"/>
    <w:rsid w:val="005A3F75"/>
    <w:rsid w:val="005A75CC"/>
    <w:rsid w:val="005B168D"/>
    <w:rsid w:val="005B2712"/>
    <w:rsid w:val="005B2A49"/>
    <w:rsid w:val="005B370E"/>
    <w:rsid w:val="005B3F49"/>
    <w:rsid w:val="005B4D36"/>
    <w:rsid w:val="005B58A4"/>
    <w:rsid w:val="005B6699"/>
    <w:rsid w:val="005B79BE"/>
    <w:rsid w:val="005C0451"/>
    <w:rsid w:val="005C227B"/>
    <w:rsid w:val="005C234D"/>
    <w:rsid w:val="005C26B6"/>
    <w:rsid w:val="005C2EC2"/>
    <w:rsid w:val="005C32C3"/>
    <w:rsid w:val="005C692C"/>
    <w:rsid w:val="005C6FDF"/>
    <w:rsid w:val="005D3455"/>
    <w:rsid w:val="005D6B69"/>
    <w:rsid w:val="005D74EF"/>
    <w:rsid w:val="005D7589"/>
    <w:rsid w:val="005D7AFD"/>
    <w:rsid w:val="005E0EEC"/>
    <w:rsid w:val="005E348D"/>
    <w:rsid w:val="005E42F4"/>
    <w:rsid w:val="005E57AF"/>
    <w:rsid w:val="005E7525"/>
    <w:rsid w:val="005F0AB8"/>
    <w:rsid w:val="005F20A3"/>
    <w:rsid w:val="005F3525"/>
    <w:rsid w:val="005F759E"/>
    <w:rsid w:val="006000B0"/>
    <w:rsid w:val="006025E3"/>
    <w:rsid w:val="006030D5"/>
    <w:rsid w:val="006035C9"/>
    <w:rsid w:val="006075B5"/>
    <w:rsid w:val="00607D06"/>
    <w:rsid w:val="00610C07"/>
    <w:rsid w:val="00613DF4"/>
    <w:rsid w:val="006166ED"/>
    <w:rsid w:val="006212D4"/>
    <w:rsid w:val="0062169B"/>
    <w:rsid w:val="006260B0"/>
    <w:rsid w:val="006267AE"/>
    <w:rsid w:val="006268C4"/>
    <w:rsid w:val="00626C14"/>
    <w:rsid w:val="006302BE"/>
    <w:rsid w:val="00630B51"/>
    <w:rsid w:val="00631874"/>
    <w:rsid w:val="00632600"/>
    <w:rsid w:val="00633C43"/>
    <w:rsid w:val="00635DBF"/>
    <w:rsid w:val="006362D8"/>
    <w:rsid w:val="0064019E"/>
    <w:rsid w:val="00642A63"/>
    <w:rsid w:val="0064330A"/>
    <w:rsid w:val="0064358E"/>
    <w:rsid w:val="00644609"/>
    <w:rsid w:val="00645F30"/>
    <w:rsid w:val="00647F36"/>
    <w:rsid w:val="00651165"/>
    <w:rsid w:val="0065252E"/>
    <w:rsid w:val="00652E50"/>
    <w:rsid w:val="0065383E"/>
    <w:rsid w:val="006543A0"/>
    <w:rsid w:val="006546A6"/>
    <w:rsid w:val="006569B3"/>
    <w:rsid w:val="00660B02"/>
    <w:rsid w:val="006653B0"/>
    <w:rsid w:val="00666399"/>
    <w:rsid w:val="00666971"/>
    <w:rsid w:val="006669F8"/>
    <w:rsid w:val="00667B4A"/>
    <w:rsid w:val="006706D8"/>
    <w:rsid w:val="00672861"/>
    <w:rsid w:val="00672993"/>
    <w:rsid w:val="0067415A"/>
    <w:rsid w:val="006746F6"/>
    <w:rsid w:val="00675725"/>
    <w:rsid w:val="00675C20"/>
    <w:rsid w:val="00677067"/>
    <w:rsid w:val="006771CD"/>
    <w:rsid w:val="0067743E"/>
    <w:rsid w:val="00680C43"/>
    <w:rsid w:val="006813AF"/>
    <w:rsid w:val="006819D1"/>
    <w:rsid w:val="00681E54"/>
    <w:rsid w:val="006860D7"/>
    <w:rsid w:val="00686652"/>
    <w:rsid w:val="006869C3"/>
    <w:rsid w:val="00687BC2"/>
    <w:rsid w:val="00691EEA"/>
    <w:rsid w:val="006923A4"/>
    <w:rsid w:val="00692923"/>
    <w:rsid w:val="006930D5"/>
    <w:rsid w:val="006943D4"/>
    <w:rsid w:val="006962EB"/>
    <w:rsid w:val="00696BFD"/>
    <w:rsid w:val="006A08D5"/>
    <w:rsid w:val="006A10FA"/>
    <w:rsid w:val="006A2371"/>
    <w:rsid w:val="006A6257"/>
    <w:rsid w:val="006A6B36"/>
    <w:rsid w:val="006A6D0C"/>
    <w:rsid w:val="006A6DFA"/>
    <w:rsid w:val="006A7106"/>
    <w:rsid w:val="006B0318"/>
    <w:rsid w:val="006B119D"/>
    <w:rsid w:val="006B312E"/>
    <w:rsid w:val="006B3758"/>
    <w:rsid w:val="006B4AE9"/>
    <w:rsid w:val="006B6B4D"/>
    <w:rsid w:val="006B6FA5"/>
    <w:rsid w:val="006C1AAC"/>
    <w:rsid w:val="006C223B"/>
    <w:rsid w:val="006C3E77"/>
    <w:rsid w:val="006C432E"/>
    <w:rsid w:val="006C4FDF"/>
    <w:rsid w:val="006C52F4"/>
    <w:rsid w:val="006C59F5"/>
    <w:rsid w:val="006C66E8"/>
    <w:rsid w:val="006D0E45"/>
    <w:rsid w:val="006D12B3"/>
    <w:rsid w:val="006D1B14"/>
    <w:rsid w:val="006D2841"/>
    <w:rsid w:val="006D443A"/>
    <w:rsid w:val="006D567B"/>
    <w:rsid w:val="006D7CE2"/>
    <w:rsid w:val="006E15D6"/>
    <w:rsid w:val="006E3046"/>
    <w:rsid w:val="006E38D8"/>
    <w:rsid w:val="006E6CE1"/>
    <w:rsid w:val="006F14FF"/>
    <w:rsid w:val="006F1D74"/>
    <w:rsid w:val="006F4428"/>
    <w:rsid w:val="006F483C"/>
    <w:rsid w:val="006F55CB"/>
    <w:rsid w:val="006F6DA8"/>
    <w:rsid w:val="00701394"/>
    <w:rsid w:val="0070180D"/>
    <w:rsid w:val="007055DB"/>
    <w:rsid w:val="00707799"/>
    <w:rsid w:val="00710E90"/>
    <w:rsid w:val="00711358"/>
    <w:rsid w:val="0071171F"/>
    <w:rsid w:val="00711826"/>
    <w:rsid w:val="00714974"/>
    <w:rsid w:val="00715F7B"/>
    <w:rsid w:val="007209E3"/>
    <w:rsid w:val="00721BF6"/>
    <w:rsid w:val="00721D26"/>
    <w:rsid w:val="007241FA"/>
    <w:rsid w:val="0072534F"/>
    <w:rsid w:val="0072707E"/>
    <w:rsid w:val="007334C5"/>
    <w:rsid w:val="00735EAC"/>
    <w:rsid w:val="007376C4"/>
    <w:rsid w:val="007402AA"/>
    <w:rsid w:val="0074079C"/>
    <w:rsid w:val="007416B9"/>
    <w:rsid w:val="00743BBB"/>
    <w:rsid w:val="007445E1"/>
    <w:rsid w:val="00745DD9"/>
    <w:rsid w:val="007473CA"/>
    <w:rsid w:val="0074755A"/>
    <w:rsid w:val="00747F80"/>
    <w:rsid w:val="007506FE"/>
    <w:rsid w:val="00751EA6"/>
    <w:rsid w:val="00752820"/>
    <w:rsid w:val="00752CBD"/>
    <w:rsid w:val="00752CD8"/>
    <w:rsid w:val="007533F6"/>
    <w:rsid w:val="007535B9"/>
    <w:rsid w:val="007537E9"/>
    <w:rsid w:val="00754D00"/>
    <w:rsid w:val="00757A90"/>
    <w:rsid w:val="00761B20"/>
    <w:rsid w:val="00762108"/>
    <w:rsid w:val="00764C0F"/>
    <w:rsid w:val="00765DD3"/>
    <w:rsid w:val="00766EB9"/>
    <w:rsid w:val="007670E4"/>
    <w:rsid w:val="007671DE"/>
    <w:rsid w:val="007708AF"/>
    <w:rsid w:val="00770C3C"/>
    <w:rsid w:val="007734BC"/>
    <w:rsid w:val="00775A73"/>
    <w:rsid w:val="0078147B"/>
    <w:rsid w:val="00781A0F"/>
    <w:rsid w:val="00782252"/>
    <w:rsid w:val="00785F0F"/>
    <w:rsid w:val="00786457"/>
    <w:rsid w:val="00793E2A"/>
    <w:rsid w:val="007951B7"/>
    <w:rsid w:val="00796C23"/>
    <w:rsid w:val="007A0795"/>
    <w:rsid w:val="007A2135"/>
    <w:rsid w:val="007A218B"/>
    <w:rsid w:val="007A231F"/>
    <w:rsid w:val="007A3BCB"/>
    <w:rsid w:val="007A3C4C"/>
    <w:rsid w:val="007A4AB2"/>
    <w:rsid w:val="007A573E"/>
    <w:rsid w:val="007A62D8"/>
    <w:rsid w:val="007A7E28"/>
    <w:rsid w:val="007B0A56"/>
    <w:rsid w:val="007B0C36"/>
    <w:rsid w:val="007B2784"/>
    <w:rsid w:val="007B2DFC"/>
    <w:rsid w:val="007B2FBC"/>
    <w:rsid w:val="007B447C"/>
    <w:rsid w:val="007B452E"/>
    <w:rsid w:val="007B47B1"/>
    <w:rsid w:val="007B504A"/>
    <w:rsid w:val="007B77ED"/>
    <w:rsid w:val="007B7E90"/>
    <w:rsid w:val="007C184E"/>
    <w:rsid w:val="007C342B"/>
    <w:rsid w:val="007C5A26"/>
    <w:rsid w:val="007C5B99"/>
    <w:rsid w:val="007D06D3"/>
    <w:rsid w:val="007D3952"/>
    <w:rsid w:val="007D3A50"/>
    <w:rsid w:val="007D6692"/>
    <w:rsid w:val="007D6ADF"/>
    <w:rsid w:val="007D7C86"/>
    <w:rsid w:val="007E183B"/>
    <w:rsid w:val="007E1D89"/>
    <w:rsid w:val="007E2D75"/>
    <w:rsid w:val="007E2E37"/>
    <w:rsid w:val="007E7899"/>
    <w:rsid w:val="007F0368"/>
    <w:rsid w:val="007F35CE"/>
    <w:rsid w:val="007F42F7"/>
    <w:rsid w:val="007F70A3"/>
    <w:rsid w:val="00800340"/>
    <w:rsid w:val="00800D18"/>
    <w:rsid w:val="00802FA2"/>
    <w:rsid w:val="008031C7"/>
    <w:rsid w:val="00803CBE"/>
    <w:rsid w:val="00810F57"/>
    <w:rsid w:val="00811FFA"/>
    <w:rsid w:val="00812489"/>
    <w:rsid w:val="00817112"/>
    <w:rsid w:val="008216A0"/>
    <w:rsid w:val="00824638"/>
    <w:rsid w:val="0082637F"/>
    <w:rsid w:val="00826388"/>
    <w:rsid w:val="0082794B"/>
    <w:rsid w:val="0083202F"/>
    <w:rsid w:val="00833C56"/>
    <w:rsid w:val="008353F4"/>
    <w:rsid w:val="008361DE"/>
    <w:rsid w:val="0084013A"/>
    <w:rsid w:val="00840225"/>
    <w:rsid w:val="00840894"/>
    <w:rsid w:val="00841212"/>
    <w:rsid w:val="0084485A"/>
    <w:rsid w:val="00845606"/>
    <w:rsid w:val="008463C8"/>
    <w:rsid w:val="008479A0"/>
    <w:rsid w:val="00850754"/>
    <w:rsid w:val="008518ED"/>
    <w:rsid w:val="00851B8D"/>
    <w:rsid w:val="00854B5D"/>
    <w:rsid w:val="00854D9E"/>
    <w:rsid w:val="00857A58"/>
    <w:rsid w:val="00857AE9"/>
    <w:rsid w:val="00860D61"/>
    <w:rsid w:val="00863087"/>
    <w:rsid w:val="00864251"/>
    <w:rsid w:val="008655F0"/>
    <w:rsid w:val="008662A8"/>
    <w:rsid w:val="008672C5"/>
    <w:rsid w:val="00867AA2"/>
    <w:rsid w:val="0087109F"/>
    <w:rsid w:val="008719ED"/>
    <w:rsid w:val="00873498"/>
    <w:rsid w:val="00873C0E"/>
    <w:rsid w:val="00873C7A"/>
    <w:rsid w:val="00875FCC"/>
    <w:rsid w:val="00876554"/>
    <w:rsid w:val="008816C0"/>
    <w:rsid w:val="00881C4A"/>
    <w:rsid w:val="0088226D"/>
    <w:rsid w:val="00883F14"/>
    <w:rsid w:val="00884162"/>
    <w:rsid w:val="008846BA"/>
    <w:rsid w:val="00884AC5"/>
    <w:rsid w:val="00890627"/>
    <w:rsid w:val="008917E2"/>
    <w:rsid w:val="00892CBE"/>
    <w:rsid w:val="008931A8"/>
    <w:rsid w:val="00894838"/>
    <w:rsid w:val="00894E14"/>
    <w:rsid w:val="00895469"/>
    <w:rsid w:val="00897746"/>
    <w:rsid w:val="008A12C6"/>
    <w:rsid w:val="008A25F2"/>
    <w:rsid w:val="008A3BBA"/>
    <w:rsid w:val="008A5120"/>
    <w:rsid w:val="008B1281"/>
    <w:rsid w:val="008B14AC"/>
    <w:rsid w:val="008B24C9"/>
    <w:rsid w:val="008B265D"/>
    <w:rsid w:val="008B29FB"/>
    <w:rsid w:val="008B5664"/>
    <w:rsid w:val="008B57E3"/>
    <w:rsid w:val="008B5A8D"/>
    <w:rsid w:val="008B6781"/>
    <w:rsid w:val="008C0CB1"/>
    <w:rsid w:val="008C29F5"/>
    <w:rsid w:val="008C7188"/>
    <w:rsid w:val="008C73B7"/>
    <w:rsid w:val="008D0326"/>
    <w:rsid w:val="008D1B6E"/>
    <w:rsid w:val="008D20D5"/>
    <w:rsid w:val="008D2EA4"/>
    <w:rsid w:val="008D509E"/>
    <w:rsid w:val="008D5FBF"/>
    <w:rsid w:val="008D6BFC"/>
    <w:rsid w:val="008D7332"/>
    <w:rsid w:val="008E0A22"/>
    <w:rsid w:val="008E2688"/>
    <w:rsid w:val="008E4238"/>
    <w:rsid w:val="008E52CE"/>
    <w:rsid w:val="008E7E49"/>
    <w:rsid w:val="008F119B"/>
    <w:rsid w:val="008F698F"/>
    <w:rsid w:val="008F7D3D"/>
    <w:rsid w:val="00900192"/>
    <w:rsid w:val="00900DD2"/>
    <w:rsid w:val="009042BC"/>
    <w:rsid w:val="009050F7"/>
    <w:rsid w:val="0090753B"/>
    <w:rsid w:val="00907828"/>
    <w:rsid w:val="00907C0B"/>
    <w:rsid w:val="009108A9"/>
    <w:rsid w:val="00910DD7"/>
    <w:rsid w:val="00916D9E"/>
    <w:rsid w:val="0091780D"/>
    <w:rsid w:val="00917A2D"/>
    <w:rsid w:val="009207C1"/>
    <w:rsid w:val="00921FC9"/>
    <w:rsid w:val="00923158"/>
    <w:rsid w:val="009234A6"/>
    <w:rsid w:val="00924259"/>
    <w:rsid w:val="009246C2"/>
    <w:rsid w:val="009249EA"/>
    <w:rsid w:val="00926725"/>
    <w:rsid w:val="00926E67"/>
    <w:rsid w:val="009315C1"/>
    <w:rsid w:val="009324ED"/>
    <w:rsid w:val="00933B0E"/>
    <w:rsid w:val="00940350"/>
    <w:rsid w:val="009403E2"/>
    <w:rsid w:val="00940E35"/>
    <w:rsid w:val="0094172F"/>
    <w:rsid w:val="0094270B"/>
    <w:rsid w:val="00943C6E"/>
    <w:rsid w:val="009500B3"/>
    <w:rsid w:val="009514E4"/>
    <w:rsid w:val="00951926"/>
    <w:rsid w:val="00952ACA"/>
    <w:rsid w:val="00952B86"/>
    <w:rsid w:val="0095343F"/>
    <w:rsid w:val="00955B8B"/>
    <w:rsid w:val="00960B79"/>
    <w:rsid w:val="009610F7"/>
    <w:rsid w:val="00961E2B"/>
    <w:rsid w:val="0096479B"/>
    <w:rsid w:val="0096543B"/>
    <w:rsid w:val="00965D34"/>
    <w:rsid w:val="00965DA4"/>
    <w:rsid w:val="00965DDB"/>
    <w:rsid w:val="00970EF3"/>
    <w:rsid w:val="00974D4E"/>
    <w:rsid w:val="009755D2"/>
    <w:rsid w:val="009757FE"/>
    <w:rsid w:val="00976132"/>
    <w:rsid w:val="00977D03"/>
    <w:rsid w:val="00980C3E"/>
    <w:rsid w:val="0098238F"/>
    <w:rsid w:val="00982A98"/>
    <w:rsid w:val="009849C9"/>
    <w:rsid w:val="0098701B"/>
    <w:rsid w:val="00987E1F"/>
    <w:rsid w:val="00987EEF"/>
    <w:rsid w:val="00990065"/>
    <w:rsid w:val="00990104"/>
    <w:rsid w:val="009917D4"/>
    <w:rsid w:val="009917DE"/>
    <w:rsid w:val="00993022"/>
    <w:rsid w:val="00994751"/>
    <w:rsid w:val="00994FF2"/>
    <w:rsid w:val="00995060"/>
    <w:rsid w:val="00997ACF"/>
    <w:rsid w:val="009A006A"/>
    <w:rsid w:val="009A0E31"/>
    <w:rsid w:val="009A16E3"/>
    <w:rsid w:val="009A4528"/>
    <w:rsid w:val="009A4A27"/>
    <w:rsid w:val="009A575F"/>
    <w:rsid w:val="009B1FF2"/>
    <w:rsid w:val="009B2115"/>
    <w:rsid w:val="009B2183"/>
    <w:rsid w:val="009B23F0"/>
    <w:rsid w:val="009B548A"/>
    <w:rsid w:val="009B5649"/>
    <w:rsid w:val="009B56CA"/>
    <w:rsid w:val="009B5CA8"/>
    <w:rsid w:val="009B60DB"/>
    <w:rsid w:val="009B65AD"/>
    <w:rsid w:val="009C0C60"/>
    <w:rsid w:val="009C1582"/>
    <w:rsid w:val="009C4142"/>
    <w:rsid w:val="009C5360"/>
    <w:rsid w:val="009C66CB"/>
    <w:rsid w:val="009C7AF1"/>
    <w:rsid w:val="009D04E8"/>
    <w:rsid w:val="009D1AED"/>
    <w:rsid w:val="009D441B"/>
    <w:rsid w:val="009E05AE"/>
    <w:rsid w:val="009E0FE3"/>
    <w:rsid w:val="009E122B"/>
    <w:rsid w:val="009E1CDC"/>
    <w:rsid w:val="009E1F9F"/>
    <w:rsid w:val="009E215C"/>
    <w:rsid w:val="009E3185"/>
    <w:rsid w:val="009E3250"/>
    <w:rsid w:val="009E3C25"/>
    <w:rsid w:val="009E51B5"/>
    <w:rsid w:val="009E6234"/>
    <w:rsid w:val="009F018D"/>
    <w:rsid w:val="009F2476"/>
    <w:rsid w:val="009F3DBC"/>
    <w:rsid w:val="009F49AF"/>
    <w:rsid w:val="009F6520"/>
    <w:rsid w:val="009F6FF2"/>
    <w:rsid w:val="009F7FC2"/>
    <w:rsid w:val="00A0005E"/>
    <w:rsid w:val="00A022AB"/>
    <w:rsid w:val="00A0312C"/>
    <w:rsid w:val="00A03DB2"/>
    <w:rsid w:val="00A05D20"/>
    <w:rsid w:val="00A06BA5"/>
    <w:rsid w:val="00A11D98"/>
    <w:rsid w:val="00A11EBC"/>
    <w:rsid w:val="00A1270F"/>
    <w:rsid w:val="00A1464D"/>
    <w:rsid w:val="00A14FC6"/>
    <w:rsid w:val="00A157E7"/>
    <w:rsid w:val="00A15B99"/>
    <w:rsid w:val="00A171DD"/>
    <w:rsid w:val="00A17385"/>
    <w:rsid w:val="00A17DED"/>
    <w:rsid w:val="00A2083B"/>
    <w:rsid w:val="00A214AB"/>
    <w:rsid w:val="00A221AE"/>
    <w:rsid w:val="00A2220E"/>
    <w:rsid w:val="00A22973"/>
    <w:rsid w:val="00A23E60"/>
    <w:rsid w:val="00A257F0"/>
    <w:rsid w:val="00A26942"/>
    <w:rsid w:val="00A27017"/>
    <w:rsid w:val="00A3136A"/>
    <w:rsid w:val="00A3175D"/>
    <w:rsid w:val="00A31A1C"/>
    <w:rsid w:val="00A357CB"/>
    <w:rsid w:val="00A35F69"/>
    <w:rsid w:val="00A35F7C"/>
    <w:rsid w:val="00A36F45"/>
    <w:rsid w:val="00A37979"/>
    <w:rsid w:val="00A4069F"/>
    <w:rsid w:val="00A418B6"/>
    <w:rsid w:val="00A449B8"/>
    <w:rsid w:val="00A4595B"/>
    <w:rsid w:val="00A45A92"/>
    <w:rsid w:val="00A4668B"/>
    <w:rsid w:val="00A46FE1"/>
    <w:rsid w:val="00A505CA"/>
    <w:rsid w:val="00A51601"/>
    <w:rsid w:val="00A517CE"/>
    <w:rsid w:val="00A51E31"/>
    <w:rsid w:val="00A56B9C"/>
    <w:rsid w:val="00A577EC"/>
    <w:rsid w:val="00A6276C"/>
    <w:rsid w:val="00A64C7E"/>
    <w:rsid w:val="00A66452"/>
    <w:rsid w:val="00A70F7F"/>
    <w:rsid w:val="00A71FF6"/>
    <w:rsid w:val="00A72989"/>
    <w:rsid w:val="00A74CAA"/>
    <w:rsid w:val="00A7641F"/>
    <w:rsid w:val="00A765E6"/>
    <w:rsid w:val="00A76D93"/>
    <w:rsid w:val="00A77715"/>
    <w:rsid w:val="00A809CE"/>
    <w:rsid w:val="00A81604"/>
    <w:rsid w:val="00A81B14"/>
    <w:rsid w:val="00A86231"/>
    <w:rsid w:val="00A8776F"/>
    <w:rsid w:val="00A912B5"/>
    <w:rsid w:val="00A93BCF"/>
    <w:rsid w:val="00A94A69"/>
    <w:rsid w:val="00A972E4"/>
    <w:rsid w:val="00AA0B43"/>
    <w:rsid w:val="00AA13C5"/>
    <w:rsid w:val="00AA1425"/>
    <w:rsid w:val="00AA1F7B"/>
    <w:rsid w:val="00AA2811"/>
    <w:rsid w:val="00AA5059"/>
    <w:rsid w:val="00AB08AA"/>
    <w:rsid w:val="00AB4357"/>
    <w:rsid w:val="00AB53BB"/>
    <w:rsid w:val="00AB6DD5"/>
    <w:rsid w:val="00AB7881"/>
    <w:rsid w:val="00AB7DD8"/>
    <w:rsid w:val="00AC0155"/>
    <w:rsid w:val="00AC2C6E"/>
    <w:rsid w:val="00AC38E8"/>
    <w:rsid w:val="00AC3AD1"/>
    <w:rsid w:val="00AC3ADA"/>
    <w:rsid w:val="00AC4857"/>
    <w:rsid w:val="00AC5AB3"/>
    <w:rsid w:val="00AD2086"/>
    <w:rsid w:val="00AD2904"/>
    <w:rsid w:val="00AD2B6B"/>
    <w:rsid w:val="00AD319A"/>
    <w:rsid w:val="00AD38A3"/>
    <w:rsid w:val="00AD58CC"/>
    <w:rsid w:val="00AD5EA3"/>
    <w:rsid w:val="00AD6286"/>
    <w:rsid w:val="00AD631C"/>
    <w:rsid w:val="00AE02B3"/>
    <w:rsid w:val="00AE0A5C"/>
    <w:rsid w:val="00AE1B85"/>
    <w:rsid w:val="00AE7224"/>
    <w:rsid w:val="00AF0786"/>
    <w:rsid w:val="00AF11B0"/>
    <w:rsid w:val="00AF2A21"/>
    <w:rsid w:val="00AF3248"/>
    <w:rsid w:val="00AF43B1"/>
    <w:rsid w:val="00AF44E7"/>
    <w:rsid w:val="00AF68C9"/>
    <w:rsid w:val="00AF745B"/>
    <w:rsid w:val="00B0235B"/>
    <w:rsid w:val="00B02532"/>
    <w:rsid w:val="00B025B0"/>
    <w:rsid w:val="00B0284E"/>
    <w:rsid w:val="00B064B1"/>
    <w:rsid w:val="00B11229"/>
    <w:rsid w:val="00B12FAC"/>
    <w:rsid w:val="00B149DF"/>
    <w:rsid w:val="00B14E89"/>
    <w:rsid w:val="00B151AF"/>
    <w:rsid w:val="00B172F6"/>
    <w:rsid w:val="00B17A1F"/>
    <w:rsid w:val="00B2061B"/>
    <w:rsid w:val="00B218A4"/>
    <w:rsid w:val="00B218F8"/>
    <w:rsid w:val="00B22A48"/>
    <w:rsid w:val="00B24B99"/>
    <w:rsid w:val="00B26143"/>
    <w:rsid w:val="00B2693D"/>
    <w:rsid w:val="00B26C00"/>
    <w:rsid w:val="00B2792E"/>
    <w:rsid w:val="00B27F35"/>
    <w:rsid w:val="00B3124C"/>
    <w:rsid w:val="00B32016"/>
    <w:rsid w:val="00B32097"/>
    <w:rsid w:val="00B33B8D"/>
    <w:rsid w:val="00B41567"/>
    <w:rsid w:val="00B44243"/>
    <w:rsid w:val="00B4445C"/>
    <w:rsid w:val="00B44749"/>
    <w:rsid w:val="00B47531"/>
    <w:rsid w:val="00B47BEC"/>
    <w:rsid w:val="00B501BA"/>
    <w:rsid w:val="00B51562"/>
    <w:rsid w:val="00B520D9"/>
    <w:rsid w:val="00B5293C"/>
    <w:rsid w:val="00B53E11"/>
    <w:rsid w:val="00B54A6F"/>
    <w:rsid w:val="00B55062"/>
    <w:rsid w:val="00B5525E"/>
    <w:rsid w:val="00B5720C"/>
    <w:rsid w:val="00B61358"/>
    <w:rsid w:val="00B61998"/>
    <w:rsid w:val="00B61C4C"/>
    <w:rsid w:val="00B64135"/>
    <w:rsid w:val="00B6433A"/>
    <w:rsid w:val="00B651A1"/>
    <w:rsid w:val="00B65741"/>
    <w:rsid w:val="00B66175"/>
    <w:rsid w:val="00B66B9B"/>
    <w:rsid w:val="00B672F0"/>
    <w:rsid w:val="00B67731"/>
    <w:rsid w:val="00B71EDC"/>
    <w:rsid w:val="00B733DB"/>
    <w:rsid w:val="00B73672"/>
    <w:rsid w:val="00B7395F"/>
    <w:rsid w:val="00B73DE9"/>
    <w:rsid w:val="00B76301"/>
    <w:rsid w:val="00B77FF8"/>
    <w:rsid w:val="00B81D2E"/>
    <w:rsid w:val="00B8490C"/>
    <w:rsid w:val="00B86964"/>
    <w:rsid w:val="00B86EC9"/>
    <w:rsid w:val="00B872B9"/>
    <w:rsid w:val="00B95F91"/>
    <w:rsid w:val="00B96FC2"/>
    <w:rsid w:val="00B97C25"/>
    <w:rsid w:val="00BA0AC6"/>
    <w:rsid w:val="00BA237D"/>
    <w:rsid w:val="00BA2F94"/>
    <w:rsid w:val="00BA708E"/>
    <w:rsid w:val="00BA70AE"/>
    <w:rsid w:val="00BB190D"/>
    <w:rsid w:val="00BB2915"/>
    <w:rsid w:val="00BB2A06"/>
    <w:rsid w:val="00BB3F32"/>
    <w:rsid w:val="00BC055E"/>
    <w:rsid w:val="00BC09FC"/>
    <w:rsid w:val="00BC0F8E"/>
    <w:rsid w:val="00BC1519"/>
    <w:rsid w:val="00BC1ACF"/>
    <w:rsid w:val="00BC1BA4"/>
    <w:rsid w:val="00BC1FC3"/>
    <w:rsid w:val="00BC21A5"/>
    <w:rsid w:val="00BC24EA"/>
    <w:rsid w:val="00BC2994"/>
    <w:rsid w:val="00BC56A3"/>
    <w:rsid w:val="00BC6DA1"/>
    <w:rsid w:val="00BC71EA"/>
    <w:rsid w:val="00BC72B8"/>
    <w:rsid w:val="00BD45C8"/>
    <w:rsid w:val="00BD551C"/>
    <w:rsid w:val="00BD6735"/>
    <w:rsid w:val="00BD7F73"/>
    <w:rsid w:val="00BE0337"/>
    <w:rsid w:val="00BE0CB2"/>
    <w:rsid w:val="00BE1888"/>
    <w:rsid w:val="00BE3905"/>
    <w:rsid w:val="00BE5176"/>
    <w:rsid w:val="00BF0FAF"/>
    <w:rsid w:val="00BF1C2A"/>
    <w:rsid w:val="00BF2040"/>
    <w:rsid w:val="00BF51F3"/>
    <w:rsid w:val="00BF55BD"/>
    <w:rsid w:val="00BF58A5"/>
    <w:rsid w:val="00BF5B1E"/>
    <w:rsid w:val="00BF66CD"/>
    <w:rsid w:val="00BF76A9"/>
    <w:rsid w:val="00BF7EBA"/>
    <w:rsid w:val="00C01C86"/>
    <w:rsid w:val="00C03643"/>
    <w:rsid w:val="00C03F82"/>
    <w:rsid w:val="00C040C1"/>
    <w:rsid w:val="00C047D0"/>
    <w:rsid w:val="00C07832"/>
    <w:rsid w:val="00C107A9"/>
    <w:rsid w:val="00C110B6"/>
    <w:rsid w:val="00C1116A"/>
    <w:rsid w:val="00C1292D"/>
    <w:rsid w:val="00C14329"/>
    <w:rsid w:val="00C16433"/>
    <w:rsid w:val="00C205B7"/>
    <w:rsid w:val="00C21705"/>
    <w:rsid w:val="00C244FF"/>
    <w:rsid w:val="00C307E9"/>
    <w:rsid w:val="00C3138B"/>
    <w:rsid w:val="00C31FA3"/>
    <w:rsid w:val="00C33ADE"/>
    <w:rsid w:val="00C36407"/>
    <w:rsid w:val="00C411F8"/>
    <w:rsid w:val="00C41DE0"/>
    <w:rsid w:val="00C438FF"/>
    <w:rsid w:val="00C45AA6"/>
    <w:rsid w:val="00C45F18"/>
    <w:rsid w:val="00C4630A"/>
    <w:rsid w:val="00C52EDF"/>
    <w:rsid w:val="00C5329F"/>
    <w:rsid w:val="00C535E2"/>
    <w:rsid w:val="00C54CAB"/>
    <w:rsid w:val="00C57A41"/>
    <w:rsid w:val="00C6007B"/>
    <w:rsid w:val="00C61E40"/>
    <w:rsid w:val="00C61E44"/>
    <w:rsid w:val="00C63FEF"/>
    <w:rsid w:val="00C6436C"/>
    <w:rsid w:val="00C66DD3"/>
    <w:rsid w:val="00C672B5"/>
    <w:rsid w:val="00C67A9C"/>
    <w:rsid w:val="00C70DCA"/>
    <w:rsid w:val="00C734E8"/>
    <w:rsid w:val="00C7412B"/>
    <w:rsid w:val="00C748EA"/>
    <w:rsid w:val="00C750AD"/>
    <w:rsid w:val="00C7628A"/>
    <w:rsid w:val="00C76713"/>
    <w:rsid w:val="00C804EA"/>
    <w:rsid w:val="00C82647"/>
    <w:rsid w:val="00C83927"/>
    <w:rsid w:val="00C83941"/>
    <w:rsid w:val="00C83BCF"/>
    <w:rsid w:val="00C85290"/>
    <w:rsid w:val="00C861B5"/>
    <w:rsid w:val="00C86BA3"/>
    <w:rsid w:val="00C87B8E"/>
    <w:rsid w:val="00C90471"/>
    <w:rsid w:val="00C908CD"/>
    <w:rsid w:val="00C90DA4"/>
    <w:rsid w:val="00C921D1"/>
    <w:rsid w:val="00C93834"/>
    <w:rsid w:val="00C9646C"/>
    <w:rsid w:val="00C972D8"/>
    <w:rsid w:val="00CA0438"/>
    <w:rsid w:val="00CA04F4"/>
    <w:rsid w:val="00CA1B4E"/>
    <w:rsid w:val="00CA310C"/>
    <w:rsid w:val="00CA3F35"/>
    <w:rsid w:val="00CA405B"/>
    <w:rsid w:val="00CA43D0"/>
    <w:rsid w:val="00CA6A00"/>
    <w:rsid w:val="00CB1A9D"/>
    <w:rsid w:val="00CB3D87"/>
    <w:rsid w:val="00CC09BD"/>
    <w:rsid w:val="00CC1490"/>
    <w:rsid w:val="00CC417A"/>
    <w:rsid w:val="00CC5D77"/>
    <w:rsid w:val="00CD0511"/>
    <w:rsid w:val="00CD0BF9"/>
    <w:rsid w:val="00CD229C"/>
    <w:rsid w:val="00CD34B3"/>
    <w:rsid w:val="00CD4969"/>
    <w:rsid w:val="00CD72D5"/>
    <w:rsid w:val="00CE2D48"/>
    <w:rsid w:val="00CE3437"/>
    <w:rsid w:val="00CE440A"/>
    <w:rsid w:val="00CE54EE"/>
    <w:rsid w:val="00CE5A68"/>
    <w:rsid w:val="00CE6905"/>
    <w:rsid w:val="00CE7210"/>
    <w:rsid w:val="00CF1A0F"/>
    <w:rsid w:val="00CF2125"/>
    <w:rsid w:val="00CF3BE1"/>
    <w:rsid w:val="00CF5CE2"/>
    <w:rsid w:val="00CF61A7"/>
    <w:rsid w:val="00CF66EB"/>
    <w:rsid w:val="00CF68D4"/>
    <w:rsid w:val="00CF70B2"/>
    <w:rsid w:val="00D00071"/>
    <w:rsid w:val="00D03278"/>
    <w:rsid w:val="00D0432F"/>
    <w:rsid w:val="00D044A1"/>
    <w:rsid w:val="00D0668D"/>
    <w:rsid w:val="00D06DB5"/>
    <w:rsid w:val="00D121C3"/>
    <w:rsid w:val="00D12460"/>
    <w:rsid w:val="00D211EF"/>
    <w:rsid w:val="00D261A9"/>
    <w:rsid w:val="00D2672B"/>
    <w:rsid w:val="00D27972"/>
    <w:rsid w:val="00D30516"/>
    <w:rsid w:val="00D340F3"/>
    <w:rsid w:val="00D35CE2"/>
    <w:rsid w:val="00D35E0E"/>
    <w:rsid w:val="00D379B2"/>
    <w:rsid w:val="00D41131"/>
    <w:rsid w:val="00D4184A"/>
    <w:rsid w:val="00D44413"/>
    <w:rsid w:val="00D44A3D"/>
    <w:rsid w:val="00D4588A"/>
    <w:rsid w:val="00D4648D"/>
    <w:rsid w:val="00D46EC5"/>
    <w:rsid w:val="00D47335"/>
    <w:rsid w:val="00D47EA0"/>
    <w:rsid w:val="00D50138"/>
    <w:rsid w:val="00D51D9E"/>
    <w:rsid w:val="00D539E6"/>
    <w:rsid w:val="00D53E6E"/>
    <w:rsid w:val="00D54C7F"/>
    <w:rsid w:val="00D567A1"/>
    <w:rsid w:val="00D567A4"/>
    <w:rsid w:val="00D57F2F"/>
    <w:rsid w:val="00D6371C"/>
    <w:rsid w:val="00D63758"/>
    <w:rsid w:val="00D63B0A"/>
    <w:rsid w:val="00D651B9"/>
    <w:rsid w:val="00D6535B"/>
    <w:rsid w:val="00D65F18"/>
    <w:rsid w:val="00D65FD6"/>
    <w:rsid w:val="00D66AB4"/>
    <w:rsid w:val="00D67CC8"/>
    <w:rsid w:val="00D67E0F"/>
    <w:rsid w:val="00D70076"/>
    <w:rsid w:val="00D73F4A"/>
    <w:rsid w:val="00D80060"/>
    <w:rsid w:val="00D81113"/>
    <w:rsid w:val="00D81B7C"/>
    <w:rsid w:val="00D81B80"/>
    <w:rsid w:val="00D82776"/>
    <w:rsid w:val="00D84B5C"/>
    <w:rsid w:val="00D86959"/>
    <w:rsid w:val="00D91195"/>
    <w:rsid w:val="00D91BE9"/>
    <w:rsid w:val="00D91D1A"/>
    <w:rsid w:val="00D94CA9"/>
    <w:rsid w:val="00D97498"/>
    <w:rsid w:val="00D97CA9"/>
    <w:rsid w:val="00DA55DF"/>
    <w:rsid w:val="00DA60DC"/>
    <w:rsid w:val="00DA6593"/>
    <w:rsid w:val="00DA778A"/>
    <w:rsid w:val="00DB1771"/>
    <w:rsid w:val="00DB3B4C"/>
    <w:rsid w:val="00DB782B"/>
    <w:rsid w:val="00DC00C6"/>
    <w:rsid w:val="00DC0DB7"/>
    <w:rsid w:val="00DC4721"/>
    <w:rsid w:val="00DC5119"/>
    <w:rsid w:val="00DC5B30"/>
    <w:rsid w:val="00DC6684"/>
    <w:rsid w:val="00DC7A2F"/>
    <w:rsid w:val="00DD04C2"/>
    <w:rsid w:val="00DD1A66"/>
    <w:rsid w:val="00DD2135"/>
    <w:rsid w:val="00DD2D4C"/>
    <w:rsid w:val="00DD4313"/>
    <w:rsid w:val="00DD71F9"/>
    <w:rsid w:val="00DE030E"/>
    <w:rsid w:val="00DE14CF"/>
    <w:rsid w:val="00DE567C"/>
    <w:rsid w:val="00DE70FA"/>
    <w:rsid w:val="00DF07A3"/>
    <w:rsid w:val="00DF1067"/>
    <w:rsid w:val="00DF2A50"/>
    <w:rsid w:val="00DF2B74"/>
    <w:rsid w:val="00DF325E"/>
    <w:rsid w:val="00DF4BF2"/>
    <w:rsid w:val="00DF5099"/>
    <w:rsid w:val="00DF5FE7"/>
    <w:rsid w:val="00DF6503"/>
    <w:rsid w:val="00DF7057"/>
    <w:rsid w:val="00E0146D"/>
    <w:rsid w:val="00E01506"/>
    <w:rsid w:val="00E01561"/>
    <w:rsid w:val="00E02747"/>
    <w:rsid w:val="00E029DC"/>
    <w:rsid w:val="00E033B9"/>
    <w:rsid w:val="00E05B2A"/>
    <w:rsid w:val="00E062BD"/>
    <w:rsid w:val="00E11036"/>
    <w:rsid w:val="00E13192"/>
    <w:rsid w:val="00E13833"/>
    <w:rsid w:val="00E147D9"/>
    <w:rsid w:val="00E14BF5"/>
    <w:rsid w:val="00E156D7"/>
    <w:rsid w:val="00E160CB"/>
    <w:rsid w:val="00E173CA"/>
    <w:rsid w:val="00E2004B"/>
    <w:rsid w:val="00E2064E"/>
    <w:rsid w:val="00E21E77"/>
    <w:rsid w:val="00E23510"/>
    <w:rsid w:val="00E254B7"/>
    <w:rsid w:val="00E312D0"/>
    <w:rsid w:val="00E3220C"/>
    <w:rsid w:val="00E32D2B"/>
    <w:rsid w:val="00E33649"/>
    <w:rsid w:val="00E346E4"/>
    <w:rsid w:val="00E34715"/>
    <w:rsid w:val="00E356B9"/>
    <w:rsid w:val="00E356F0"/>
    <w:rsid w:val="00E4026B"/>
    <w:rsid w:val="00E41062"/>
    <w:rsid w:val="00E463CC"/>
    <w:rsid w:val="00E46408"/>
    <w:rsid w:val="00E46D2D"/>
    <w:rsid w:val="00E4774C"/>
    <w:rsid w:val="00E51718"/>
    <w:rsid w:val="00E5190B"/>
    <w:rsid w:val="00E53069"/>
    <w:rsid w:val="00E537D0"/>
    <w:rsid w:val="00E54966"/>
    <w:rsid w:val="00E574DA"/>
    <w:rsid w:val="00E5792D"/>
    <w:rsid w:val="00E60038"/>
    <w:rsid w:val="00E61CFA"/>
    <w:rsid w:val="00E62076"/>
    <w:rsid w:val="00E627AB"/>
    <w:rsid w:val="00E62ED4"/>
    <w:rsid w:val="00E63F17"/>
    <w:rsid w:val="00E6549E"/>
    <w:rsid w:val="00E67BCD"/>
    <w:rsid w:val="00E70667"/>
    <w:rsid w:val="00E71778"/>
    <w:rsid w:val="00E71B83"/>
    <w:rsid w:val="00E72979"/>
    <w:rsid w:val="00E73B96"/>
    <w:rsid w:val="00E73F45"/>
    <w:rsid w:val="00E76430"/>
    <w:rsid w:val="00E77A5D"/>
    <w:rsid w:val="00E77B6D"/>
    <w:rsid w:val="00E800AF"/>
    <w:rsid w:val="00E80737"/>
    <w:rsid w:val="00E8073D"/>
    <w:rsid w:val="00E807B7"/>
    <w:rsid w:val="00E80A49"/>
    <w:rsid w:val="00E80B1D"/>
    <w:rsid w:val="00E81727"/>
    <w:rsid w:val="00E82E05"/>
    <w:rsid w:val="00E838CA"/>
    <w:rsid w:val="00E83FB6"/>
    <w:rsid w:val="00E8555D"/>
    <w:rsid w:val="00E874B7"/>
    <w:rsid w:val="00E87898"/>
    <w:rsid w:val="00E87984"/>
    <w:rsid w:val="00E87F35"/>
    <w:rsid w:val="00E91B3C"/>
    <w:rsid w:val="00E922FA"/>
    <w:rsid w:val="00E92E1F"/>
    <w:rsid w:val="00E93A7E"/>
    <w:rsid w:val="00E93FE4"/>
    <w:rsid w:val="00E94E99"/>
    <w:rsid w:val="00E9550A"/>
    <w:rsid w:val="00EA04D6"/>
    <w:rsid w:val="00EA1F6F"/>
    <w:rsid w:val="00EA2740"/>
    <w:rsid w:val="00EA3342"/>
    <w:rsid w:val="00EA6237"/>
    <w:rsid w:val="00EA74CF"/>
    <w:rsid w:val="00EB4D90"/>
    <w:rsid w:val="00EB5BC5"/>
    <w:rsid w:val="00EC1665"/>
    <w:rsid w:val="00EC211F"/>
    <w:rsid w:val="00EC28A5"/>
    <w:rsid w:val="00EC2BE2"/>
    <w:rsid w:val="00EC38FA"/>
    <w:rsid w:val="00EC53B0"/>
    <w:rsid w:val="00EC57A1"/>
    <w:rsid w:val="00EC5A03"/>
    <w:rsid w:val="00EC5E60"/>
    <w:rsid w:val="00EC6D6F"/>
    <w:rsid w:val="00EC753D"/>
    <w:rsid w:val="00ED1CD4"/>
    <w:rsid w:val="00ED300B"/>
    <w:rsid w:val="00ED3144"/>
    <w:rsid w:val="00ED3345"/>
    <w:rsid w:val="00ED5FA7"/>
    <w:rsid w:val="00ED7189"/>
    <w:rsid w:val="00EE2CAD"/>
    <w:rsid w:val="00EE475D"/>
    <w:rsid w:val="00EE563E"/>
    <w:rsid w:val="00EE66C4"/>
    <w:rsid w:val="00EE71EF"/>
    <w:rsid w:val="00EE7BC8"/>
    <w:rsid w:val="00EF237D"/>
    <w:rsid w:val="00EF4479"/>
    <w:rsid w:val="00EF5AAA"/>
    <w:rsid w:val="00EF6015"/>
    <w:rsid w:val="00F00D18"/>
    <w:rsid w:val="00F019B7"/>
    <w:rsid w:val="00F01B5A"/>
    <w:rsid w:val="00F02EBF"/>
    <w:rsid w:val="00F03773"/>
    <w:rsid w:val="00F03F92"/>
    <w:rsid w:val="00F046FE"/>
    <w:rsid w:val="00F063F7"/>
    <w:rsid w:val="00F06F1D"/>
    <w:rsid w:val="00F075F4"/>
    <w:rsid w:val="00F07757"/>
    <w:rsid w:val="00F07EFD"/>
    <w:rsid w:val="00F10650"/>
    <w:rsid w:val="00F10E99"/>
    <w:rsid w:val="00F10FB7"/>
    <w:rsid w:val="00F12514"/>
    <w:rsid w:val="00F13AF1"/>
    <w:rsid w:val="00F1565F"/>
    <w:rsid w:val="00F15D28"/>
    <w:rsid w:val="00F16362"/>
    <w:rsid w:val="00F16AB3"/>
    <w:rsid w:val="00F17CEC"/>
    <w:rsid w:val="00F217E7"/>
    <w:rsid w:val="00F22911"/>
    <w:rsid w:val="00F23D45"/>
    <w:rsid w:val="00F262BF"/>
    <w:rsid w:val="00F304B3"/>
    <w:rsid w:val="00F30E0B"/>
    <w:rsid w:val="00F31212"/>
    <w:rsid w:val="00F31266"/>
    <w:rsid w:val="00F313A4"/>
    <w:rsid w:val="00F31487"/>
    <w:rsid w:val="00F322A9"/>
    <w:rsid w:val="00F3697E"/>
    <w:rsid w:val="00F36AEC"/>
    <w:rsid w:val="00F37982"/>
    <w:rsid w:val="00F4069F"/>
    <w:rsid w:val="00F417F0"/>
    <w:rsid w:val="00F42D16"/>
    <w:rsid w:val="00F432D5"/>
    <w:rsid w:val="00F43720"/>
    <w:rsid w:val="00F43FD7"/>
    <w:rsid w:val="00F4515D"/>
    <w:rsid w:val="00F46651"/>
    <w:rsid w:val="00F476B1"/>
    <w:rsid w:val="00F52AA7"/>
    <w:rsid w:val="00F52B6E"/>
    <w:rsid w:val="00F53FBD"/>
    <w:rsid w:val="00F54295"/>
    <w:rsid w:val="00F55AD8"/>
    <w:rsid w:val="00F56743"/>
    <w:rsid w:val="00F5787A"/>
    <w:rsid w:val="00F579A5"/>
    <w:rsid w:val="00F6084C"/>
    <w:rsid w:val="00F60C31"/>
    <w:rsid w:val="00F61E8C"/>
    <w:rsid w:val="00F63AC7"/>
    <w:rsid w:val="00F63BED"/>
    <w:rsid w:val="00F6415F"/>
    <w:rsid w:val="00F6537F"/>
    <w:rsid w:val="00F6561C"/>
    <w:rsid w:val="00F67664"/>
    <w:rsid w:val="00F74154"/>
    <w:rsid w:val="00F767C6"/>
    <w:rsid w:val="00F767EF"/>
    <w:rsid w:val="00F776D4"/>
    <w:rsid w:val="00F77C49"/>
    <w:rsid w:val="00F806BD"/>
    <w:rsid w:val="00F8113A"/>
    <w:rsid w:val="00F833E2"/>
    <w:rsid w:val="00F83670"/>
    <w:rsid w:val="00F8387E"/>
    <w:rsid w:val="00F877A3"/>
    <w:rsid w:val="00F8794B"/>
    <w:rsid w:val="00F912DA"/>
    <w:rsid w:val="00F92EBA"/>
    <w:rsid w:val="00F92F70"/>
    <w:rsid w:val="00F93D01"/>
    <w:rsid w:val="00F97851"/>
    <w:rsid w:val="00FA0674"/>
    <w:rsid w:val="00FA0B61"/>
    <w:rsid w:val="00FA2D84"/>
    <w:rsid w:val="00FA4E79"/>
    <w:rsid w:val="00FA5EAD"/>
    <w:rsid w:val="00FA62A6"/>
    <w:rsid w:val="00FB1BDA"/>
    <w:rsid w:val="00FB2E2A"/>
    <w:rsid w:val="00FB4E00"/>
    <w:rsid w:val="00FC0A7C"/>
    <w:rsid w:val="00FC0C21"/>
    <w:rsid w:val="00FC1F22"/>
    <w:rsid w:val="00FC243F"/>
    <w:rsid w:val="00FC2703"/>
    <w:rsid w:val="00FC4416"/>
    <w:rsid w:val="00FC5E53"/>
    <w:rsid w:val="00FD1563"/>
    <w:rsid w:val="00FD2DEB"/>
    <w:rsid w:val="00FD2E9B"/>
    <w:rsid w:val="00FD5BD0"/>
    <w:rsid w:val="00FD5D15"/>
    <w:rsid w:val="00FD76B6"/>
    <w:rsid w:val="00FE0366"/>
    <w:rsid w:val="00FE2025"/>
    <w:rsid w:val="00FE31C1"/>
    <w:rsid w:val="00FE76B4"/>
    <w:rsid w:val="00FE7A51"/>
    <w:rsid w:val="00FF0295"/>
    <w:rsid w:val="00FF4A38"/>
    <w:rsid w:val="00FF5B81"/>
    <w:rsid w:val="00FF6F02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aliases w:val="כותרת 1 תו2,כותרת 1 תו תו,Heading 1 תו תו,כותרת 1 תו1 תו תו,Heading 1 תו1 תו תו,כותרת 1 תו תו תו תו,Heading 1 תו תו תו תו,כותרת 1 תו1 תו1 תו תו תו,כותרת 1 תו תו תו תו תו תו,כותרת 1 תו2 תו תו תו תו תו תו,כותרת 1 תו1 תו תו תו תו תו תו תו,Heading 1"/>
    <w:basedOn w:val="a"/>
    <w:link w:val="10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כותרת 2 תו1,Heading 2 תו,כותרת 2 תו תו,כותרת 2 תו1 תו תו,כותרת 2 תו תו תו תו,Heading 2 תו1 תו תו תו,Heading 2 תו תו תו תו תו,Heading 2 תו תו1 תו תו,Heading 2 תו1 תו,Heading 2 תו תו תו,כותרת 2 תו,כותרת 2 תו1 תו,כותרת 2 תו תו תו,Heading 2, תו,תו"/>
    <w:basedOn w:val="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aliases w:val="כותרת 3 תו1 תו,כותרת 3 תו תו תו,Heading 3 תו תו תו,כותרת 3 תו1,כותרת 3 תו תו,Heading 3 תו תו,כותרת 3 תו,Heading 3 תו,Heading 3,Heading 3 תו1,כותרת 3 תו1 תו תו,כותרת 3 תו תו תו תו,Heading 3 תו תו תו תו,כותרת 3 תו2,Heading 3 תו2,כותרת 3 תו תו1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aliases w:val="Heading 4,כותרת 4 תו,Heading 4 תו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table" w:styleId="a5">
    <w:name w:val="Table Grid"/>
    <w:basedOn w:val="a1"/>
    <w:rsid w:val="000B6437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207C1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rsid w:val="00443B0A"/>
    <w:rPr>
      <w:sz w:val="20"/>
      <w:szCs w:val="20"/>
    </w:rPr>
  </w:style>
  <w:style w:type="character" w:styleId="a9">
    <w:name w:val="footnote reference"/>
    <w:rsid w:val="00443B0A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F17CEC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ac">
    <w:name w:val="Balloon Text"/>
    <w:basedOn w:val="a"/>
    <w:link w:val="ad"/>
    <w:rsid w:val="009267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rsid w:val="00926725"/>
    <w:rPr>
      <w:rFonts w:ascii="Tahoma" w:hAnsi="Tahoma" w:cs="Tahoma"/>
      <w:sz w:val="16"/>
      <w:szCs w:val="16"/>
    </w:rPr>
  </w:style>
  <w:style w:type="character" w:customStyle="1" w:styleId="a8">
    <w:name w:val="טקסט הערת שוליים תו"/>
    <w:link w:val="a7"/>
    <w:rsid w:val="00B3124C"/>
    <w:rPr>
      <w:rFonts w:cs="David"/>
    </w:rPr>
  </w:style>
  <w:style w:type="character" w:customStyle="1" w:styleId="10">
    <w:name w:val="כותרת 1 תו"/>
    <w:aliases w:val="כותרת 1 תו2 תו,כותרת 1 תו תו תו,Heading 1 תו תו תו,כותרת 1 תו1 תו תו תו,Heading 1 תו1 תו תו תו,כותרת 1 תו תו תו תו תו,Heading 1 תו תו תו תו תו,כותרת 1 תו1 תו1 תו תו תו תו,כותרת 1 תו תו תו תו תו תו תו,כותרת 1 תו2 תו תו תו תו תו תו תו"/>
    <w:link w:val="1"/>
    <w:rsid w:val="00B3124C"/>
    <w:rPr>
      <w:rFonts w:cs="David"/>
      <w:kern w:val="28"/>
      <w:sz w:val="22"/>
      <w:szCs w:val="24"/>
    </w:rPr>
  </w:style>
  <w:style w:type="character" w:styleId="ae">
    <w:name w:val="annotation reference"/>
    <w:basedOn w:val="a0"/>
    <w:rsid w:val="00041B04"/>
    <w:rPr>
      <w:sz w:val="16"/>
      <w:szCs w:val="16"/>
    </w:rPr>
  </w:style>
  <w:style w:type="paragraph" w:styleId="af">
    <w:name w:val="annotation text"/>
    <w:basedOn w:val="a"/>
    <w:link w:val="af0"/>
    <w:rsid w:val="00041B04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rsid w:val="00041B04"/>
    <w:rPr>
      <w:rFonts w:cs="David"/>
    </w:rPr>
  </w:style>
  <w:style w:type="paragraph" w:styleId="af1">
    <w:name w:val="annotation subject"/>
    <w:basedOn w:val="af"/>
    <w:next w:val="af"/>
    <w:link w:val="af2"/>
    <w:rsid w:val="00041B04"/>
    <w:rPr>
      <w:b/>
      <w:bCs/>
    </w:rPr>
  </w:style>
  <w:style w:type="character" w:customStyle="1" w:styleId="af2">
    <w:name w:val="נושא הערה תו"/>
    <w:basedOn w:val="af0"/>
    <w:link w:val="af1"/>
    <w:rsid w:val="00041B04"/>
    <w:rPr>
      <w:rFonts w:cs="David"/>
      <w:b/>
      <w:bCs/>
    </w:rPr>
  </w:style>
  <w:style w:type="character" w:customStyle="1" w:styleId="shorten-header">
    <w:name w:val="shorten-header"/>
    <w:basedOn w:val="a0"/>
    <w:rsid w:val="00407BBE"/>
  </w:style>
  <w:style w:type="character" w:styleId="Hyperlink">
    <w:name w:val="Hyperlink"/>
    <w:basedOn w:val="a0"/>
    <w:uiPriority w:val="99"/>
    <w:unhideWhenUsed/>
    <w:rsid w:val="00407BBE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407BBE"/>
    <w:pPr>
      <w:tabs>
        <w:tab w:val="clear" w:pos="567"/>
        <w:tab w:val="clear" w:pos="1134"/>
        <w:tab w:val="clear" w:pos="1814"/>
        <w:tab w:val="clear" w:pos="2665"/>
      </w:tabs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styleId="af3">
    <w:name w:val="Block Text"/>
    <w:basedOn w:val="a"/>
    <w:rsid w:val="007B7E90"/>
    <w:pPr>
      <w:tabs>
        <w:tab w:val="clear" w:pos="567"/>
        <w:tab w:val="clear" w:pos="1134"/>
        <w:tab w:val="clear" w:pos="1814"/>
        <w:tab w:val="clear" w:pos="2665"/>
      </w:tabs>
      <w:ind w:left="848" w:hanging="567"/>
    </w:pPr>
    <w:rPr>
      <w:sz w:val="22"/>
      <w:lang w:eastAsia="he-IL"/>
    </w:rPr>
  </w:style>
  <w:style w:type="character" w:customStyle="1" w:styleId="ab">
    <w:name w:val="פיסקת רשימה תו"/>
    <w:link w:val="aa"/>
    <w:uiPriority w:val="34"/>
    <w:locked/>
    <w:rsid w:val="00AC4857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aliases w:val="כותרת 1 תו2,כותרת 1 תו תו,Heading 1 תו תו,כותרת 1 תו1 תו תו,Heading 1 תו1 תו תו,כותרת 1 תו תו תו תו,Heading 1 תו תו תו תו,כותרת 1 תו1 תו1 תו תו תו,כותרת 1 תו תו תו תו תו תו,כותרת 1 תו2 תו תו תו תו תו תו,כותרת 1 תו1 תו תו תו תו תו תו תו,Heading 1"/>
    <w:basedOn w:val="a"/>
    <w:link w:val="10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כותרת 2 תו1,Heading 2 תו,כותרת 2 תו תו,כותרת 2 תו1 תו תו,כותרת 2 תו תו תו תו,Heading 2 תו1 תו תו תו,Heading 2 תו תו תו תו תו,Heading 2 תו תו1 תו תו,Heading 2 תו1 תו,Heading 2 תו תו תו,כותרת 2 תו,כותרת 2 תו1 תו,כותרת 2 תו תו תו,Heading 2, תו,תו"/>
    <w:basedOn w:val="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aliases w:val="כותרת 3 תו1 תו,כותרת 3 תו תו תו,Heading 3 תו תו תו,כותרת 3 תו1,כותרת 3 תו תו,Heading 3 תו תו,כותרת 3 תו,Heading 3 תו,Heading 3,Heading 3 תו1,כותרת 3 תו1 תו תו,כותרת 3 תו תו תו תו,Heading 3 תו תו תו תו,כותרת 3 תו2,Heading 3 תו2,כותרת 3 תו תו1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aliases w:val="Heading 4,כותרת 4 תו,Heading 4 תו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table" w:styleId="a5">
    <w:name w:val="Table Grid"/>
    <w:basedOn w:val="a1"/>
    <w:rsid w:val="000B6437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207C1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rsid w:val="00443B0A"/>
    <w:rPr>
      <w:sz w:val="20"/>
      <w:szCs w:val="20"/>
    </w:rPr>
  </w:style>
  <w:style w:type="character" w:styleId="a9">
    <w:name w:val="footnote reference"/>
    <w:rsid w:val="00443B0A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F17CEC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ac">
    <w:name w:val="Balloon Text"/>
    <w:basedOn w:val="a"/>
    <w:link w:val="ad"/>
    <w:rsid w:val="009267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rsid w:val="00926725"/>
    <w:rPr>
      <w:rFonts w:ascii="Tahoma" w:hAnsi="Tahoma" w:cs="Tahoma"/>
      <w:sz w:val="16"/>
      <w:szCs w:val="16"/>
    </w:rPr>
  </w:style>
  <w:style w:type="character" w:customStyle="1" w:styleId="a8">
    <w:name w:val="טקסט הערת שוליים תו"/>
    <w:link w:val="a7"/>
    <w:rsid w:val="00B3124C"/>
    <w:rPr>
      <w:rFonts w:cs="David"/>
    </w:rPr>
  </w:style>
  <w:style w:type="character" w:customStyle="1" w:styleId="10">
    <w:name w:val="כותרת 1 תו"/>
    <w:aliases w:val="כותרת 1 תו2 תו,כותרת 1 תו תו תו,Heading 1 תו תו תו,כותרת 1 תו1 תו תו תו,Heading 1 תו1 תו תו תו,כותרת 1 תו תו תו תו תו,Heading 1 תו תו תו תו תו,כותרת 1 תו1 תו1 תו תו תו תו,כותרת 1 תו תו תו תו תו תו תו,כותרת 1 תו2 תו תו תו תו תו תו תו"/>
    <w:link w:val="1"/>
    <w:rsid w:val="00B3124C"/>
    <w:rPr>
      <w:rFonts w:cs="David"/>
      <w:kern w:val="28"/>
      <w:sz w:val="22"/>
      <w:szCs w:val="24"/>
    </w:rPr>
  </w:style>
  <w:style w:type="character" w:styleId="ae">
    <w:name w:val="annotation reference"/>
    <w:basedOn w:val="a0"/>
    <w:rsid w:val="00041B04"/>
    <w:rPr>
      <w:sz w:val="16"/>
      <w:szCs w:val="16"/>
    </w:rPr>
  </w:style>
  <w:style w:type="paragraph" w:styleId="af">
    <w:name w:val="annotation text"/>
    <w:basedOn w:val="a"/>
    <w:link w:val="af0"/>
    <w:rsid w:val="00041B04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rsid w:val="00041B04"/>
    <w:rPr>
      <w:rFonts w:cs="David"/>
    </w:rPr>
  </w:style>
  <w:style w:type="paragraph" w:styleId="af1">
    <w:name w:val="annotation subject"/>
    <w:basedOn w:val="af"/>
    <w:next w:val="af"/>
    <w:link w:val="af2"/>
    <w:rsid w:val="00041B04"/>
    <w:rPr>
      <w:b/>
      <w:bCs/>
    </w:rPr>
  </w:style>
  <w:style w:type="character" w:customStyle="1" w:styleId="af2">
    <w:name w:val="נושא הערה תו"/>
    <w:basedOn w:val="af0"/>
    <w:link w:val="af1"/>
    <w:rsid w:val="00041B04"/>
    <w:rPr>
      <w:rFonts w:cs="David"/>
      <w:b/>
      <w:bCs/>
    </w:rPr>
  </w:style>
  <w:style w:type="character" w:customStyle="1" w:styleId="shorten-header">
    <w:name w:val="shorten-header"/>
    <w:basedOn w:val="a0"/>
    <w:rsid w:val="00407BBE"/>
  </w:style>
  <w:style w:type="character" w:styleId="Hyperlink">
    <w:name w:val="Hyperlink"/>
    <w:basedOn w:val="a0"/>
    <w:uiPriority w:val="99"/>
    <w:unhideWhenUsed/>
    <w:rsid w:val="00407BBE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407BBE"/>
    <w:pPr>
      <w:tabs>
        <w:tab w:val="clear" w:pos="567"/>
        <w:tab w:val="clear" w:pos="1134"/>
        <w:tab w:val="clear" w:pos="1814"/>
        <w:tab w:val="clear" w:pos="2665"/>
      </w:tabs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styleId="af3">
    <w:name w:val="Block Text"/>
    <w:basedOn w:val="a"/>
    <w:rsid w:val="007B7E90"/>
    <w:pPr>
      <w:tabs>
        <w:tab w:val="clear" w:pos="567"/>
        <w:tab w:val="clear" w:pos="1134"/>
        <w:tab w:val="clear" w:pos="1814"/>
        <w:tab w:val="clear" w:pos="2665"/>
      </w:tabs>
      <w:ind w:left="848" w:hanging="567"/>
    </w:pPr>
    <w:rPr>
      <w:sz w:val="22"/>
      <w:lang w:eastAsia="he-IL"/>
    </w:rPr>
  </w:style>
  <w:style w:type="character" w:customStyle="1" w:styleId="ab">
    <w:name w:val="פיסקת רשימה תו"/>
    <w:link w:val="aa"/>
    <w:uiPriority w:val="34"/>
    <w:locked/>
    <w:rsid w:val="00AC4857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cid:image001.png@01D4CDFD.BD7AAB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z49c\AppData\Local\Microsoft\Windows\Temporary%20Internet%20Files\Content.Outlook\7ZCWK2K9\&#1495;&#1493;&#1489;&#1512;&#1514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he-IL" sz="1200">
                <a:solidFill>
                  <a:sysClr val="windowText" lastClr="000000"/>
                </a:solidFill>
              </a:rPr>
              <a:t>איור 2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he-IL" sz="1200">
                <a:solidFill>
                  <a:sysClr val="windowText" lastClr="000000"/>
                </a:solidFill>
              </a:rPr>
              <a:t>שיעור</a:t>
            </a:r>
            <a:r>
              <a:rPr lang="he-IL" sz="1200" baseline="0">
                <a:solidFill>
                  <a:sysClr val="windowText" lastClr="000000"/>
                </a:solidFill>
              </a:rPr>
              <a:t> הבנקים שביצעו רכישה עצמית</a:t>
            </a:r>
            <a:r>
              <a:rPr lang="he-IL" sz="1200" baseline="30000">
                <a:solidFill>
                  <a:sysClr val="windowText" lastClr="000000"/>
                </a:solidFill>
              </a:rPr>
              <a:t>1</a:t>
            </a:r>
            <a:r>
              <a:rPr lang="he-IL" sz="1200" baseline="0">
                <a:solidFill>
                  <a:sysClr val="windowText" lastClr="000000"/>
                </a:solidFill>
              </a:rPr>
              <a:t>, קבוצות בנקים במדינות שונות</a:t>
            </a:r>
            <a:r>
              <a:rPr lang="he-IL" sz="1200" baseline="30000">
                <a:solidFill>
                  <a:sysClr val="windowText" lastClr="000000"/>
                </a:solidFill>
              </a:rPr>
              <a:t>2</a:t>
            </a:r>
            <a:r>
              <a:rPr lang="he-IL" sz="1200" baseline="0">
                <a:solidFill>
                  <a:sysClr val="windowText" lastClr="000000"/>
                </a:solidFill>
              </a:rPr>
              <a:t>,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he-IL" sz="1200" baseline="0">
                <a:solidFill>
                  <a:sysClr val="windowText" lastClr="000000"/>
                </a:solidFill>
              </a:rPr>
              <a:t>2000 עד 2017</a:t>
            </a:r>
            <a:endParaRPr lang="he-IL" sz="12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051040755322251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4576117866208471E-2"/>
          <c:y val="0.1571371897149425"/>
          <c:w val="0.92486824988753535"/>
          <c:h val="0.49497050388366509"/>
        </c:manualLayout>
      </c:layout>
      <c:lineChart>
        <c:grouping val="standard"/>
        <c:varyColors val="0"/>
        <c:ser>
          <c:idx val="0"/>
          <c:order val="0"/>
          <c:tx>
            <c:strRef>
              <c:f>'איורים לאורך זמן'!$B$4</c:f>
              <c:strCache>
                <c:ptCount val="1"/>
                <c:pt idx="0">
                  <c:v>ארה"ב (DJ)</c:v>
                </c:pt>
              </c:strCache>
            </c:strRef>
          </c:tx>
          <c:marker>
            <c:symbol val="none"/>
          </c:marker>
          <c:cat>
            <c:numRef>
              <c:f>'איורים לאורך זמן'!$C$3:$T$3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'איורים לאורך זמן'!$C$4:$T$4</c:f>
              <c:numCache>
                <c:formatCode>0.0</c:formatCode>
                <c:ptCount val="18"/>
                <c:pt idx="0">
                  <c:v>58.695652173913047</c:v>
                </c:pt>
                <c:pt idx="1">
                  <c:v>46.808510638297875</c:v>
                </c:pt>
                <c:pt idx="2">
                  <c:v>55.319148936170215</c:v>
                </c:pt>
                <c:pt idx="3">
                  <c:v>53.191489361702125</c:v>
                </c:pt>
                <c:pt idx="4">
                  <c:v>63.829787234042556</c:v>
                </c:pt>
                <c:pt idx="5">
                  <c:v>57.446808510638306</c:v>
                </c:pt>
                <c:pt idx="6">
                  <c:v>55.319148936170215</c:v>
                </c:pt>
                <c:pt idx="7">
                  <c:v>65.957446808510639</c:v>
                </c:pt>
                <c:pt idx="8">
                  <c:v>14.893617021276595</c:v>
                </c:pt>
                <c:pt idx="9">
                  <c:v>10.638297872340425</c:v>
                </c:pt>
                <c:pt idx="10">
                  <c:v>12.76595744680851</c:v>
                </c:pt>
                <c:pt idx="11">
                  <c:v>27.659574468085108</c:v>
                </c:pt>
                <c:pt idx="12">
                  <c:v>40.425531914893611</c:v>
                </c:pt>
                <c:pt idx="13">
                  <c:v>51.063829787234042</c:v>
                </c:pt>
                <c:pt idx="14">
                  <c:v>51.063829787234042</c:v>
                </c:pt>
                <c:pt idx="15">
                  <c:v>53.191489361702125</c:v>
                </c:pt>
                <c:pt idx="16">
                  <c:v>42.553191489361701</c:v>
                </c:pt>
                <c:pt idx="17">
                  <c:v>44.680851063829785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86-4612-809A-C36D1217173A}"/>
            </c:ext>
          </c:extLst>
        </c:ser>
        <c:ser>
          <c:idx val="4"/>
          <c:order val="1"/>
          <c:tx>
            <c:strRef>
              <c:f>'איורים לאורך זמן'!$B$5</c:f>
              <c:strCache>
                <c:ptCount val="1"/>
                <c:pt idx="0">
                  <c:v>ארה"ב (KBW)</c:v>
                </c:pt>
              </c:strCache>
            </c:strRef>
          </c:tx>
          <c:marker>
            <c:symbol val="none"/>
          </c:marker>
          <c:cat>
            <c:numRef>
              <c:f>'איורים לאורך זמן'!$C$3:$T$3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'איורים לאורך זמן'!$C$5:$T$5</c:f>
              <c:numCache>
                <c:formatCode>0.0</c:formatCode>
                <c:ptCount val="18"/>
                <c:pt idx="0">
                  <c:v>58.333333333333336</c:v>
                </c:pt>
                <c:pt idx="1">
                  <c:v>52</c:v>
                </c:pt>
                <c:pt idx="2">
                  <c:v>44</c:v>
                </c:pt>
                <c:pt idx="3">
                  <c:v>32</c:v>
                </c:pt>
                <c:pt idx="4">
                  <c:v>56.000000000000007</c:v>
                </c:pt>
                <c:pt idx="5">
                  <c:v>60</c:v>
                </c:pt>
                <c:pt idx="6">
                  <c:v>56.000000000000007</c:v>
                </c:pt>
                <c:pt idx="7">
                  <c:v>64</c:v>
                </c:pt>
                <c:pt idx="8">
                  <c:v>28.000000000000004</c:v>
                </c:pt>
                <c:pt idx="9">
                  <c:v>28.000000000000004</c:v>
                </c:pt>
                <c:pt idx="10">
                  <c:v>24</c:v>
                </c:pt>
                <c:pt idx="11">
                  <c:v>28.000000000000004</c:v>
                </c:pt>
                <c:pt idx="12">
                  <c:v>36</c:v>
                </c:pt>
                <c:pt idx="13">
                  <c:v>56.000000000000007</c:v>
                </c:pt>
                <c:pt idx="14">
                  <c:v>52</c:v>
                </c:pt>
                <c:pt idx="15">
                  <c:v>56.000000000000007</c:v>
                </c:pt>
                <c:pt idx="16">
                  <c:v>60</c:v>
                </c:pt>
                <c:pt idx="17">
                  <c:v>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86-4612-809A-C36D1217173A}"/>
            </c:ext>
          </c:extLst>
        </c:ser>
        <c:ser>
          <c:idx val="1"/>
          <c:order val="2"/>
          <c:tx>
            <c:strRef>
              <c:f>'איורים לאורך זמן'!$B$6</c:f>
              <c:strCache>
                <c:ptCount val="1"/>
                <c:pt idx="0">
                  <c:v>אירופה</c:v>
                </c:pt>
              </c:strCache>
            </c:strRef>
          </c:tx>
          <c:marker>
            <c:symbol val="none"/>
          </c:marker>
          <c:cat>
            <c:numRef>
              <c:f>'איורים לאורך זמן'!$C$3:$T$3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'איורים לאורך זמן'!$C$6:$T$6</c:f>
              <c:numCache>
                <c:formatCode>0.0</c:formatCode>
                <c:ptCount val="18"/>
                <c:pt idx="0">
                  <c:v>7.4074074074074066</c:v>
                </c:pt>
                <c:pt idx="1">
                  <c:v>3.5714285714285712</c:v>
                </c:pt>
                <c:pt idx="2">
                  <c:v>7.1428571428571423</c:v>
                </c:pt>
                <c:pt idx="3">
                  <c:v>14.285714285714285</c:v>
                </c:pt>
                <c:pt idx="4">
                  <c:v>21.428571428571427</c:v>
                </c:pt>
                <c:pt idx="5">
                  <c:v>14.285714285714285</c:v>
                </c:pt>
                <c:pt idx="6">
                  <c:v>25</c:v>
                </c:pt>
                <c:pt idx="7">
                  <c:v>32.142857142857146</c:v>
                </c:pt>
                <c:pt idx="8">
                  <c:v>25</c:v>
                </c:pt>
                <c:pt idx="9">
                  <c:v>10.714285714285714</c:v>
                </c:pt>
                <c:pt idx="10">
                  <c:v>14.285714285714285</c:v>
                </c:pt>
                <c:pt idx="11">
                  <c:v>21.428571428571427</c:v>
                </c:pt>
                <c:pt idx="12">
                  <c:v>21.428571428571427</c:v>
                </c:pt>
                <c:pt idx="13">
                  <c:v>25</c:v>
                </c:pt>
                <c:pt idx="14">
                  <c:v>17.857142857142858</c:v>
                </c:pt>
                <c:pt idx="15">
                  <c:v>21.428571428571427</c:v>
                </c:pt>
                <c:pt idx="16">
                  <c:v>14.285714285714285</c:v>
                </c:pt>
                <c:pt idx="17">
                  <c:v>17.857142857142858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A86-4612-809A-C36D1217173A}"/>
            </c:ext>
          </c:extLst>
        </c:ser>
        <c:ser>
          <c:idx val="2"/>
          <c:order val="3"/>
          <c:tx>
            <c:strRef>
              <c:f>'איורים לאורך זמן'!$B$7</c:f>
              <c:strCache>
                <c:ptCount val="1"/>
                <c:pt idx="0">
                  <c:v>בריטניה</c:v>
                </c:pt>
              </c:strCache>
            </c:strRef>
          </c:tx>
          <c:marker>
            <c:symbol val="none"/>
          </c:marker>
          <c:cat>
            <c:numRef>
              <c:f>'איורים לאורך זמן'!$C$3:$T$3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'איורים לאורך זמן'!$C$7:$T$7</c:f>
              <c:numCache>
                <c:formatCode>0.0</c:formatCode>
                <c:ptCount val="18"/>
                <c:pt idx="0">
                  <c:v>9.0909090909090917</c:v>
                </c:pt>
                <c:pt idx="1">
                  <c:v>8.3333333333333321</c:v>
                </c:pt>
                <c:pt idx="2">
                  <c:v>16.666666666666664</c:v>
                </c:pt>
                <c:pt idx="3">
                  <c:v>0</c:v>
                </c:pt>
                <c:pt idx="4">
                  <c:v>8.3333333333333321</c:v>
                </c:pt>
                <c:pt idx="5">
                  <c:v>0</c:v>
                </c:pt>
                <c:pt idx="6">
                  <c:v>8.3333333333333321</c:v>
                </c:pt>
                <c:pt idx="7">
                  <c:v>8.3333333333333321</c:v>
                </c:pt>
                <c:pt idx="8">
                  <c:v>0</c:v>
                </c:pt>
                <c:pt idx="9">
                  <c:v>8.3333333333333321</c:v>
                </c:pt>
                <c:pt idx="10">
                  <c:v>16.666666666666664</c:v>
                </c:pt>
                <c:pt idx="11">
                  <c:v>0</c:v>
                </c:pt>
                <c:pt idx="12">
                  <c:v>8.3333333333333321</c:v>
                </c:pt>
                <c:pt idx="13">
                  <c:v>8.3333333333333321</c:v>
                </c:pt>
                <c:pt idx="14">
                  <c:v>16.666666666666664</c:v>
                </c:pt>
                <c:pt idx="15">
                  <c:v>33.333333333333329</c:v>
                </c:pt>
                <c:pt idx="16">
                  <c:v>41.666666666666671</c:v>
                </c:pt>
                <c:pt idx="17">
                  <c:v>41.666666666666671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A86-4612-809A-C36D1217173A}"/>
            </c:ext>
          </c:extLst>
        </c:ser>
        <c:ser>
          <c:idx val="5"/>
          <c:order val="4"/>
          <c:tx>
            <c:strRef>
              <c:f>'איורים לאורך זמן'!$B$8</c:f>
              <c:strCache>
                <c:ptCount val="1"/>
                <c:pt idx="0">
                  <c:v>אוסטרליה</c:v>
                </c:pt>
              </c:strCache>
            </c:strRef>
          </c:tx>
          <c:marker>
            <c:symbol val="none"/>
          </c:marker>
          <c:cat>
            <c:numRef>
              <c:f>'איורים לאורך זמן'!$C$3:$T$3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'איורים לאורך זמן'!$C$8:$T$8</c:f>
              <c:numCache>
                <c:formatCode>0.0</c:formatCode>
                <c:ptCount val="18"/>
                <c:pt idx="0">
                  <c:v>42.857142857142854</c:v>
                </c:pt>
                <c:pt idx="1">
                  <c:v>62.5</c:v>
                </c:pt>
                <c:pt idx="2">
                  <c:v>25</c:v>
                </c:pt>
                <c:pt idx="3">
                  <c:v>12.5</c:v>
                </c:pt>
                <c:pt idx="4">
                  <c:v>62.5</c:v>
                </c:pt>
                <c:pt idx="5">
                  <c:v>25</c:v>
                </c:pt>
                <c:pt idx="6">
                  <c:v>37.5</c:v>
                </c:pt>
                <c:pt idx="7">
                  <c:v>37.5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12.5</c:v>
                </c:pt>
                <c:pt idx="12">
                  <c:v>12.5</c:v>
                </c:pt>
                <c:pt idx="13">
                  <c:v>25</c:v>
                </c:pt>
                <c:pt idx="14">
                  <c:v>12.5</c:v>
                </c:pt>
                <c:pt idx="15">
                  <c:v>37.5</c:v>
                </c:pt>
                <c:pt idx="16">
                  <c:v>12.5</c:v>
                </c:pt>
                <c:pt idx="17">
                  <c:v>12.5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A86-4612-809A-C36D1217173A}"/>
            </c:ext>
          </c:extLst>
        </c:ser>
        <c:ser>
          <c:idx val="6"/>
          <c:order val="5"/>
          <c:tx>
            <c:strRef>
              <c:f>'איורים לאורך זמן'!$B$9</c:f>
              <c:strCache>
                <c:ptCount val="1"/>
                <c:pt idx="0">
                  <c:v>יפן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numRef>
              <c:f>'איורים לאורך זמן'!$C$3:$T$3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'איורים לאורך זמן'!$C$9:$T$9</c:f>
              <c:numCache>
                <c:formatCode>0.0</c:formatCode>
                <c:ptCount val="18"/>
                <c:pt idx="0">
                  <c:v>3.5714285714285712</c:v>
                </c:pt>
                <c:pt idx="1">
                  <c:v>0</c:v>
                </c:pt>
                <c:pt idx="2">
                  <c:v>3.5714285714285712</c:v>
                </c:pt>
                <c:pt idx="3">
                  <c:v>7.1428571428571423</c:v>
                </c:pt>
                <c:pt idx="4">
                  <c:v>10.714285714285714</c:v>
                </c:pt>
                <c:pt idx="5">
                  <c:v>3.5714285714285712</c:v>
                </c:pt>
                <c:pt idx="6">
                  <c:v>3.5714285714285712</c:v>
                </c:pt>
                <c:pt idx="7">
                  <c:v>7.1428571428571423</c:v>
                </c:pt>
                <c:pt idx="8">
                  <c:v>10.714285714285714</c:v>
                </c:pt>
                <c:pt idx="9">
                  <c:v>7.1428571428571423</c:v>
                </c:pt>
                <c:pt idx="10">
                  <c:v>7.1428571428571423</c:v>
                </c:pt>
                <c:pt idx="11">
                  <c:v>10.714285714285714</c:v>
                </c:pt>
                <c:pt idx="12">
                  <c:v>7.1428571428571423</c:v>
                </c:pt>
                <c:pt idx="13">
                  <c:v>7.1428571428571423</c:v>
                </c:pt>
                <c:pt idx="14">
                  <c:v>10.714285714285714</c:v>
                </c:pt>
                <c:pt idx="15">
                  <c:v>17.857142857142858</c:v>
                </c:pt>
                <c:pt idx="16">
                  <c:v>17.857142857142858</c:v>
                </c:pt>
                <c:pt idx="17">
                  <c:v>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A86-4612-809A-C36D12171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499456"/>
        <c:axId val="102500992"/>
      </c:lineChart>
      <c:catAx>
        <c:axId val="10249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he-IL"/>
          </a:p>
        </c:txPr>
        <c:crossAx val="102500992"/>
        <c:crosses val="autoZero"/>
        <c:auto val="1"/>
        <c:lblAlgn val="ctr"/>
        <c:lblOffset val="100"/>
        <c:noMultiLvlLbl val="0"/>
      </c:catAx>
      <c:valAx>
        <c:axId val="1025009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he-IL" b="0"/>
                  <a:t>%</a:t>
                </a:r>
              </a:p>
            </c:rich>
          </c:tx>
          <c:layout>
            <c:manualLayout>
              <c:xMode val="edge"/>
              <c:yMode val="edge"/>
              <c:x val="4.7989574219889216E-3"/>
              <c:y val="7.0398282397754017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0249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716007658964936"/>
          <c:y val="0.71774725100425429"/>
          <c:w val="0.79160305482647997"/>
          <c:h val="8.7202759667783084E-2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solidFill>
      <a:srgbClr val="D4EFFC"/>
    </a:solidFill>
  </c:spPr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0.79462</cdr:y>
    </cdr:from>
    <cdr:to>
      <cdr:x>0.98118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-2362200" y="2410058"/>
          <a:ext cx="5383146" cy="6141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pPr rtl="1"/>
          <a:r>
            <a:rPr lang="he-IL" sz="1100">
              <a:latin typeface="David" panose="020E0502060401010101" pitchFamily="34" charset="-79"/>
              <a:cs typeface="David" panose="020E0502060401010101" pitchFamily="34" charset="-79"/>
            </a:rPr>
            <a:t>1) </a:t>
          </a:r>
          <a:r>
            <a:rPr lang="he-IL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בשיעור הגבוה מ-0.1% מהמחזור</a:t>
          </a:r>
          <a:endParaRPr lang="en-US" sz="1100" baseline="0">
            <a:effectLst/>
            <a:latin typeface="David" panose="020E0502060401010101" pitchFamily="34" charset="-79"/>
            <a:ea typeface="+mn-ea"/>
            <a:cs typeface="David" panose="020E0502060401010101" pitchFamily="34" charset="-79"/>
          </a:endParaRPr>
        </a:p>
        <a:p xmlns:a="http://schemas.openxmlformats.org/drawingml/2006/main">
          <a:pPr rtl="1"/>
          <a:r>
            <a:rPr lang="he-IL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2) נתוני אירופה -</a:t>
          </a:r>
          <a:r>
            <a:rPr lang="en-US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Index </a:t>
          </a:r>
          <a:r>
            <a:rPr lang="he-IL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 </a:t>
          </a:r>
          <a:r>
            <a:rPr lang="en-US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Eurostoxx Banks</a:t>
          </a:r>
          <a:r>
            <a:rPr lang="he-IL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, נתוני אוסטרליה - </a:t>
          </a:r>
          <a:r>
            <a:rPr lang="en-US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MVIS Australia Banks Index</a:t>
          </a:r>
          <a:r>
            <a:rPr lang="he-IL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, נתוני בריטניה - </a:t>
          </a:r>
          <a:r>
            <a:rPr lang="en-US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FTSE 350 Banks Index</a:t>
          </a:r>
          <a:r>
            <a:rPr lang="he-IL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, נתוני יפן - </a:t>
          </a:r>
          <a:r>
            <a:rPr lang="en-US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TOPIX Bank Index</a:t>
          </a:r>
          <a:r>
            <a:rPr lang="he-IL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. </a:t>
          </a:r>
          <a:endParaRPr lang="he-IL" sz="1100"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rtl="1"/>
          <a:r>
            <a:rPr lang="he-IL" sz="1100">
              <a:latin typeface="David" panose="020E0502060401010101" pitchFamily="34" charset="-79"/>
              <a:cs typeface="David" panose="020E0502060401010101" pitchFamily="34" charset="-79"/>
            </a:rPr>
            <a:t>המקור:</a:t>
          </a:r>
          <a:r>
            <a:rPr lang="he-IL" sz="1100" baseline="0">
              <a:latin typeface="David" panose="020E0502060401010101" pitchFamily="34" charset="-79"/>
              <a:cs typeface="David" panose="020E0502060401010101" pitchFamily="34" charset="-79"/>
            </a:rPr>
            <a:t> נתוני בלומברג.</a:t>
          </a:r>
          <a:endParaRPr lang="he-IL" sz="11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BE5D987-2C59-4483-BD1C-9575446DC92A}"/>
</file>

<file path=customXml/itemProps2.xml><?xml version="1.0" encoding="utf-8"?>
<ds:datastoreItem xmlns:ds="http://schemas.openxmlformats.org/officeDocument/2006/customXml" ds:itemID="{AE8A6B1C-8E6C-4A2F-9AAA-6D017D0EB79D}"/>
</file>

<file path=customXml/itemProps3.xml><?xml version="1.0" encoding="utf-8"?>
<ds:datastoreItem xmlns:ds="http://schemas.openxmlformats.org/officeDocument/2006/customXml" ds:itemID="{E95FF197-7533-4CDA-B816-59F28A90233D}"/>
</file>

<file path=customXml/itemProps4.xml><?xml version="1.0" encoding="utf-8"?>
<ds:datastoreItem xmlns:ds="http://schemas.openxmlformats.org/officeDocument/2006/customXml" ds:itemID="{65B73201-9824-4743-ADF8-4F45FC7404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1525</Words>
  <Characters>7629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‏ל' כסלו תשס"ז</vt:lpstr>
    </vt:vector>
  </TitlesOfParts>
  <Company>Bank Of Israel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‏ל' כסלו תשס"ז</dc:title>
  <dc:creator>נעמה שגב</dc:creator>
  <cp:lastModifiedBy>מיטל רפאלי</cp:lastModifiedBy>
  <cp:revision>4</cp:revision>
  <cp:lastPrinted>2014-03-30T13:34:00Z</cp:lastPrinted>
  <dcterms:created xsi:type="dcterms:W3CDTF">2019-02-28T08:26:00Z</dcterms:created>
  <dcterms:modified xsi:type="dcterms:W3CDTF">2019-03-03T10:26:00Z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