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D145BF" w:rsidRPr="001C0771" w:rsidTr="003D2156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5BF" w:rsidRPr="006702C1" w:rsidRDefault="00D145BF" w:rsidP="003D2156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D145BF" w:rsidRPr="006702C1" w:rsidRDefault="00D145BF" w:rsidP="003D2156">
            <w:pPr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145BF" w:rsidRPr="006702C1" w:rsidRDefault="00D145BF" w:rsidP="003D2156">
            <w:pPr>
              <w:jc w:val="center"/>
              <w:rPr>
                <w:sz w:val="24"/>
                <w:szCs w:val="24"/>
              </w:rPr>
            </w:pPr>
            <w:r w:rsidRPr="00B73AB5">
              <w:rPr>
                <w:rFonts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67198AB6" wp14:editId="59EB5B2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5BF" w:rsidRPr="00A753DB" w:rsidRDefault="00D145BF" w:rsidP="00D145BF">
            <w:pPr>
              <w:jc w:val="right"/>
              <w:rPr>
                <w:rFonts w:cs="David"/>
                <w:sz w:val="24"/>
                <w:szCs w:val="24"/>
              </w:rPr>
            </w:pPr>
            <w:r w:rsidRPr="00A753DB">
              <w:rPr>
                <w:rFonts w:cs="David"/>
                <w:sz w:val="24"/>
                <w:szCs w:val="24"/>
                <w:rtl/>
              </w:rPr>
              <w:t xml:space="preserve">‏ ירושלים,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="00F15892">
              <w:rPr>
                <w:rFonts w:cs="David" w:hint="cs"/>
                <w:sz w:val="24"/>
                <w:szCs w:val="24"/>
                <w:rtl/>
              </w:rPr>
              <w:t>'</w:t>
            </w:r>
            <w:r w:rsidRPr="00A753D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753DB">
              <w:rPr>
                <w:rFonts w:cs="David" w:hint="cs"/>
                <w:sz w:val="24"/>
                <w:szCs w:val="24"/>
                <w:rtl/>
              </w:rPr>
              <w:t>ב</w:t>
            </w:r>
            <w:r>
              <w:rPr>
                <w:rFonts w:cs="David" w:hint="cs"/>
                <w:sz w:val="24"/>
                <w:szCs w:val="24"/>
                <w:rtl/>
              </w:rPr>
              <w:t>חשון</w:t>
            </w:r>
            <w:r w:rsidRPr="00A753DB">
              <w:rPr>
                <w:rFonts w:cs="David"/>
                <w:sz w:val="24"/>
                <w:szCs w:val="24"/>
                <w:rtl/>
              </w:rPr>
              <w:t>, תשפ"ד</w:t>
            </w:r>
          </w:p>
          <w:p w:rsidR="00D145BF" w:rsidRPr="001C0771" w:rsidRDefault="00D145BF" w:rsidP="00D145BF">
            <w:pPr>
              <w:jc w:val="right"/>
              <w:rPr>
                <w:rFonts w:cs="David"/>
                <w:sz w:val="24"/>
                <w:szCs w:val="24"/>
                <w:highlight w:val="yellow"/>
              </w:rPr>
            </w:pPr>
            <w:r w:rsidRPr="00A753DB">
              <w:rPr>
                <w:rFonts w:cs="David"/>
                <w:sz w:val="24"/>
                <w:szCs w:val="24"/>
                <w:rtl/>
              </w:rPr>
              <w:t>‏‏‏‏‏</w:t>
            </w:r>
            <w:r w:rsidRPr="00A753DB"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17 </w:t>
            </w:r>
            <w:r w:rsidRPr="00A753DB">
              <w:rPr>
                <w:rFonts w:cs="David" w:hint="cs"/>
                <w:sz w:val="24"/>
                <w:szCs w:val="24"/>
                <w:rtl/>
              </w:rPr>
              <w:t>ב</w:t>
            </w:r>
            <w:r w:rsidRPr="00A753DB">
              <w:rPr>
                <w:rFonts w:cs="David"/>
                <w:sz w:val="24"/>
                <w:szCs w:val="24"/>
                <w:rtl/>
              </w:rPr>
              <w:t>אוקטובר, 2023</w:t>
            </w:r>
          </w:p>
        </w:tc>
      </w:tr>
    </w:tbl>
    <w:p w:rsidR="00D145BF" w:rsidRPr="00D145BF" w:rsidRDefault="00D145BF">
      <w:pPr>
        <w:rPr>
          <w:rFonts w:ascii="David" w:hAnsi="David" w:cs="David"/>
          <w:sz w:val="24"/>
          <w:szCs w:val="24"/>
          <w:rtl/>
        </w:rPr>
      </w:pPr>
    </w:p>
    <w:p w:rsidR="00A96D94" w:rsidRPr="00D145BF" w:rsidRDefault="003E6F14">
      <w:pPr>
        <w:rPr>
          <w:rFonts w:ascii="David" w:hAnsi="David" w:cs="David"/>
          <w:sz w:val="24"/>
          <w:szCs w:val="24"/>
          <w:rtl/>
        </w:rPr>
      </w:pPr>
      <w:r w:rsidRPr="00D145BF">
        <w:rPr>
          <w:rFonts w:ascii="David" w:hAnsi="David" w:cs="David"/>
          <w:sz w:val="24"/>
          <w:szCs w:val="24"/>
          <w:rtl/>
        </w:rPr>
        <w:t>הודעה לעיתונות:</w:t>
      </w:r>
    </w:p>
    <w:p w:rsidR="003E6F14" w:rsidRDefault="003E6F14" w:rsidP="00D145BF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D145BF">
        <w:rPr>
          <w:rFonts w:ascii="David" w:hAnsi="David" w:cs="David"/>
          <w:b/>
          <w:bCs/>
          <w:sz w:val="28"/>
          <w:szCs w:val="28"/>
          <w:rtl/>
        </w:rPr>
        <w:t>פגישת המשנה לנגיד בנק ישראל, אנדרו אביר, עם החזאים הפיננסיים.</w:t>
      </w:r>
    </w:p>
    <w:p w:rsidR="00D145BF" w:rsidRPr="00D145BF" w:rsidRDefault="00D145BF" w:rsidP="00D145BF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3E6F14" w:rsidRPr="00D145BF" w:rsidRDefault="003E6F14" w:rsidP="003E6F14">
      <w:pPr>
        <w:rPr>
          <w:rFonts w:ascii="David" w:hAnsi="David" w:cs="David"/>
          <w:sz w:val="24"/>
          <w:szCs w:val="24"/>
          <w:rtl/>
        </w:rPr>
      </w:pPr>
      <w:bookmarkStart w:id="0" w:name="_GoBack"/>
      <w:r w:rsidRPr="00D145BF">
        <w:rPr>
          <w:rFonts w:ascii="David" w:hAnsi="David" w:cs="David"/>
          <w:sz w:val="24"/>
          <w:szCs w:val="24"/>
          <w:rtl/>
        </w:rPr>
        <w:t>המשנה לנגיד בנק ישראל, קיים היום מפגש מקצועי עם החזאים הפיננסיים,</w:t>
      </w:r>
      <w:r w:rsidR="00097904" w:rsidRPr="00D145BF">
        <w:rPr>
          <w:rFonts w:ascii="David" w:hAnsi="David" w:cs="David"/>
          <w:sz w:val="24"/>
          <w:szCs w:val="24"/>
          <w:rtl/>
        </w:rPr>
        <w:t xml:space="preserve"> בהמשך לתדרוך העיתונאים שנערך</w:t>
      </w:r>
      <w:r w:rsidRPr="00D145BF">
        <w:rPr>
          <w:rFonts w:ascii="David" w:hAnsi="David" w:cs="David"/>
          <w:sz w:val="24"/>
          <w:szCs w:val="24"/>
          <w:rtl/>
        </w:rPr>
        <w:t xml:space="preserve"> ובו תיאר את תכנית מכירת המט"ח שהפעיל הבנק לפני מספר ימים.</w:t>
      </w:r>
    </w:p>
    <w:p w:rsidR="003E6F14" w:rsidRPr="00D145BF" w:rsidRDefault="003E6F14" w:rsidP="003E6F14">
      <w:pPr>
        <w:rPr>
          <w:rFonts w:ascii="David" w:hAnsi="David" w:cs="David"/>
          <w:sz w:val="24"/>
          <w:szCs w:val="24"/>
          <w:rtl/>
        </w:rPr>
      </w:pPr>
      <w:r w:rsidRPr="00D145BF">
        <w:rPr>
          <w:rFonts w:ascii="David" w:hAnsi="David" w:cs="David"/>
          <w:sz w:val="24"/>
          <w:szCs w:val="24"/>
          <w:rtl/>
        </w:rPr>
        <w:t>במפגש הדגיש המשנה לנגיד:</w:t>
      </w:r>
    </w:p>
    <w:p w:rsidR="001D04AA" w:rsidRPr="00D145BF" w:rsidRDefault="002B6DD9" w:rsidP="00F714C3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145BF">
        <w:rPr>
          <w:rFonts w:ascii="David" w:hAnsi="David" w:cs="David"/>
          <w:sz w:val="24"/>
          <w:szCs w:val="24"/>
          <w:rtl/>
        </w:rPr>
        <w:t>מדיניות בנק ישראל מתמקדת בייצוב השווקים ויצירת ודאות מקסימלית למשק ולציבור בעת הזו</w:t>
      </w:r>
      <w:r w:rsidR="005E6E49" w:rsidRPr="00D145BF">
        <w:rPr>
          <w:rFonts w:ascii="David" w:hAnsi="David" w:cs="David"/>
          <w:sz w:val="24"/>
          <w:szCs w:val="24"/>
          <w:rtl/>
        </w:rPr>
        <w:t>.</w:t>
      </w:r>
      <w:r w:rsidRPr="00D145BF">
        <w:rPr>
          <w:rFonts w:ascii="David" w:hAnsi="David" w:cs="David"/>
          <w:sz w:val="24"/>
          <w:szCs w:val="24"/>
          <w:rtl/>
        </w:rPr>
        <w:t xml:space="preserve"> </w:t>
      </w:r>
      <w:r w:rsidR="005E6E49" w:rsidRPr="00D145BF">
        <w:rPr>
          <w:rFonts w:ascii="David" w:hAnsi="David" w:cs="David"/>
          <w:sz w:val="24"/>
          <w:szCs w:val="24"/>
          <w:rtl/>
        </w:rPr>
        <w:t>הבנק יצא עם</w:t>
      </w:r>
      <w:r w:rsidR="00A96D94" w:rsidRPr="00D145BF">
        <w:rPr>
          <w:rFonts w:ascii="David" w:hAnsi="David" w:cs="David"/>
          <w:sz w:val="24"/>
          <w:szCs w:val="24"/>
          <w:rtl/>
        </w:rPr>
        <w:t xml:space="preserve"> כלי ייעודי לייצוב התנודות בשוק המט</w:t>
      </w:r>
      <w:r w:rsidR="00B60B54" w:rsidRPr="00D145BF">
        <w:rPr>
          <w:rFonts w:ascii="David" w:hAnsi="David" w:cs="David"/>
          <w:sz w:val="24"/>
          <w:szCs w:val="24"/>
          <w:rtl/>
        </w:rPr>
        <w:t>"</w:t>
      </w:r>
      <w:r w:rsidR="00A96D94" w:rsidRPr="00D145BF">
        <w:rPr>
          <w:rFonts w:ascii="David" w:hAnsi="David" w:cs="David"/>
          <w:sz w:val="24"/>
          <w:szCs w:val="24"/>
          <w:rtl/>
        </w:rPr>
        <w:t xml:space="preserve">ח </w:t>
      </w:r>
      <w:r w:rsidRPr="00D145BF">
        <w:rPr>
          <w:rFonts w:ascii="David" w:hAnsi="David" w:cs="David"/>
          <w:sz w:val="24"/>
          <w:szCs w:val="24"/>
          <w:rtl/>
        </w:rPr>
        <w:t>ש</w:t>
      </w:r>
      <w:r w:rsidR="00A96D94" w:rsidRPr="00D145BF">
        <w:rPr>
          <w:rFonts w:ascii="David" w:hAnsi="David" w:cs="David"/>
          <w:sz w:val="24"/>
          <w:szCs w:val="24"/>
          <w:rtl/>
        </w:rPr>
        <w:t>תרם לייצוב ורגיעה בשווקים נוספים</w:t>
      </w:r>
      <w:r w:rsidR="001D04AA" w:rsidRPr="00D145BF">
        <w:rPr>
          <w:rFonts w:ascii="David" w:hAnsi="David" w:cs="David"/>
          <w:sz w:val="24"/>
          <w:szCs w:val="24"/>
          <w:rtl/>
        </w:rPr>
        <w:t xml:space="preserve"> – וש</w:t>
      </w:r>
      <w:r w:rsidR="005E6E49" w:rsidRPr="00D145BF">
        <w:rPr>
          <w:rFonts w:ascii="David" w:hAnsi="David" w:cs="David"/>
          <w:sz w:val="24"/>
          <w:szCs w:val="24"/>
          <w:rtl/>
        </w:rPr>
        <w:t>ו</w:t>
      </w:r>
      <w:r w:rsidR="001D04AA" w:rsidRPr="00D145BF">
        <w:rPr>
          <w:rFonts w:ascii="David" w:hAnsi="David" w:cs="David"/>
          <w:sz w:val="24"/>
          <w:szCs w:val="24"/>
          <w:rtl/>
        </w:rPr>
        <w:t>אף כי יתר כלי המדיניות המוניטרית לא יאתגרו תכלית זו בטווח המיידי.</w:t>
      </w:r>
      <w:r w:rsidR="00097904" w:rsidRPr="00D145BF">
        <w:rPr>
          <w:rFonts w:ascii="David" w:hAnsi="David" w:cs="David"/>
          <w:sz w:val="24"/>
          <w:szCs w:val="24"/>
          <w:rtl/>
        </w:rPr>
        <w:t xml:space="preserve"> </w:t>
      </w:r>
      <w:r w:rsidR="00455487" w:rsidRPr="00D145BF">
        <w:rPr>
          <w:rFonts w:ascii="David" w:hAnsi="David" w:cs="David"/>
          <w:sz w:val="24"/>
          <w:szCs w:val="24"/>
          <w:rtl/>
        </w:rPr>
        <w:t xml:space="preserve">כפי </w:t>
      </w:r>
      <w:hyperlink r:id="rId8" w:history="1">
        <w:r w:rsidR="00455487" w:rsidRPr="00D145BF">
          <w:rPr>
            <w:rStyle w:val="Hyperlink"/>
            <w:rFonts w:ascii="David" w:hAnsi="David" w:cs="David"/>
            <w:sz w:val="24"/>
            <w:szCs w:val="24"/>
            <w:rtl/>
          </w:rPr>
          <w:t>שאמר הנגיד השבוע בנאומו ל-</w:t>
        </w:r>
        <w:r w:rsidR="00455487" w:rsidRPr="00D145BF">
          <w:rPr>
            <w:rStyle w:val="Hyperlink"/>
            <w:rFonts w:ascii="David" w:hAnsi="David" w:cs="David"/>
            <w:sz w:val="24"/>
            <w:szCs w:val="24"/>
          </w:rPr>
          <w:t>G30</w:t>
        </w:r>
      </w:hyperlink>
      <w:r w:rsidR="00304061" w:rsidRPr="00D145BF">
        <w:rPr>
          <w:rFonts w:ascii="David" w:hAnsi="David" w:cs="David"/>
          <w:sz w:val="24"/>
          <w:szCs w:val="24"/>
          <w:rtl/>
        </w:rPr>
        <w:t xml:space="preserve"> "</w:t>
      </w:r>
      <w:r w:rsidR="00097904" w:rsidRPr="00D145BF">
        <w:rPr>
          <w:rFonts w:ascii="David" w:hAnsi="David" w:cs="David"/>
          <w:sz w:val="24"/>
          <w:szCs w:val="24"/>
          <w:rtl/>
        </w:rPr>
        <w:t>הסיכון המרכזי לאינפלציה בתשעת החודשים האחרונים, וכעת ביתר שאת</w:t>
      </w:r>
      <w:r w:rsidR="005E6E49" w:rsidRPr="00D145BF">
        <w:rPr>
          <w:rFonts w:ascii="David" w:hAnsi="David" w:cs="David"/>
          <w:sz w:val="24"/>
          <w:szCs w:val="24"/>
          <w:rtl/>
        </w:rPr>
        <w:t>,</w:t>
      </w:r>
      <w:r w:rsidR="00097904" w:rsidRPr="00D145BF">
        <w:rPr>
          <w:rFonts w:ascii="David" w:hAnsi="David" w:cs="David"/>
          <w:sz w:val="24"/>
          <w:szCs w:val="24"/>
          <w:rtl/>
        </w:rPr>
        <w:t xml:space="preserve"> הוא הפיחות </w:t>
      </w:r>
      <w:r w:rsidR="005E6E49" w:rsidRPr="00D145BF">
        <w:rPr>
          <w:rFonts w:ascii="David" w:hAnsi="David" w:cs="David"/>
          <w:sz w:val="24"/>
          <w:szCs w:val="24"/>
          <w:rtl/>
        </w:rPr>
        <w:t>של השקל</w:t>
      </w:r>
      <w:r w:rsidR="00304061" w:rsidRPr="00D145BF">
        <w:rPr>
          <w:rFonts w:ascii="David" w:hAnsi="David" w:cs="David"/>
          <w:sz w:val="24"/>
          <w:szCs w:val="24"/>
          <w:rtl/>
        </w:rPr>
        <w:t>"</w:t>
      </w:r>
      <w:r w:rsidR="00097904" w:rsidRPr="00D145BF">
        <w:rPr>
          <w:rFonts w:ascii="David" w:hAnsi="David" w:cs="David"/>
          <w:sz w:val="24"/>
          <w:szCs w:val="24"/>
          <w:rtl/>
        </w:rPr>
        <w:t>.</w:t>
      </w:r>
    </w:p>
    <w:p w:rsidR="002B6DD9" w:rsidRPr="00D145BF" w:rsidRDefault="002B6DD9" w:rsidP="00ED5B2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145BF">
        <w:rPr>
          <w:rFonts w:ascii="David" w:hAnsi="David" w:cs="David"/>
          <w:sz w:val="24"/>
          <w:szCs w:val="24"/>
          <w:rtl/>
        </w:rPr>
        <w:t>במקביל, על</w:t>
      </w:r>
      <w:r w:rsidR="00B60B54" w:rsidRPr="00D145BF">
        <w:rPr>
          <w:rFonts w:ascii="David" w:hAnsi="David" w:cs="David"/>
          <w:sz w:val="24"/>
          <w:szCs w:val="24"/>
          <w:rtl/>
        </w:rPr>
        <w:t>-</w:t>
      </w:r>
      <w:r w:rsidRPr="00D145BF">
        <w:rPr>
          <w:rFonts w:ascii="David" w:hAnsi="David" w:cs="David"/>
          <w:sz w:val="24"/>
          <w:szCs w:val="24"/>
          <w:rtl/>
        </w:rPr>
        <w:t>מנת להקל באופן מהותי על נטל התשלומים של משקי הבית והעסקים ולספק ודאות</w:t>
      </w:r>
      <w:r w:rsidR="005E6E49" w:rsidRPr="00D145BF">
        <w:rPr>
          <w:rFonts w:ascii="David" w:hAnsi="David" w:cs="David"/>
          <w:sz w:val="24"/>
          <w:szCs w:val="24"/>
          <w:rtl/>
        </w:rPr>
        <w:t>,</w:t>
      </w:r>
      <w:r w:rsidRPr="00D145BF">
        <w:rPr>
          <w:rFonts w:ascii="David" w:hAnsi="David" w:cs="David"/>
          <w:sz w:val="24"/>
          <w:szCs w:val="24"/>
          <w:rtl/>
        </w:rPr>
        <w:t xml:space="preserve"> ב"י קידם </w:t>
      </w:r>
      <w:r w:rsidR="00A96D94" w:rsidRPr="00D145BF">
        <w:rPr>
          <w:rFonts w:ascii="David" w:hAnsi="David" w:cs="David"/>
          <w:sz w:val="24"/>
          <w:szCs w:val="24"/>
          <w:rtl/>
        </w:rPr>
        <w:t xml:space="preserve">מתווה </w:t>
      </w:r>
      <w:r w:rsidRPr="00D145BF">
        <w:rPr>
          <w:rFonts w:ascii="David" w:hAnsi="David" w:cs="David"/>
          <w:sz w:val="24"/>
          <w:szCs w:val="24"/>
          <w:rtl/>
        </w:rPr>
        <w:t>רוחבי</w:t>
      </w:r>
      <w:r w:rsidR="00A96D94" w:rsidRPr="00D145BF">
        <w:rPr>
          <w:rFonts w:ascii="David" w:hAnsi="David" w:cs="David"/>
          <w:sz w:val="24"/>
          <w:szCs w:val="24"/>
          <w:rtl/>
        </w:rPr>
        <w:t xml:space="preserve"> </w:t>
      </w:r>
      <w:r w:rsidRPr="00D145BF">
        <w:rPr>
          <w:rFonts w:ascii="David" w:hAnsi="David" w:cs="David"/>
          <w:sz w:val="24"/>
          <w:szCs w:val="24"/>
          <w:rtl/>
        </w:rPr>
        <w:t>לדחיית הלוואות</w:t>
      </w:r>
      <w:r w:rsidR="00A96D94" w:rsidRPr="00D145BF">
        <w:rPr>
          <w:rFonts w:ascii="David" w:hAnsi="David" w:cs="David"/>
          <w:sz w:val="24"/>
          <w:szCs w:val="24"/>
          <w:rtl/>
        </w:rPr>
        <w:t xml:space="preserve"> לכלל </w:t>
      </w:r>
      <w:r w:rsidR="005E6E49" w:rsidRPr="00D145BF">
        <w:rPr>
          <w:rFonts w:ascii="David" w:hAnsi="David" w:cs="David"/>
          <w:sz w:val="24"/>
          <w:szCs w:val="24"/>
          <w:rtl/>
        </w:rPr>
        <w:t xml:space="preserve">האוכלוסיה </w:t>
      </w:r>
      <w:r w:rsidR="00A96D94" w:rsidRPr="00D145BF">
        <w:rPr>
          <w:rFonts w:ascii="David" w:hAnsi="David" w:cs="David"/>
          <w:sz w:val="24"/>
          <w:szCs w:val="24"/>
          <w:rtl/>
        </w:rPr>
        <w:t xml:space="preserve">ובפרט לאוכלוסיות שנפגעו, ללא ריבית </w:t>
      </w:r>
      <w:r w:rsidRPr="00D145BF">
        <w:rPr>
          <w:rFonts w:ascii="David" w:hAnsi="David" w:cs="David"/>
          <w:sz w:val="24"/>
          <w:szCs w:val="24"/>
          <w:rtl/>
        </w:rPr>
        <w:t xml:space="preserve">ועמלות. </w:t>
      </w:r>
      <w:r w:rsidR="007319B8" w:rsidRPr="00D145BF">
        <w:rPr>
          <w:rFonts w:ascii="David" w:hAnsi="David" w:cs="David"/>
          <w:sz w:val="24"/>
          <w:szCs w:val="24"/>
          <w:rtl/>
        </w:rPr>
        <w:t>המתווה</w:t>
      </w:r>
      <w:r w:rsidRPr="00D145BF">
        <w:rPr>
          <w:rFonts w:ascii="David" w:hAnsi="David" w:cs="David"/>
          <w:sz w:val="24"/>
          <w:szCs w:val="24"/>
          <w:rtl/>
        </w:rPr>
        <w:t xml:space="preserve"> </w:t>
      </w:r>
      <w:r w:rsidR="00A96D94" w:rsidRPr="00D145BF">
        <w:rPr>
          <w:rFonts w:ascii="David" w:hAnsi="David" w:cs="David"/>
          <w:sz w:val="24"/>
          <w:szCs w:val="24"/>
          <w:rtl/>
        </w:rPr>
        <w:t xml:space="preserve">מסייע להפחית את "משקולת הריבית" </w:t>
      </w:r>
      <w:r w:rsidR="007319B8" w:rsidRPr="00D145BF">
        <w:rPr>
          <w:rFonts w:ascii="David" w:hAnsi="David" w:cs="David"/>
          <w:sz w:val="24"/>
          <w:szCs w:val="24"/>
          <w:rtl/>
        </w:rPr>
        <w:t xml:space="preserve">על הציבור </w:t>
      </w:r>
      <w:r w:rsidR="00A96D94" w:rsidRPr="00D145BF">
        <w:rPr>
          <w:rFonts w:ascii="David" w:hAnsi="David" w:cs="David"/>
          <w:sz w:val="24"/>
          <w:szCs w:val="24"/>
          <w:rtl/>
        </w:rPr>
        <w:t xml:space="preserve">בעת הזו, במקביל להקלות נוספות שמקדמת הממשלה למשקי הבית </w:t>
      </w:r>
      <w:r w:rsidR="005E6E49" w:rsidRPr="00D145BF">
        <w:rPr>
          <w:rFonts w:ascii="David" w:hAnsi="David" w:cs="David"/>
          <w:sz w:val="24"/>
          <w:szCs w:val="24"/>
          <w:rtl/>
        </w:rPr>
        <w:t xml:space="preserve">ולעסקים </w:t>
      </w:r>
      <w:r w:rsidRPr="00D145BF">
        <w:rPr>
          <w:rFonts w:ascii="David" w:hAnsi="David" w:cs="David"/>
          <w:sz w:val="24"/>
          <w:szCs w:val="24"/>
          <w:rtl/>
        </w:rPr>
        <w:t>שנפגעו</w:t>
      </w:r>
      <w:r w:rsidR="00A96D94" w:rsidRPr="00D145BF">
        <w:rPr>
          <w:rFonts w:ascii="David" w:hAnsi="David" w:cs="David"/>
          <w:sz w:val="24"/>
          <w:szCs w:val="24"/>
          <w:rtl/>
        </w:rPr>
        <w:t>.</w:t>
      </w:r>
    </w:p>
    <w:p w:rsidR="007319B8" w:rsidRPr="00D145BF" w:rsidRDefault="007319B8" w:rsidP="007319B8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D145BF">
        <w:rPr>
          <w:rFonts w:ascii="David" w:hAnsi="David" w:cs="David"/>
          <w:sz w:val="24"/>
          <w:szCs w:val="24"/>
          <w:rtl/>
        </w:rPr>
        <w:t>בנק ישראל ממשיך לבחון ולנטר כל העת את ההתפתחויות השונות וישתמש בכלי</w:t>
      </w:r>
      <w:r w:rsidR="00B60B54" w:rsidRPr="00D145BF">
        <w:rPr>
          <w:rFonts w:ascii="David" w:hAnsi="David" w:cs="David"/>
          <w:sz w:val="24"/>
          <w:szCs w:val="24"/>
          <w:rtl/>
        </w:rPr>
        <w:t xml:space="preserve"> המדיניות</w:t>
      </w:r>
      <w:r w:rsidRPr="00D145BF">
        <w:rPr>
          <w:rFonts w:ascii="David" w:hAnsi="David" w:cs="David"/>
          <w:sz w:val="24"/>
          <w:szCs w:val="24"/>
          <w:rtl/>
        </w:rPr>
        <w:t xml:space="preserve"> המתאי</w:t>
      </w:r>
      <w:r w:rsidR="005E6E49" w:rsidRPr="00D145BF">
        <w:rPr>
          <w:rFonts w:ascii="David" w:hAnsi="David" w:cs="David"/>
          <w:sz w:val="24"/>
          <w:szCs w:val="24"/>
          <w:rtl/>
        </w:rPr>
        <w:t>מי</w:t>
      </w:r>
      <w:r w:rsidRPr="00D145BF">
        <w:rPr>
          <w:rFonts w:ascii="David" w:hAnsi="David" w:cs="David"/>
          <w:sz w:val="24"/>
          <w:szCs w:val="24"/>
          <w:rtl/>
        </w:rPr>
        <w:t>ם בעת הצורך.</w:t>
      </w:r>
      <w:bookmarkEnd w:id="0"/>
    </w:p>
    <w:sectPr w:rsidR="007319B8" w:rsidRPr="00D145BF" w:rsidSect="006955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6F" w:rsidRDefault="00E3786F" w:rsidP="00E3786F">
      <w:pPr>
        <w:spacing w:after="0" w:line="240" w:lineRule="auto"/>
      </w:pPr>
      <w:r>
        <w:separator/>
      </w:r>
    </w:p>
  </w:endnote>
  <w:endnote w:type="continuationSeparator" w:id="0">
    <w:p w:rsidR="00E3786F" w:rsidRDefault="00E3786F" w:rsidP="00E3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6F" w:rsidRDefault="00E378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6F" w:rsidRDefault="00E378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6F" w:rsidRDefault="00E378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6F" w:rsidRDefault="00E3786F" w:rsidP="00E3786F">
      <w:pPr>
        <w:spacing w:after="0" w:line="240" w:lineRule="auto"/>
      </w:pPr>
      <w:r>
        <w:separator/>
      </w:r>
    </w:p>
  </w:footnote>
  <w:footnote w:type="continuationSeparator" w:id="0">
    <w:p w:rsidR="00E3786F" w:rsidRDefault="00E3786F" w:rsidP="00E3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6F" w:rsidRDefault="00E378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6F" w:rsidRDefault="00E3786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6F" w:rsidRDefault="00E378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58F3"/>
    <w:multiLevelType w:val="hybridMultilevel"/>
    <w:tmpl w:val="5726BA14"/>
    <w:lvl w:ilvl="0" w:tplc="968E41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94"/>
    <w:rsid w:val="00040A7F"/>
    <w:rsid w:val="00065B9B"/>
    <w:rsid w:val="000727FD"/>
    <w:rsid w:val="00084B5A"/>
    <w:rsid w:val="000857B7"/>
    <w:rsid w:val="00095555"/>
    <w:rsid w:val="00097904"/>
    <w:rsid w:val="000A5329"/>
    <w:rsid w:val="000D2157"/>
    <w:rsid w:val="000D5445"/>
    <w:rsid w:val="000E7ED2"/>
    <w:rsid w:val="00100012"/>
    <w:rsid w:val="00113BC9"/>
    <w:rsid w:val="00115277"/>
    <w:rsid w:val="00115FEF"/>
    <w:rsid w:val="00151A07"/>
    <w:rsid w:val="00156135"/>
    <w:rsid w:val="00162DCC"/>
    <w:rsid w:val="00166DBC"/>
    <w:rsid w:val="00184E4C"/>
    <w:rsid w:val="0019079B"/>
    <w:rsid w:val="001A2670"/>
    <w:rsid w:val="001A53CE"/>
    <w:rsid w:val="001B05C6"/>
    <w:rsid w:val="001B28C8"/>
    <w:rsid w:val="001B5E43"/>
    <w:rsid w:val="001C194B"/>
    <w:rsid w:val="001C7D79"/>
    <w:rsid w:val="001D04AA"/>
    <w:rsid w:val="001D5E62"/>
    <w:rsid w:val="001E0275"/>
    <w:rsid w:val="001E2886"/>
    <w:rsid w:val="001F2BE7"/>
    <w:rsid w:val="00223D37"/>
    <w:rsid w:val="00225BDF"/>
    <w:rsid w:val="00245BA3"/>
    <w:rsid w:val="00265657"/>
    <w:rsid w:val="00275FE8"/>
    <w:rsid w:val="00297F94"/>
    <w:rsid w:val="002A2E4C"/>
    <w:rsid w:val="002A3CC4"/>
    <w:rsid w:val="002B6DD9"/>
    <w:rsid w:val="002B7877"/>
    <w:rsid w:val="002C05A5"/>
    <w:rsid w:val="002C754F"/>
    <w:rsid w:val="002D7AA8"/>
    <w:rsid w:val="002E5F96"/>
    <w:rsid w:val="00301F96"/>
    <w:rsid w:val="00304061"/>
    <w:rsid w:val="0031701E"/>
    <w:rsid w:val="0032792A"/>
    <w:rsid w:val="003552BD"/>
    <w:rsid w:val="003641E2"/>
    <w:rsid w:val="00370E6F"/>
    <w:rsid w:val="0037101B"/>
    <w:rsid w:val="00375149"/>
    <w:rsid w:val="003C2931"/>
    <w:rsid w:val="003E6F14"/>
    <w:rsid w:val="003F01E4"/>
    <w:rsid w:val="003F57B2"/>
    <w:rsid w:val="00407D90"/>
    <w:rsid w:val="004537A7"/>
    <w:rsid w:val="00455487"/>
    <w:rsid w:val="004561A3"/>
    <w:rsid w:val="00460DDF"/>
    <w:rsid w:val="004A120F"/>
    <w:rsid w:val="004A32D7"/>
    <w:rsid w:val="004C6182"/>
    <w:rsid w:val="004C7925"/>
    <w:rsid w:val="004F5E3C"/>
    <w:rsid w:val="00567B1A"/>
    <w:rsid w:val="0057422C"/>
    <w:rsid w:val="005A52A2"/>
    <w:rsid w:val="005D5F2B"/>
    <w:rsid w:val="005E6E49"/>
    <w:rsid w:val="00632CD2"/>
    <w:rsid w:val="006344CC"/>
    <w:rsid w:val="00640309"/>
    <w:rsid w:val="00660075"/>
    <w:rsid w:val="006811C3"/>
    <w:rsid w:val="006907D5"/>
    <w:rsid w:val="0069557C"/>
    <w:rsid w:val="00715D7F"/>
    <w:rsid w:val="007172E4"/>
    <w:rsid w:val="007319B8"/>
    <w:rsid w:val="00737090"/>
    <w:rsid w:val="00780795"/>
    <w:rsid w:val="00783F55"/>
    <w:rsid w:val="007916D5"/>
    <w:rsid w:val="0079406F"/>
    <w:rsid w:val="00797111"/>
    <w:rsid w:val="007A25C0"/>
    <w:rsid w:val="007A2A08"/>
    <w:rsid w:val="007B2299"/>
    <w:rsid w:val="007B2E35"/>
    <w:rsid w:val="00803D2A"/>
    <w:rsid w:val="008137A5"/>
    <w:rsid w:val="00832597"/>
    <w:rsid w:val="008371BA"/>
    <w:rsid w:val="008466F0"/>
    <w:rsid w:val="00850CC4"/>
    <w:rsid w:val="00886388"/>
    <w:rsid w:val="008B3199"/>
    <w:rsid w:val="008C4A46"/>
    <w:rsid w:val="008C706D"/>
    <w:rsid w:val="008E2484"/>
    <w:rsid w:val="008F0B52"/>
    <w:rsid w:val="008F617A"/>
    <w:rsid w:val="00914AC1"/>
    <w:rsid w:val="00965C79"/>
    <w:rsid w:val="00984B1A"/>
    <w:rsid w:val="009A089E"/>
    <w:rsid w:val="009B2E19"/>
    <w:rsid w:val="009C6D0D"/>
    <w:rsid w:val="009E2FD2"/>
    <w:rsid w:val="00A076E6"/>
    <w:rsid w:val="00A13844"/>
    <w:rsid w:val="00A6309F"/>
    <w:rsid w:val="00A678C6"/>
    <w:rsid w:val="00A730E0"/>
    <w:rsid w:val="00A8460D"/>
    <w:rsid w:val="00A92A3D"/>
    <w:rsid w:val="00A96D94"/>
    <w:rsid w:val="00AB37A4"/>
    <w:rsid w:val="00AC35CD"/>
    <w:rsid w:val="00AF1FA7"/>
    <w:rsid w:val="00B071B6"/>
    <w:rsid w:val="00B13490"/>
    <w:rsid w:val="00B60B54"/>
    <w:rsid w:val="00B70E6F"/>
    <w:rsid w:val="00B91BF0"/>
    <w:rsid w:val="00BB6985"/>
    <w:rsid w:val="00BD0783"/>
    <w:rsid w:val="00BD17EF"/>
    <w:rsid w:val="00BF4F97"/>
    <w:rsid w:val="00C02512"/>
    <w:rsid w:val="00C25C86"/>
    <w:rsid w:val="00C36D00"/>
    <w:rsid w:val="00C463C1"/>
    <w:rsid w:val="00C46931"/>
    <w:rsid w:val="00C47A89"/>
    <w:rsid w:val="00C73E6B"/>
    <w:rsid w:val="00C85D4E"/>
    <w:rsid w:val="00CA2ACF"/>
    <w:rsid w:val="00CB5C9F"/>
    <w:rsid w:val="00CB74C6"/>
    <w:rsid w:val="00CD11DB"/>
    <w:rsid w:val="00CD2037"/>
    <w:rsid w:val="00D004D1"/>
    <w:rsid w:val="00D06884"/>
    <w:rsid w:val="00D145BF"/>
    <w:rsid w:val="00D15579"/>
    <w:rsid w:val="00D45541"/>
    <w:rsid w:val="00D53BFE"/>
    <w:rsid w:val="00D747A1"/>
    <w:rsid w:val="00DC23E1"/>
    <w:rsid w:val="00DC727C"/>
    <w:rsid w:val="00DF4B57"/>
    <w:rsid w:val="00E22BAA"/>
    <w:rsid w:val="00E3786F"/>
    <w:rsid w:val="00E52D98"/>
    <w:rsid w:val="00E52DAA"/>
    <w:rsid w:val="00E566ED"/>
    <w:rsid w:val="00E731F0"/>
    <w:rsid w:val="00E84228"/>
    <w:rsid w:val="00ED5B2E"/>
    <w:rsid w:val="00ED67BE"/>
    <w:rsid w:val="00EF41BE"/>
    <w:rsid w:val="00F11065"/>
    <w:rsid w:val="00F15892"/>
    <w:rsid w:val="00F40307"/>
    <w:rsid w:val="00F571F9"/>
    <w:rsid w:val="00F714C3"/>
    <w:rsid w:val="00FB3D7B"/>
    <w:rsid w:val="00FB6F6A"/>
    <w:rsid w:val="00FC67CB"/>
    <w:rsid w:val="00FD61EB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B72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B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D5B2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3040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7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3786F"/>
  </w:style>
  <w:style w:type="paragraph" w:styleId="a8">
    <w:name w:val="footer"/>
    <w:basedOn w:val="a"/>
    <w:link w:val="a9"/>
    <w:uiPriority w:val="99"/>
    <w:unhideWhenUsed/>
    <w:rsid w:val="00E37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3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15-10-23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975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2023-10-17T10:53:00Z</dcterms:created>
  <dcterms:modified xsi:type="dcterms:W3CDTF">2023-10-17T10:53:00Z</dcterms:modified>
</cp:coreProperties>
</file>