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AF6D5" w14:textId="77777777" w:rsidR="00CB5D78" w:rsidRPr="00E8008F" w:rsidRDefault="002235F5" w:rsidP="00151D84">
      <w:pPr>
        <w:bidi w:val="0"/>
        <w:jc w:val="center"/>
        <w:rPr>
          <w:rtl/>
        </w:rPr>
      </w:pPr>
      <w:r>
        <w:rPr>
          <w:noProof/>
        </w:rPr>
        <w:drawing>
          <wp:inline distT="0" distB="0" distL="0" distR="0" wp14:anchorId="667D3318" wp14:editId="6C1E1F8B">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52C0373" w14:textId="77777777" w:rsidR="00760371" w:rsidRDefault="00760371" w:rsidP="00151D84">
      <w:pPr>
        <w:pStyle w:val="regpar"/>
        <w:spacing w:line="300" w:lineRule="atLeast"/>
        <w:ind w:firstLine="0"/>
        <w:jc w:val="center"/>
        <w:rPr>
          <w:rFonts w:ascii="Times New Roman" w:hAnsi="Times New Roman" w:cs="David"/>
          <w:b/>
        </w:rPr>
      </w:pPr>
    </w:p>
    <w:p w14:paraId="148D23DA" w14:textId="77777777" w:rsidR="00892A46" w:rsidRPr="005F3A83" w:rsidRDefault="00892A46" w:rsidP="00892A46">
      <w:pPr>
        <w:pStyle w:val="regpar"/>
        <w:spacing w:line="300" w:lineRule="atLeast"/>
        <w:ind w:firstLine="0"/>
        <w:jc w:val="center"/>
        <w:rPr>
          <w:rFonts w:ascii="Times New Roman" w:hAnsi="Times New Roman" w:cs="David"/>
          <w:b/>
          <w:sz w:val="28"/>
          <w:szCs w:val="28"/>
        </w:rPr>
      </w:pPr>
      <w:r w:rsidRPr="005F3A83">
        <w:rPr>
          <w:rFonts w:ascii="Times New Roman" w:hAnsi="Times New Roman" w:cs="David"/>
          <w:b/>
          <w:sz w:val="28"/>
          <w:szCs w:val="28"/>
        </w:rPr>
        <w:t>BANK OF ISRAEL</w:t>
      </w:r>
    </w:p>
    <w:p w14:paraId="05A52A35" w14:textId="77777777" w:rsidR="00892A46" w:rsidRPr="005F3A83" w:rsidRDefault="00892A46" w:rsidP="00892A46">
      <w:pPr>
        <w:pStyle w:val="regpar"/>
        <w:spacing w:line="300" w:lineRule="atLeast"/>
        <w:ind w:firstLine="0"/>
        <w:jc w:val="center"/>
        <w:rPr>
          <w:rFonts w:ascii="Times New Roman" w:hAnsi="Times New Roman" w:cs="Times New Roman"/>
          <w:b/>
        </w:rPr>
      </w:pPr>
      <w:r w:rsidRPr="005F3A83">
        <w:rPr>
          <w:rFonts w:ascii="Times New Roman" w:hAnsi="Times New Roman" w:cs="Times New Roman"/>
        </w:rPr>
        <w:t>Office of the Spokesperson and Economic Information</w:t>
      </w:r>
    </w:p>
    <w:p w14:paraId="2C50D5B9" w14:textId="77777777" w:rsidR="00B533D5" w:rsidRDefault="007926C7" w:rsidP="007A2030">
      <w:pPr>
        <w:bidi w:val="0"/>
        <w:rPr>
          <w:rFonts w:cs="David"/>
          <w:rtl/>
        </w:rPr>
      </w:pPr>
      <w:r>
        <w:rPr>
          <w:rFonts w:cs="David"/>
          <w:b/>
          <w:bCs/>
        </w:rPr>
        <w:br/>
      </w:r>
    </w:p>
    <w:p w14:paraId="3423E2F7" w14:textId="16D02FC5" w:rsidR="007926C7" w:rsidRDefault="00E4365F" w:rsidP="00D7403D">
      <w:pPr>
        <w:bidi w:val="0"/>
        <w:rPr>
          <w:rFonts w:cs="David"/>
        </w:rPr>
      </w:pPr>
      <w:r>
        <w:rPr>
          <w:rFonts w:cs="David"/>
        </w:rPr>
        <w:t xml:space="preserve">October </w:t>
      </w:r>
      <w:r w:rsidR="00094743">
        <w:rPr>
          <w:rFonts w:cs="David"/>
        </w:rPr>
        <w:t>2</w:t>
      </w:r>
      <w:r w:rsidR="00D7403D">
        <w:rPr>
          <w:rFonts w:cs="David"/>
        </w:rPr>
        <w:t>5</w:t>
      </w:r>
      <w:bookmarkStart w:id="0" w:name="_GoBack"/>
      <w:bookmarkEnd w:id="0"/>
      <w:r>
        <w:rPr>
          <w:rFonts w:cs="David"/>
        </w:rPr>
        <w:t>, 2021</w:t>
      </w:r>
    </w:p>
    <w:p w14:paraId="5FC6DF84" w14:textId="77777777" w:rsidR="007926C7" w:rsidRDefault="007926C7" w:rsidP="007926C7">
      <w:pPr>
        <w:bidi w:val="0"/>
        <w:rPr>
          <w:rFonts w:cs="David"/>
        </w:rPr>
      </w:pPr>
    </w:p>
    <w:p w14:paraId="6B79B739" w14:textId="77777777" w:rsidR="00892A46" w:rsidRDefault="00892A46" w:rsidP="007926C7">
      <w:pPr>
        <w:bidi w:val="0"/>
        <w:rPr>
          <w:rFonts w:cs="David"/>
        </w:rPr>
      </w:pPr>
      <w:r w:rsidRPr="005F3A83">
        <w:rPr>
          <w:rFonts w:cs="David"/>
        </w:rPr>
        <w:t>Press Release</w:t>
      </w:r>
      <w:r>
        <w:rPr>
          <w:rFonts w:cs="David"/>
        </w:rPr>
        <w:t>:</w:t>
      </w:r>
    </w:p>
    <w:p w14:paraId="3776F19B" w14:textId="77777777" w:rsidR="00892A46" w:rsidRDefault="00892A46" w:rsidP="00892A46">
      <w:pPr>
        <w:tabs>
          <w:tab w:val="center" w:pos="4156"/>
          <w:tab w:val="right" w:pos="8312"/>
        </w:tabs>
        <w:bidi w:val="0"/>
        <w:rPr>
          <w:rFonts w:cs="David"/>
        </w:rPr>
      </w:pPr>
    </w:p>
    <w:p w14:paraId="691F905D" w14:textId="77777777" w:rsidR="00892A46" w:rsidRDefault="00094743" w:rsidP="00094743">
      <w:pPr>
        <w:tabs>
          <w:tab w:val="center" w:pos="4156"/>
          <w:tab w:val="right" w:pos="8312"/>
        </w:tabs>
        <w:bidi w:val="0"/>
        <w:jc w:val="center"/>
        <w:rPr>
          <w:rFonts w:cs="David"/>
        </w:rPr>
      </w:pPr>
      <w:r>
        <w:rPr>
          <w:rFonts w:cs="David"/>
        </w:rPr>
        <w:t>New Research:</w:t>
      </w:r>
    </w:p>
    <w:p w14:paraId="7AF21D71" w14:textId="77777777" w:rsidR="00094743" w:rsidRDefault="00094743" w:rsidP="00094743">
      <w:pPr>
        <w:tabs>
          <w:tab w:val="center" w:pos="4156"/>
          <w:tab w:val="right" w:pos="8312"/>
        </w:tabs>
        <w:bidi w:val="0"/>
        <w:rPr>
          <w:rFonts w:cs="David"/>
        </w:rPr>
      </w:pPr>
    </w:p>
    <w:p w14:paraId="35607A34" w14:textId="5C81F7E6" w:rsidR="007926C7" w:rsidRPr="00094743" w:rsidRDefault="00094743" w:rsidP="003C6CEE">
      <w:pPr>
        <w:tabs>
          <w:tab w:val="center" w:pos="4156"/>
          <w:tab w:val="right" w:pos="8312"/>
        </w:tabs>
        <w:bidi w:val="0"/>
        <w:jc w:val="center"/>
        <w:rPr>
          <w:rFonts w:cs="David"/>
          <w:b/>
          <w:bCs/>
        </w:rPr>
      </w:pPr>
      <w:r w:rsidRPr="00094743">
        <w:rPr>
          <w:rFonts w:cs="David"/>
          <w:b/>
          <w:bCs/>
          <w:sz w:val="32"/>
          <w:szCs w:val="32"/>
        </w:rPr>
        <w:t xml:space="preserve">Low </w:t>
      </w:r>
      <w:r w:rsidR="003C6CEE">
        <w:rPr>
          <w:rFonts w:cs="David"/>
          <w:b/>
          <w:bCs/>
          <w:sz w:val="32"/>
          <w:szCs w:val="32"/>
        </w:rPr>
        <w:t>I</w:t>
      </w:r>
      <w:r w:rsidRPr="00094743">
        <w:rPr>
          <w:rFonts w:cs="David"/>
          <w:b/>
          <w:bCs/>
          <w:sz w:val="32"/>
          <w:szCs w:val="32"/>
        </w:rPr>
        <w:t xml:space="preserve">nterest </w:t>
      </w:r>
      <w:r w:rsidR="003C6CEE">
        <w:rPr>
          <w:rFonts w:cs="David"/>
          <w:b/>
          <w:bCs/>
          <w:sz w:val="32"/>
          <w:szCs w:val="32"/>
        </w:rPr>
        <w:t>R</w:t>
      </w:r>
      <w:r w:rsidRPr="00094743">
        <w:rPr>
          <w:rFonts w:cs="David"/>
          <w:b/>
          <w:bCs/>
          <w:sz w:val="32"/>
          <w:szCs w:val="32"/>
        </w:rPr>
        <w:t xml:space="preserve">ates and </w:t>
      </w:r>
      <w:r w:rsidR="003C6CEE">
        <w:rPr>
          <w:rFonts w:cs="David"/>
          <w:b/>
          <w:bCs/>
          <w:sz w:val="32"/>
          <w:szCs w:val="32"/>
        </w:rPr>
        <w:t>B</w:t>
      </w:r>
      <w:r w:rsidRPr="00094743">
        <w:rPr>
          <w:rFonts w:cs="David"/>
          <w:b/>
          <w:bCs/>
          <w:sz w:val="32"/>
          <w:szCs w:val="32"/>
        </w:rPr>
        <w:t xml:space="preserve">anks’ </w:t>
      </w:r>
      <w:r w:rsidR="003C6CEE">
        <w:rPr>
          <w:rFonts w:cs="David"/>
          <w:b/>
          <w:bCs/>
          <w:sz w:val="32"/>
          <w:szCs w:val="32"/>
        </w:rPr>
        <w:t>I</w:t>
      </w:r>
      <w:r w:rsidRPr="00094743">
        <w:rPr>
          <w:rFonts w:cs="David"/>
          <w:b/>
          <w:bCs/>
          <w:sz w:val="32"/>
          <w:szCs w:val="32"/>
        </w:rPr>
        <w:t xml:space="preserve">nterest </w:t>
      </w:r>
      <w:r w:rsidR="003C6CEE">
        <w:rPr>
          <w:rFonts w:cs="David"/>
          <w:b/>
          <w:bCs/>
          <w:sz w:val="32"/>
          <w:szCs w:val="32"/>
        </w:rPr>
        <w:t>M</w:t>
      </w:r>
      <w:r w:rsidRPr="00094743">
        <w:rPr>
          <w:rFonts w:cs="David"/>
          <w:b/>
          <w:bCs/>
          <w:sz w:val="32"/>
          <w:szCs w:val="32"/>
        </w:rPr>
        <w:t>argin</w:t>
      </w:r>
      <w:r w:rsidR="003C6CEE">
        <w:rPr>
          <w:rFonts w:cs="David"/>
          <w:b/>
          <w:bCs/>
          <w:sz w:val="32"/>
          <w:szCs w:val="32"/>
        </w:rPr>
        <w:t>s</w:t>
      </w:r>
      <w:r w:rsidRPr="00094743">
        <w:rPr>
          <w:rFonts w:cs="David"/>
          <w:b/>
          <w:bCs/>
          <w:sz w:val="32"/>
          <w:szCs w:val="32"/>
        </w:rPr>
        <w:t>: Do</w:t>
      </w:r>
      <w:r w:rsidR="003C6CEE">
        <w:rPr>
          <w:rFonts w:cs="David"/>
          <w:b/>
          <w:bCs/>
          <w:sz w:val="32"/>
          <w:szCs w:val="32"/>
        </w:rPr>
        <w:t>es Deposit Market Concentration Matter?</w:t>
      </w:r>
      <w:r w:rsidRPr="00094743">
        <w:rPr>
          <w:rFonts w:cs="David"/>
          <w:b/>
          <w:bCs/>
          <w:sz w:val="32"/>
          <w:szCs w:val="32"/>
        </w:rPr>
        <w:t xml:space="preserve"> </w:t>
      </w:r>
    </w:p>
    <w:p w14:paraId="513CE3FF" w14:textId="77777777" w:rsidR="00094743" w:rsidRDefault="00094743" w:rsidP="00E43E47">
      <w:pPr>
        <w:tabs>
          <w:tab w:val="center" w:pos="4156"/>
          <w:tab w:val="right" w:pos="8312"/>
        </w:tabs>
        <w:bidi w:val="0"/>
        <w:jc w:val="both"/>
        <w:rPr>
          <w:rFonts w:cs="David"/>
        </w:rPr>
      </w:pPr>
    </w:p>
    <w:p w14:paraId="280395F0" w14:textId="6BD95A89" w:rsidR="00094743" w:rsidRPr="00DB75EA" w:rsidRDefault="00094743" w:rsidP="003C6CEE">
      <w:pPr>
        <w:pStyle w:val="aa"/>
        <w:numPr>
          <w:ilvl w:val="0"/>
          <w:numId w:val="5"/>
        </w:numPr>
        <w:tabs>
          <w:tab w:val="center" w:pos="4156"/>
          <w:tab w:val="right" w:pos="8312"/>
        </w:tabs>
        <w:ind w:left="360"/>
        <w:jc w:val="both"/>
        <w:rPr>
          <w:rFonts w:cs="David"/>
          <w:b/>
          <w:bCs/>
        </w:rPr>
      </w:pPr>
      <w:r w:rsidRPr="00DB75EA">
        <w:rPr>
          <w:rFonts w:cs="David"/>
          <w:b/>
          <w:bCs/>
        </w:rPr>
        <w:t>Research carried out at the Bank of Israel</w:t>
      </w:r>
      <w:r w:rsidR="00F22BAC">
        <w:rPr>
          <w:rFonts w:cs="David"/>
          <w:b/>
          <w:bCs/>
        </w:rPr>
        <w:t xml:space="preserve"> </w:t>
      </w:r>
      <w:r w:rsidRPr="00DB75EA">
        <w:rPr>
          <w:rFonts w:cs="David"/>
          <w:b/>
          <w:bCs/>
        </w:rPr>
        <w:t>examined data on banks wor</w:t>
      </w:r>
      <w:r w:rsidR="000E156F" w:rsidRPr="00DB75EA">
        <w:rPr>
          <w:rFonts w:cs="David"/>
          <w:b/>
          <w:bCs/>
        </w:rPr>
        <w:t>l</w:t>
      </w:r>
      <w:r w:rsidRPr="00DB75EA">
        <w:rPr>
          <w:rFonts w:cs="David"/>
          <w:b/>
          <w:bCs/>
        </w:rPr>
        <w:t>dwide</w:t>
      </w:r>
      <w:r w:rsidR="00F22BAC">
        <w:rPr>
          <w:rFonts w:cs="David"/>
          <w:b/>
          <w:bCs/>
        </w:rPr>
        <w:t xml:space="preserve"> and </w:t>
      </w:r>
      <w:r w:rsidRPr="00DB75EA">
        <w:rPr>
          <w:rFonts w:cs="David"/>
          <w:b/>
          <w:bCs/>
        </w:rPr>
        <w:t xml:space="preserve">found that the net </w:t>
      </w:r>
      <w:r w:rsidR="00F22BAC" w:rsidRPr="003C6CEE">
        <w:rPr>
          <w:rFonts w:cs="David"/>
          <w:b/>
          <w:bCs/>
        </w:rPr>
        <w:t>interest</w:t>
      </w:r>
      <w:r w:rsidR="00F22BAC">
        <w:rPr>
          <w:rFonts w:cs="David"/>
          <w:b/>
          <w:bCs/>
        </w:rPr>
        <w:t xml:space="preserve"> </w:t>
      </w:r>
      <w:r w:rsidRPr="00DB75EA">
        <w:rPr>
          <w:rFonts w:cs="David"/>
          <w:b/>
          <w:bCs/>
        </w:rPr>
        <w:t>margin (</w:t>
      </w:r>
      <w:r w:rsidR="003C6CEE">
        <w:rPr>
          <w:rFonts w:cs="David"/>
          <w:b/>
          <w:bCs/>
        </w:rPr>
        <w:t xml:space="preserve">net </w:t>
      </w:r>
      <w:r w:rsidRPr="00DB75EA">
        <w:rPr>
          <w:rFonts w:cs="David"/>
          <w:b/>
          <w:bCs/>
        </w:rPr>
        <w:t xml:space="preserve">interest income </w:t>
      </w:r>
      <w:r w:rsidR="003C6CEE">
        <w:rPr>
          <w:rFonts w:cs="David"/>
          <w:b/>
          <w:bCs/>
        </w:rPr>
        <w:t>as a percentage of earning assets</w:t>
      </w:r>
      <w:r w:rsidRPr="00DB75EA">
        <w:rPr>
          <w:rFonts w:cs="David"/>
          <w:b/>
          <w:bCs/>
        </w:rPr>
        <w:t xml:space="preserve">) is positively </w:t>
      </w:r>
      <w:r w:rsidR="003C6CEE">
        <w:rPr>
          <w:rFonts w:cs="David"/>
          <w:b/>
          <w:bCs/>
        </w:rPr>
        <w:t xml:space="preserve">related to </w:t>
      </w:r>
      <w:r w:rsidRPr="00DB75EA">
        <w:rPr>
          <w:rFonts w:cs="David"/>
          <w:b/>
          <w:bCs/>
        </w:rPr>
        <w:t>the level of short term interest rates in the economy.</w:t>
      </w:r>
    </w:p>
    <w:p w14:paraId="2C9BEC09" w14:textId="77777777" w:rsidR="00094743" w:rsidRPr="00DB75EA" w:rsidRDefault="00094743" w:rsidP="00E43E47">
      <w:pPr>
        <w:tabs>
          <w:tab w:val="center" w:pos="4156"/>
          <w:tab w:val="right" w:pos="8312"/>
        </w:tabs>
        <w:bidi w:val="0"/>
        <w:jc w:val="both"/>
        <w:rPr>
          <w:rFonts w:cs="David"/>
          <w:b/>
          <w:bCs/>
        </w:rPr>
      </w:pPr>
    </w:p>
    <w:p w14:paraId="74BAD28F" w14:textId="58BCB0FB" w:rsidR="00094743" w:rsidRPr="00DB75EA" w:rsidRDefault="00094743" w:rsidP="003C6CEE">
      <w:pPr>
        <w:pStyle w:val="aa"/>
        <w:numPr>
          <w:ilvl w:val="0"/>
          <w:numId w:val="5"/>
        </w:numPr>
        <w:tabs>
          <w:tab w:val="center" w:pos="4156"/>
          <w:tab w:val="right" w:pos="8312"/>
        </w:tabs>
        <w:ind w:left="360"/>
        <w:jc w:val="both"/>
        <w:rPr>
          <w:rFonts w:cs="David"/>
          <w:b/>
          <w:bCs/>
        </w:rPr>
      </w:pPr>
      <w:r w:rsidRPr="00DB75EA">
        <w:rPr>
          <w:rFonts w:cs="David"/>
          <w:b/>
          <w:bCs/>
        </w:rPr>
        <w:t xml:space="preserve">It was found that the </w:t>
      </w:r>
      <w:r w:rsidRPr="003C6CEE">
        <w:rPr>
          <w:rFonts w:cs="David"/>
          <w:b/>
          <w:bCs/>
        </w:rPr>
        <w:t xml:space="preserve">positive </w:t>
      </w:r>
      <w:r w:rsidR="009F1F92" w:rsidRPr="003C6CEE">
        <w:rPr>
          <w:rFonts w:cs="David"/>
          <w:b/>
          <w:bCs/>
        </w:rPr>
        <w:t>relationship</w:t>
      </w:r>
      <w:r w:rsidR="009F1F92">
        <w:rPr>
          <w:rFonts w:cs="David"/>
          <w:b/>
          <w:bCs/>
        </w:rPr>
        <w:t xml:space="preserve"> </w:t>
      </w:r>
      <w:r w:rsidRPr="00DB75EA">
        <w:rPr>
          <w:rFonts w:cs="David"/>
          <w:b/>
          <w:bCs/>
        </w:rPr>
        <w:t>is stronger at low, near-zero, interest rate levels.</w:t>
      </w:r>
    </w:p>
    <w:p w14:paraId="3E2CA81E" w14:textId="77777777" w:rsidR="00094743" w:rsidRPr="00DB75EA" w:rsidRDefault="00094743" w:rsidP="00E43E47">
      <w:pPr>
        <w:tabs>
          <w:tab w:val="center" w:pos="4156"/>
          <w:tab w:val="right" w:pos="8312"/>
        </w:tabs>
        <w:bidi w:val="0"/>
        <w:jc w:val="both"/>
        <w:rPr>
          <w:rFonts w:cs="David"/>
          <w:b/>
          <w:bCs/>
        </w:rPr>
      </w:pPr>
    </w:p>
    <w:p w14:paraId="523A5D97" w14:textId="0C733661" w:rsidR="00094743" w:rsidRPr="00DB75EA" w:rsidRDefault="00094743" w:rsidP="00375972">
      <w:pPr>
        <w:pStyle w:val="aa"/>
        <w:numPr>
          <w:ilvl w:val="0"/>
          <w:numId w:val="5"/>
        </w:numPr>
        <w:tabs>
          <w:tab w:val="center" w:pos="4156"/>
          <w:tab w:val="right" w:pos="8312"/>
        </w:tabs>
        <w:ind w:left="360"/>
        <w:jc w:val="both"/>
        <w:rPr>
          <w:rFonts w:cs="David"/>
          <w:b/>
          <w:bCs/>
        </w:rPr>
      </w:pPr>
      <w:r w:rsidRPr="00DB75EA">
        <w:rPr>
          <w:rFonts w:cs="David"/>
          <w:b/>
          <w:bCs/>
        </w:rPr>
        <w:t>It was also found that when the banking system is concentrated, changes in the interest rate have almost no effect on the net margin. However, in a low interest rate environment, interest rate changes impact the margin in concentrated markets as well.</w:t>
      </w:r>
    </w:p>
    <w:p w14:paraId="242549C4" w14:textId="77777777" w:rsidR="00094743" w:rsidRDefault="00094743" w:rsidP="00E43E47">
      <w:pPr>
        <w:tabs>
          <w:tab w:val="center" w:pos="4156"/>
          <w:tab w:val="right" w:pos="8312"/>
        </w:tabs>
        <w:bidi w:val="0"/>
        <w:jc w:val="both"/>
        <w:rPr>
          <w:rFonts w:cs="David"/>
        </w:rPr>
      </w:pPr>
    </w:p>
    <w:p w14:paraId="458BAADC" w14:textId="77777777" w:rsidR="00094743" w:rsidRDefault="00094743" w:rsidP="00E43E47">
      <w:pPr>
        <w:tabs>
          <w:tab w:val="center" w:pos="4156"/>
          <w:tab w:val="right" w:pos="8312"/>
        </w:tabs>
        <w:bidi w:val="0"/>
        <w:jc w:val="both"/>
        <w:rPr>
          <w:rFonts w:cs="David"/>
        </w:rPr>
      </w:pPr>
      <w:r>
        <w:rPr>
          <w:rFonts w:cs="David"/>
        </w:rPr>
        <w:t>The connection between the level of the interest rate in the economy and bank performance is an important issue in understanding the impact of policy on the banking system and on economic activity, particularly the credit market.</w:t>
      </w:r>
    </w:p>
    <w:p w14:paraId="1A269EC7" w14:textId="77777777" w:rsidR="00D00E96" w:rsidRDefault="00D00E96" w:rsidP="00E43E47">
      <w:pPr>
        <w:tabs>
          <w:tab w:val="center" w:pos="4156"/>
          <w:tab w:val="right" w:pos="8312"/>
        </w:tabs>
        <w:bidi w:val="0"/>
        <w:jc w:val="both"/>
        <w:rPr>
          <w:rFonts w:cs="David"/>
        </w:rPr>
      </w:pPr>
    </w:p>
    <w:p w14:paraId="56A5FE80" w14:textId="573C3DC6" w:rsidR="009F5B67" w:rsidRPr="00273237" w:rsidRDefault="00D00E96" w:rsidP="003C6CEE">
      <w:pPr>
        <w:tabs>
          <w:tab w:val="center" w:pos="4156"/>
          <w:tab w:val="right" w:pos="8312"/>
        </w:tabs>
        <w:bidi w:val="0"/>
        <w:jc w:val="both"/>
        <w:rPr>
          <w:rFonts w:cs="David"/>
        </w:rPr>
      </w:pPr>
      <w:r w:rsidRPr="00273237">
        <w:rPr>
          <w:rFonts w:cs="David"/>
        </w:rPr>
        <w:t>New research conducted by Nimrod Segev, Sigal Ribon, and Miki Kahn of the Bank of Israel Research Department</w:t>
      </w:r>
      <w:r w:rsidR="00956101" w:rsidRPr="00273237">
        <w:rPr>
          <w:rFonts w:cs="David"/>
        </w:rPr>
        <w:t>, in collaboration with Jakob de Haan of the University of Gronin</w:t>
      </w:r>
      <w:r w:rsidR="002F7E25" w:rsidRPr="00273237">
        <w:rPr>
          <w:rFonts w:cs="David"/>
        </w:rPr>
        <w:t xml:space="preserve">gen, uses a broad and detailed database that incudes information on banks </w:t>
      </w:r>
      <w:r w:rsidR="00F22BAC">
        <w:rPr>
          <w:rFonts w:cs="David"/>
        </w:rPr>
        <w:t>in</w:t>
      </w:r>
      <w:r w:rsidR="002F7E25" w:rsidRPr="00273237">
        <w:rPr>
          <w:rFonts w:cs="David"/>
        </w:rPr>
        <w:t xml:space="preserve"> OECD countries for 1995–2019. It examine</w:t>
      </w:r>
      <w:r w:rsidR="00F22BAC">
        <w:rPr>
          <w:rFonts w:cs="David"/>
        </w:rPr>
        <w:t>s</w:t>
      </w:r>
      <w:r w:rsidR="002F7E25" w:rsidRPr="00273237">
        <w:rPr>
          <w:rFonts w:cs="David"/>
        </w:rPr>
        <w:t xml:space="preserve"> the factors that impact banks’ net interest margin, and in particular how this s</w:t>
      </w:r>
      <w:r w:rsidR="009E28FB" w:rsidRPr="00273237">
        <w:rPr>
          <w:rFonts w:cs="David"/>
        </w:rPr>
        <w:t>p</w:t>
      </w:r>
      <w:r w:rsidR="007D7F8C" w:rsidRPr="00273237">
        <w:rPr>
          <w:rFonts w:cs="David"/>
        </w:rPr>
        <w:t>read is impacted by the short</w:t>
      </w:r>
      <w:r w:rsidR="00ED1CA6">
        <w:rPr>
          <w:rFonts w:cs="David"/>
        </w:rPr>
        <w:t xml:space="preserve"> </w:t>
      </w:r>
      <w:r w:rsidR="007D7F8C" w:rsidRPr="00273237">
        <w:rPr>
          <w:rFonts w:cs="David"/>
        </w:rPr>
        <w:t xml:space="preserve">term interest rate environment in the economy </w:t>
      </w:r>
      <w:r w:rsidR="0022784C" w:rsidRPr="00273237">
        <w:rPr>
          <w:rFonts w:cs="David"/>
        </w:rPr>
        <w:t xml:space="preserve">and by the extent of competition in </w:t>
      </w:r>
      <w:r w:rsidR="00EF0C2C">
        <w:rPr>
          <w:rFonts w:cs="David"/>
        </w:rPr>
        <w:t xml:space="preserve">the </w:t>
      </w:r>
      <w:r w:rsidR="0022784C" w:rsidRPr="00273237">
        <w:rPr>
          <w:rFonts w:cs="David"/>
        </w:rPr>
        <w:t xml:space="preserve">country’s banking system. The research is </w:t>
      </w:r>
      <w:r w:rsidR="0022784C" w:rsidRPr="003C6CEE">
        <w:rPr>
          <w:rFonts w:cs="David"/>
        </w:rPr>
        <w:t>part of a project within the framework of IBRN</w:t>
      </w:r>
      <w:r w:rsidR="0077587C" w:rsidRPr="003C6CEE">
        <w:rPr>
          <w:rFonts w:cs="David"/>
        </w:rPr>
        <w:t xml:space="preserve"> (International Banking Research Network)</w:t>
      </w:r>
      <w:r w:rsidR="0022784C" w:rsidRPr="003C6CEE">
        <w:rPr>
          <w:rFonts w:cs="David"/>
        </w:rPr>
        <w:t>, an</w:t>
      </w:r>
      <w:r w:rsidR="0022784C" w:rsidRPr="00273237">
        <w:rPr>
          <w:rFonts w:cs="David"/>
        </w:rPr>
        <w:t xml:space="preserve"> international research </w:t>
      </w:r>
      <w:r w:rsidR="009F1F92">
        <w:rPr>
          <w:rFonts w:cs="David"/>
        </w:rPr>
        <w:t>group</w:t>
      </w:r>
      <w:r w:rsidR="0022784C" w:rsidRPr="00273237">
        <w:rPr>
          <w:rFonts w:cs="David"/>
        </w:rPr>
        <w:t xml:space="preserve"> for collaboration among central banks on banking issues.</w:t>
      </w:r>
    </w:p>
    <w:p w14:paraId="392155E8" w14:textId="77777777" w:rsidR="009F5B67" w:rsidRPr="00273237" w:rsidRDefault="009F5B67" w:rsidP="00E43E47">
      <w:pPr>
        <w:tabs>
          <w:tab w:val="center" w:pos="4156"/>
          <w:tab w:val="right" w:pos="8312"/>
        </w:tabs>
        <w:bidi w:val="0"/>
        <w:jc w:val="both"/>
        <w:rPr>
          <w:rFonts w:cs="David"/>
        </w:rPr>
      </w:pPr>
    </w:p>
    <w:p w14:paraId="4EE98437" w14:textId="77777777" w:rsidR="00123B8D" w:rsidRPr="00273237" w:rsidRDefault="009F5B67" w:rsidP="001E3553">
      <w:pPr>
        <w:tabs>
          <w:tab w:val="center" w:pos="4156"/>
          <w:tab w:val="right" w:pos="8312"/>
        </w:tabs>
        <w:bidi w:val="0"/>
        <w:jc w:val="both"/>
        <w:rPr>
          <w:rFonts w:cs="David"/>
        </w:rPr>
      </w:pPr>
      <w:r w:rsidRPr="00273237">
        <w:rPr>
          <w:rFonts w:cs="David"/>
        </w:rPr>
        <w:t xml:space="preserve">The research finds that the higher the short term interest rate in the economy is, the larger the net interest margin—the gap between interest income on credit and the cost of the banks’ sources. It also finds that </w:t>
      </w:r>
      <w:r w:rsidR="001E3553">
        <w:rPr>
          <w:rFonts w:cs="David"/>
        </w:rPr>
        <w:t xml:space="preserve">in a </w:t>
      </w:r>
      <w:r w:rsidRPr="00273237">
        <w:rPr>
          <w:rFonts w:cs="David"/>
        </w:rPr>
        <w:t>concentrated banking system, interest rate changes have almost no impact on the net margin. However, in a low interest rate environment, interest rate changes impact on the margin in concentrated markets as well.</w:t>
      </w:r>
    </w:p>
    <w:p w14:paraId="6F821123" w14:textId="77777777" w:rsidR="00123B8D" w:rsidRPr="00273237" w:rsidRDefault="00123B8D" w:rsidP="00E43E47">
      <w:pPr>
        <w:tabs>
          <w:tab w:val="center" w:pos="4156"/>
          <w:tab w:val="right" w:pos="8312"/>
        </w:tabs>
        <w:bidi w:val="0"/>
        <w:jc w:val="both"/>
        <w:rPr>
          <w:rFonts w:cs="David"/>
        </w:rPr>
      </w:pPr>
    </w:p>
    <w:p w14:paraId="6BD85FC7" w14:textId="77777777" w:rsidR="00D00E96" w:rsidRPr="00273237" w:rsidRDefault="00123B8D" w:rsidP="00E43E47">
      <w:pPr>
        <w:tabs>
          <w:tab w:val="center" w:pos="4156"/>
          <w:tab w:val="right" w:pos="8312"/>
        </w:tabs>
        <w:bidi w:val="0"/>
        <w:jc w:val="both"/>
        <w:rPr>
          <w:rFonts w:cs="David"/>
        </w:rPr>
      </w:pPr>
      <w:r w:rsidRPr="00273237">
        <w:rPr>
          <w:rFonts w:cs="David"/>
        </w:rPr>
        <w:lastRenderedPageBreak/>
        <w:t>In recent years,</w:t>
      </w:r>
      <w:r w:rsidR="008A7571" w:rsidRPr="00273237">
        <w:rPr>
          <w:rFonts w:cs="David"/>
        </w:rPr>
        <w:t xml:space="preserve"> particularly after the global financial crisis in 2008, the short term interest rates worldwide declined markedly, and in many countries they approached very close to zero. Figure 1 presents the range of interest rates in OECD countries over the years, and it indicates the notable downward trend.</w:t>
      </w:r>
    </w:p>
    <w:p w14:paraId="66DF3D11" w14:textId="77777777" w:rsidR="00094743" w:rsidRDefault="00094743" w:rsidP="00E43E47">
      <w:pPr>
        <w:tabs>
          <w:tab w:val="center" w:pos="4156"/>
          <w:tab w:val="right" w:pos="8312"/>
        </w:tabs>
        <w:bidi w:val="0"/>
        <w:jc w:val="both"/>
        <w:rPr>
          <w:rFonts w:cs="David"/>
        </w:rPr>
      </w:pPr>
    </w:p>
    <w:p w14:paraId="1D36A50C" w14:textId="77777777" w:rsidR="003E38F2" w:rsidRPr="00190E30" w:rsidRDefault="003E38F2" w:rsidP="00E43E47">
      <w:pPr>
        <w:tabs>
          <w:tab w:val="center" w:pos="4156"/>
          <w:tab w:val="right" w:pos="8312"/>
        </w:tabs>
        <w:bidi w:val="0"/>
        <w:jc w:val="both"/>
        <w:rPr>
          <w:rFonts w:cs="David"/>
          <w:b/>
          <w:bCs/>
        </w:rPr>
      </w:pPr>
      <w:r w:rsidRPr="00674AD6">
        <w:rPr>
          <w:rFonts w:cs="David"/>
          <w:b/>
          <w:bCs/>
        </w:rPr>
        <w:t>Figure 1</w:t>
      </w:r>
    </w:p>
    <w:p w14:paraId="5466781A" w14:textId="77777777" w:rsidR="003E38F2" w:rsidRDefault="003E38F2" w:rsidP="00E43E47">
      <w:pPr>
        <w:tabs>
          <w:tab w:val="center" w:pos="4156"/>
          <w:tab w:val="right" w:pos="8312"/>
        </w:tabs>
        <w:bidi w:val="0"/>
        <w:jc w:val="both"/>
        <w:rPr>
          <w:rFonts w:cs="David"/>
          <w:b/>
          <w:bCs/>
        </w:rPr>
      </w:pPr>
      <w:r w:rsidRPr="00190E30">
        <w:rPr>
          <w:rFonts w:cs="David"/>
          <w:b/>
          <w:bCs/>
        </w:rPr>
        <w:t>Short term interest rates in OECD countries, 1995–2019</w:t>
      </w:r>
    </w:p>
    <w:p w14:paraId="7A1A66DE" w14:textId="77777777" w:rsidR="00460325" w:rsidRPr="00190E30" w:rsidRDefault="00460325" w:rsidP="00460325">
      <w:pPr>
        <w:tabs>
          <w:tab w:val="center" w:pos="4156"/>
          <w:tab w:val="right" w:pos="8312"/>
        </w:tabs>
        <w:bidi w:val="0"/>
        <w:jc w:val="both"/>
        <w:rPr>
          <w:rFonts w:cs="David"/>
          <w:b/>
          <w:bCs/>
        </w:rPr>
      </w:pPr>
    </w:p>
    <w:p w14:paraId="61E9424A" w14:textId="77777777" w:rsidR="00460325" w:rsidRDefault="00460325" w:rsidP="00460325">
      <w:pPr>
        <w:tabs>
          <w:tab w:val="center" w:pos="4156"/>
          <w:tab w:val="right" w:pos="8312"/>
        </w:tabs>
        <w:bidi w:val="0"/>
        <w:jc w:val="both"/>
        <w:rPr>
          <w:rFonts w:cs="David"/>
        </w:rPr>
      </w:pPr>
      <w:r>
        <w:rPr>
          <w:noProof/>
        </w:rPr>
        <w:drawing>
          <wp:inline distT="0" distB="0" distL="0" distR="0" wp14:anchorId="5AAD130D" wp14:editId="3CC0C7CB">
            <wp:extent cx="5278120" cy="2711450"/>
            <wp:effectExtent l="0" t="0" r="5080" b="0"/>
            <wp:docPr id="4" name="Picture 8"/>
            <wp:cNvGraphicFramePr/>
            <a:graphic xmlns:a="http://schemas.openxmlformats.org/drawingml/2006/main">
              <a:graphicData uri="http://schemas.openxmlformats.org/drawingml/2006/picture">
                <pic:pic xmlns:pic="http://schemas.openxmlformats.org/drawingml/2006/picture">
                  <pic:nvPicPr>
                    <pic:cNvPr id="4" name="Picture 8"/>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8120" cy="2711450"/>
                    </a:xfrm>
                    <a:prstGeom prst="rect">
                      <a:avLst/>
                    </a:prstGeom>
                    <a:noFill/>
                    <a:ln>
                      <a:noFill/>
                    </a:ln>
                  </pic:spPr>
                </pic:pic>
              </a:graphicData>
            </a:graphic>
          </wp:inline>
        </w:drawing>
      </w:r>
    </w:p>
    <w:p w14:paraId="4CA10399" w14:textId="77777777" w:rsidR="00460325" w:rsidRPr="002D2F36" w:rsidRDefault="000D1985" w:rsidP="00460325">
      <w:pPr>
        <w:tabs>
          <w:tab w:val="center" w:pos="4156"/>
          <w:tab w:val="right" w:pos="8312"/>
        </w:tabs>
        <w:bidi w:val="0"/>
        <w:jc w:val="both"/>
        <w:rPr>
          <w:rFonts w:cs="David"/>
          <w:sz w:val="20"/>
          <w:szCs w:val="20"/>
        </w:rPr>
      </w:pPr>
      <w:r w:rsidRPr="002D2F36">
        <w:rPr>
          <w:rFonts w:cs="David"/>
          <w:sz w:val="20"/>
          <w:szCs w:val="20"/>
        </w:rPr>
        <w:t>*The black line represents the median and the ends of the box represent the 25</w:t>
      </w:r>
      <w:r w:rsidRPr="002D2F36">
        <w:rPr>
          <w:rFonts w:cs="David"/>
          <w:sz w:val="20"/>
          <w:szCs w:val="20"/>
          <w:vertAlign w:val="superscript"/>
        </w:rPr>
        <w:t>th</w:t>
      </w:r>
      <w:r w:rsidRPr="002D2F36">
        <w:rPr>
          <w:rFonts w:cs="David"/>
          <w:sz w:val="20"/>
          <w:szCs w:val="20"/>
        </w:rPr>
        <w:t xml:space="preserve"> and 75</w:t>
      </w:r>
      <w:r w:rsidRPr="002D2F36">
        <w:rPr>
          <w:rFonts w:cs="David"/>
          <w:sz w:val="20"/>
          <w:szCs w:val="20"/>
          <w:vertAlign w:val="superscript"/>
        </w:rPr>
        <w:t>th</w:t>
      </w:r>
      <w:r w:rsidRPr="002D2F36">
        <w:rPr>
          <w:rFonts w:cs="David"/>
          <w:sz w:val="20"/>
          <w:szCs w:val="20"/>
        </w:rPr>
        <w:t xml:space="preserve"> percentiles of the interest rate in the </w:t>
      </w:r>
      <w:r w:rsidR="00EA501E" w:rsidRPr="002D2F36">
        <w:rPr>
          <w:rFonts w:cs="David"/>
          <w:sz w:val="20"/>
          <w:szCs w:val="20"/>
        </w:rPr>
        <w:t>sample countries. The ends of the lines represent the minimum and maximum values (excluding outliers), and the dots represent outlier observations that were not included. The dashed line represents the threshold interest rate (1.25 percent), below which we defined the interest rate as a “low interest rate”.</w:t>
      </w:r>
    </w:p>
    <w:p w14:paraId="5813E1F1" w14:textId="77777777" w:rsidR="00460325" w:rsidRDefault="00460325" w:rsidP="00460325">
      <w:pPr>
        <w:tabs>
          <w:tab w:val="center" w:pos="4156"/>
          <w:tab w:val="right" w:pos="8312"/>
        </w:tabs>
        <w:bidi w:val="0"/>
        <w:jc w:val="both"/>
        <w:rPr>
          <w:rFonts w:cs="David"/>
        </w:rPr>
      </w:pPr>
    </w:p>
    <w:p w14:paraId="0DCFC0D5" w14:textId="77777777" w:rsidR="003E38F2" w:rsidRDefault="00190E30" w:rsidP="00BC4DF7">
      <w:pPr>
        <w:tabs>
          <w:tab w:val="center" w:pos="4156"/>
          <w:tab w:val="right" w:pos="8312"/>
        </w:tabs>
        <w:bidi w:val="0"/>
        <w:jc w:val="both"/>
        <w:rPr>
          <w:rFonts w:cs="David"/>
        </w:rPr>
      </w:pPr>
      <w:r>
        <w:rPr>
          <w:rFonts w:cs="David"/>
        </w:rPr>
        <w:t xml:space="preserve">The research examines whether a low interest rate environment </w:t>
      </w:r>
      <w:r w:rsidR="00266D1D">
        <w:rPr>
          <w:rFonts w:cs="David"/>
        </w:rPr>
        <w:t>has a different impact on banks’ net interest margins.</w:t>
      </w:r>
      <w:r w:rsidR="006B1D80">
        <w:rPr>
          <w:rFonts w:cs="David"/>
        </w:rPr>
        <w:t xml:space="preserve"> The research defines “low interest rate” similarly to other research around the world, as </w:t>
      </w:r>
      <w:r w:rsidR="00B00DE9">
        <w:rPr>
          <w:rFonts w:cs="David"/>
        </w:rPr>
        <w:t xml:space="preserve">below </w:t>
      </w:r>
      <w:r w:rsidR="006B1D80">
        <w:rPr>
          <w:rFonts w:cs="David"/>
        </w:rPr>
        <w:t xml:space="preserve">1.25 percent (indicated by the dashed line in the figure). Figure 1 indicates </w:t>
      </w:r>
      <w:r w:rsidR="002E5D75">
        <w:rPr>
          <w:rFonts w:cs="David"/>
        </w:rPr>
        <w:t>that interest rates have been low in most countries in recent years.</w:t>
      </w:r>
      <w:r w:rsidR="00AF19F3">
        <w:rPr>
          <w:rFonts w:cs="David"/>
        </w:rPr>
        <w:t xml:space="preserve"> The researchers found that in a low interest rate environment, changes in the short-term market interest rate have a greater impact on the net margin.</w:t>
      </w:r>
      <w:r w:rsidR="00E9572A">
        <w:rPr>
          <w:rFonts w:cs="David"/>
        </w:rPr>
        <w:t xml:space="preserve"> This result reflects a greater impact </w:t>
      </w:r>
      <w:r w:rsidR="00033FD2">
        <w:rPr>
          <w:rFonts w:cs="David"/>
        </w:rPr>
        <w:t>on the income side and a weaker impact on the expenses side. That is, for example, when there is a</w:t>
      </w:r>
      <w:r w:rsidR="00B00DE9">
        <w:rPr>
          <w:rFonts w:cs="David"/>
        </w:rPr>
        <w:t xml:space="preserve"> decline in the </w:t>
      </w:r>
      <w:r w:rsidR="00033FD2">
        <w:rPr>
          <w:rFonts w:cs="David"/>
        </w:rPr>
        <w:t xml:space="preserve">interest rate, </w:t>
      </w:r>
      <w:r w:rsidR="0066690E">
        <w:rPr>
          <w:rFonts w:cs="David"/>
        </w:rPr>
        <w:t xml:space="preserve">where the interest rate is already low, the banks’ interest income decreases markedly more than would have occurred in a high interest rate environment, while banks’ expenses decline only slightly, relative to the </w:t>
      </w:r>
      <w:r w:rsidR="00B00DE9">
        <w:rPr>
          <w:rFonts w:cs="David"/>
        </w:rPr>
        <w:t>decrease</w:t>
      </w:r>
      <w:r w:rsidR="0066690E">
        <w:rPr>
          <w:rFonts w:cs="David"/>
        </w:rPr>
        <w:t xml:space="preserve"> that would have occurred in a high interest rate environment. This outcome is consistent with the assessment </w:t>
      </w:r>
      <w:r w:rsidR="00FA24FB">
        <w:rPr>
          <w:rFonts w:cs="David"/>
        </w:rPr>
        <w:t xml:space="preserve">that </w:t>
      </w:r>
      <w:r w:rsidR="00BC4DF7">
        <w:rPr>
          <w:rFonts w:cs="David"/>
        </w:rPr>
        <w:t>as</w:t>
      </w:r>
      <w:r w:rsidR="00FA24FB">
        <w:rPr>
          <w:rFonts w:cs="David"/>
        </w:rPr>
        <w:t xml:space="preserve"> banks are lim</w:t>
      </w:r>
      <w:r w:rsidR="0066690E">
        <w:rPr>
          <w:rFonts w:cs="David"/>
        </w:rPr>
        <w:t>ited in their ability to reduce the interest rate on retail deposits</w:t>
      </w:r>
      <w:r w:rsidR="00950326">
        <w:rPr>
          <w:rFonts w:cs="David"/>
        </w:rPr>
        <w:t>,</w:t>
      </w:r>
      <w:r w:rsidR="0066690E">
        <w:rPr>
          <w:rFonts w:cs="David"/>
        </w:rPr>
        <w:t xml:space="preserve"> and particularly to a negative interest rate, their ability </w:t>
      </w:r>
      <w:r w:rsidR="00950326">
        <w:rPr>
          <w:rFonts w:cs="David"/>
        </w:rPr>
        <w:t>to adjust their financing expenses is limited, and therefore the impac</w:t>
      </w:r>
      <w:r w:rsidR="00120D90">
        <w:rPr>
          <w:rFonts w:cs="David"/>
        </w:rPr>
        <w:t>t on the net margin is greater.</w:t>
      </w:r>
    </w:p>
    <w:p w14:paraId="76255C87" w14:textId="77777777" w:rsidR="00120D90" w:rsidRDefault="00120D90" w:rsidP="00E43E47">
      <w:pPr>
        <w:tabs>
          <w:tab w:val="center" w:pos="4156"/>
          <w:tab w:val="right" w:pos="8312"/>
        </w:tabs>
        <w:bidi w:val="0"/>
        <w:jc w:val="both"/>
        <w:rPr>
          <w:rFonts w:cs="David"/>
        </w:rPr>
      </w:pPr>
    </w:p>
    <w:p w14:paraId="125BAD3E" w14:textId="77777777" w:rsidR="00120D90" w:rsidRDefault="00120D90" w:rsidP="00E43E47">
      <w:pPr>
        <w:tabs>
          <w:tab w:val="center" w:pos="4156"/>
          <w:tab w:val="right" w:pos="8312"/>
        </w:tabs>
        <w:bidi w:val="0"/>
        <w:jc w:val="both"/>
        <w:rPr>
          <w:rFonts w:cs="David"/>
        </w:rPr>
      </w:pPr>
      <w:r>
        <w:rPr>
          <w:rFonts w:cs="David"/>
        </w:rPr>
        <w:t xml:space="preserve">In the next stage, the researchers examined whether this phenomenon depends on the extent of banking system concentration in the </w:t>
      </w:r>
      <w:r w:rsidR="006217BF">
        <w:rPr>
          <w:rFonts w:cs="David"/>
        </w:rPr>
        <w:t>various countries. The more banks that are active in a country, the lower the extent of concentration as measured in the research.</w:t>
      </w:r>
      <w:r w:rsidR="00323319">
        <w:rPr>
          <w:rFonts w:cs="David"/>
        </w:rPr>
        <w:t xml:space="preserve"> There is considerable variance among the various countries—while</w:t>
      </w:r>
      <w:r w:rsidR="00A6526A">
        <w:rPr>
          <w:rFonts w:cs="David"/>
        </w:rPr>
        <w:t>,</w:t>
      </w:r>
      <w:r w:rsidR="00323319">
        <w:rPr>
          <w:rFonts w:cs="David"/>
        </w:rPr>
        <w:t xml:space="preserve"> for example, in Germany there are more than 2,500 banks, and hundreds of banks in Austria, Italy, and Japan, in other countries only several banks operate.</w:t>
      </w:r>
      <w:r w:rsidR="00642C84">
        <w:rPr>
          <w:rFonts w:cs="David"/>
        </w:rPr>
        <w:t xml:space="preserve"> </w:t>
      </w:r>
    </w:p>
    <w:p w14:paraId="6211E349" w14:textId="77777777" w:rsidR="00642C84" w:rsidRDefault="00642C84" w:rsidP="007D21FC">
      <w:pPr>
        <w:tabs>
          <w:tab w:val="center" w:pos="4156"/>
          <w:tab w:val="right" w:pos="8312"/>
        </w:tabs>
        <w:bidi w:val="0"/>
        <w:jc w:val="both"/>
        <w:rPr>
          <w:rFonts w:cs="David"/>
        </w:rPr>
      </w:pPr>
      <w:r>
        <w:rPr>
          <w:rFonts w:cs="David"/>
        </w:rPr>
        <w:br/>
        <w:t xml:space="preserve">It was found that the more concentrated the banking system is, the weaker the connection between market interest </w:t>
      </w:r>
      <w:r w:rsidR="00A6526A">
        <w:rPr>
          <w:rFonts w:cs="David"/>
        </w:rPr>
        <w:t xml:space="preserve">rate </w:t>
      </w:r>
      <w:r>
        <w:rPr>
          <w:rFonts w:cs="David"/>
        </w:rPr>
        <w:t>changes and changes in the net margin is, so that the net margin for banks in concentrated markets is not impacted, to a statistically significant extent, by changes in the interest rate.</w:t>
      </w:r>
      <w:r w:rsidR="0043214C">
        <w:rPr>
          <w:rFonts w:cs="David"/>
        </w:rPr>
        <w:t xml:space="preserve"> In a low interest rate environment, the </w:t>
      </w:r>
      <w:r w:rsidR="0043214C">
        <w:rPr>
          <w:rFonts w:cs="David"/>
        </w:rPr>
        <w:lastRenderedPageBreak/>
        <w:t>net margin, even for banks that operate in a concentrated system, is impacted by a decline in the interest rate, though to a lesser extent than for banks in a more competitive banking system. This happens because even for banks in less competitive environments it is difficult to adjust downward their interest expenses (meaning the payment for sources for extending credit, and in particular the public’s deposits that they hold) when the interest rate is near zero.</w:t>
      </w:r>
      <w:r w:rsidR="00EC7EAB">
        <w:rPr>
          <w:rFonts w:cs="David"/>
        </w:rPr>
        <w:t xml:space="preserve"> The table below indicates that the banks’ margins in a concentrated market are not impacted by changes in the interest rate when the interest rate environment is high, and the</w:t>
      </w:r>
      <w:r w:rsidR="00A6526A">
        <w:rPr>
          <w:rFonts w:cs="David"/>
        </w:rPr>
        <w:t xml:space="preserve"> margins of</w:t>
      </w:r>
      <w:r w:rsidR="00EC7EAB">
        <w:rPr>
          <w:rFonts w:cs="David"/>
        </w:rPr>
        <w:t xml:space="preserve"> banks</w:t>
      </w:r>
      <w:r w:rsidR="00A6526A">
        <w:rPr>
          <w:rFonts w:cs="David"/>
        </w:rPr>
        <w:t xml:space="preserve"> </w:t>
      </w:r>
      <w:r w:rsidR="00EC7EAB">
        <w:rPr>
          <w:rFonts w:cs="David"/>
        </w:rPr>
        <w:t xml:space="preserve">in competition in a low interest rate environment </w:t>
      </w:r>
      <w:r w:rsidR="00A6526A">
        <w:rPr>
          <w:rFonts w:cs="David"/>
        </w:rPr>
        <w:t xml:space="preserve">are </w:t>
      </w:r>
      <w:r w:rsidR="00EC7EAB">
        <w:rPr>
          <w:rFonts w:cs="David"/>
        </w:rPr>
        <w:t>impacted to a much greater extent.</w:t>
      </w:r>
      <w:r w:rsidR="00FA75FF">
        <w:rPr>
          <w:rFonts w:cs="David"/>
        </w:rPr>
        <w:t xml:space="preserve"> A decline of 1 percentage point in the market interest rate will be reflected by a decline of 0.17 percentage points in the </w:t>
      </w:r>
      <w:r w:rsidR="00440998">
        <w:rPr>
          <w:rFonts w:cs="David"/>
        </w:rPr>
        <w:t xml:space="preserve">net </w:t>
      </w:r>
      <w:r w:rsidR="00FA75FF">
        <w:rPr>
          <w:rFonts w:cs="David"/>
        </w:rPr>
        <w:t>interest margin of those banks.</w:t>
      </w:r>
    </w:p>
    <w:p w14:paraId="63495776" w14:textId="77777777" w:rsidR="009F2D5F" w:rsidRDefault="009F2D5F" w:rsidP="00E43E47">
      <w:pPr>
        <w:tabs>
          <w:tab w:val="center" w:pos="4156"/>
          <w:tab w:val="right" w:pos="8312"/>
        </w:tabs>
        <w:bidi w:val="0"/>
        <w:jc w:val="both"/>
        <w:rPr>
          <w:rFonts w:cs="David"/>
        </w:rPr>
      </w:pPr>
    </w:p>
    <w:p w14:paraId="0FAD31F2" w14:textId="77777777" w:rsidR="009F2D5F" w:rsidRPr="00FB33BE" w:rsidRDefault="009F2D5F" w:rsidP="00E43E47">
      <w:pPr>
        <w:tabs>
          <w:tab w:val="center" w:pos="4156"/>
          <w:tab w:val="right" w:pos="8312"/>
        </w:tabs>
        <w:bidi w:val="0"/>
        <w:jc w:val="both"/>
        <w:rPr>
          <w:rFonts w:cs="David"/>
          <w:b/>
          <w:bCs/>
        </w:rPr>
      </w:pPr>
      <w:r w:rsidRPr="00FB33BE">
        <w:rPr>
          <w:rFonts w:cs="David"/>
          <w:b/>
          <w:bCs/>
        </w:rPr>
        <w:t>Table</w:t>
      </w:r>
    </w:p>
    <w:p w14:paraId="0261CFDC" w14:textId="77777777" w:rsidR="009F2D5F" w:rsidRPr="00FB33BE" w:rsidRDefault="009F2D5F" w:rsidP="00E43E47">
      <w:pPr>
        <w:tabs>
          <w:tab w:val="center" w:pos="4156"/>
          <w:tab w:val="right" w:pos="8312"/>
        </w:tabs>
        <w:bidi w:val="0"/>
        <w:jc w:val="both"/>
        <w:rPr>
          <w:rFonts w:cs="David"/>
          <w:b/>
          <w:bCs/>
        </w:rPr>
      </w:pPr>
      <w:r w:rsidRPr="00FB33BE">
        <w:rPr>
          <w:rFonts w:cs="David"/>
          <w:b/>
          <w:bCs/>
        </w:rPr>
        <w:t>The impact of a change in the interest rate on the banks’ margins in various situations</w:t>
      </w:r>
    </w:p>
    <w:p w14:paraId="7D6FCE36" w14:textId="77777777" w:rsidR="009F2D5F" w:rsidRDefault="009F2D5F" w:rsidP="00E43E47">
      <w:pPr>
        <w:tabs>
          <w:tab w:val="center" w:pos="4156"/>
          <w:tab w:val="right" w:pos="8312"/>
        </w:tabs>
        <w:bidi w:val="0"/>
        <w:jc w:val="both"/>
        <w:rPr>
          <w:rFonts w:cs="David"/>
        </w:rPr>
      </w:pPr>
    </w:p>
    <w:tbl>
      <w:tblPr>
        <w:tblStyle w:val="a5"/>
        <w:tblW w:w="8455" w:type="dxa"/>
        <w:tblLook w:val="04A0" w:firstRow="1" w:lastRow="0" w:firstColumn="1" w:lastColumn="0" w:noHBand="0" w:noVBand="1"/>
      </w:tblPr>
      <w:tblGrid>
        <w:gridCol w:w="3516"/>
        <w:gridCol w:w="2543"/>
        <w:gridCol w:w="2396"/>
      </w:tblGrid>
      <w:tr w:rsidR="0087045F" w14:paraId="2FE59898" w14:textId="77777777" w:rsidTr="00EE007C">
        <w:tc>
          <w:tcPr>
            <w:tcW w:w="3516" w:type="dxa"/>
          </w:tcPr>
          <w:p w14:paraId="4546DCAA" w14:textId="77777777" w:rsidR="0087045F" w:rsidRDefault="0087045F" w:rsidP="00E43E47">
            <w:pPr>
              <w:tabs>
                <w:tab w:val="center" w:pos="4156"/>
                <w:tab w:val="right" w:pos="8312"/>
              </w:tabs>
              <w:bidi w:val="0"/>
              <w:jc w:val="both"/>
              <w:rPr>
                <w:rFonts w:cs="David"/>
              </w:rPr>
            </w:pPr>
          </w:p>
        </w:tc>
        <w:tc>
          <w:tcPr>
            <w:tcW w:w="2543" w:type="dxa"/>
          </w:tcPr>
          <w:p w14:paraId="4A8C37A7" w14:textId="77777777" w:rsidR="0087045F" w:rsidRPr="00EE007C" w:rsidRDefault="0087045F" w:rsidP="00E43E47">
            <w:pPr>
              <w:tabs>
                <w:tab w:val="center" w:pos="4156"/>
                <w:tab w:val="right" w:pos="8312"/>
              </w:tabs>
              <w:bidi w:val="0"/>
              <w:jc w:val="both"/>
              <w:rPr>
                <w:rFonts w:cs="David"/>
                <w:b/>
                <w:bCs/>
              </w:rPr>
            </w:pPr>
            <w:r w:rsidRPr="00EE007C">
              <w:rPr>
                <w:rFonts w:cs="David"/>
                <w:b/>
                <w:bCs/>
              </w:rPr>
              <w:t>Concentrated market</w:t>
            </w:r>
          </w:p>
        </w:tc>
        <w:tc>
          <w:tcPr>
            <w:tcW w:w="2396" w:type="dxa"/>
          </w:tcPr>
          <w:p w14:paraId="003FEFF7" w14:textId="77777777" w:rsidR="0087045F" w:rsidRPr="00EE007C" w:rsidRDefault="0087045F" w:rsidP="00E43E47">
            <w:pPr>
              <w:tabs>
                <w:tab w:val="center" w:pos="4156"/>
                <w:tab w:val="right" w:pos="8312"/>
              </w:tabs>
              <w:bidi w:val="0"/>
              <w:jc w:val="both"/>
              <w:rPr>
                <w:rFonts w:cs="David"/>
                <w:b/>
                <w:bCs/>
              </w:rPr>
            </w:pPr>
            <w:r w:rsidRPr="00EE007C">
              <w:rPr>
                <w:rFonts w:cs="David"/>
                <w:b/>
                <w:bCs/>
              </w:rPr>
              <w:t>Competitive market</w:t>
            </w:r>
          </w:p>
        </w:tc>
      </w:tr>
      <w:tr w:rsidR="0087045F" w14:paraId="1BE668D3" w14:textId="77777777" w:rsidTr="00EE007C">
        <w:tc>
          <w:tcPr>
            <w:tcW w:w="3516" w:type="dxa"/>
          </w:tcPr>
          <w:p w14:paraId="161BCC19" w14:textId="77777777" w:rsidR="0087045F" w:rsidRPr="00EE007C" w:rsidRDefault="0087045F" w:rsidP="00E43E47">
            <w:pPr>
              <w:tabs>
                <w:tab w:val="center" w:pos="4156"/>
                <w:tab w:val="right" w:pos="8312"/>
              </w:tabs>
              <w:bidi w:val="0"/>
              <w:jc w:val="both"/>
              <w:rPr>
                <w:rFonts w:cs="David"/>
                <w:b/>
                <w:bCs/>
              </w:rPr>
            </w:pPr>
            <w:r w:rsidRPr="00EE007C">
              <w:rPr>
                <w:rFonts w:cs="David"/>
                <w:b/>
                <w:bCs/>
              </w:rPr>
              <w:t>High interest rate environment</w:t>
            </w:r>
          </w:p>
        </w:tc>
        <w:tc>
          <w:tcPr>
            <w:tcW w:w="2543" w:type="dxa"/>
          </w:tcPr>
          <w:p w14:paraId="4371AAE1" w14:textId="77777777" w:rsidR="0087045F" w:rsidRDefault="0087045F" w:rsidP="00E43E47">
            <w:pPr>
              <w:tabs>
                <w:tab w:val="center" w:pos="4156"/>
                <w:tab w:val="right" w:pos="8312"/>
              </w:tabs>
              <w:bidi w:val="0"/>
              <w:jc w:val="both"/>
              <w:rPr>
                <w:rFonts w:cs="David"/>
              </w:rPr>
            </w:pPr>
            <w:r>
              <w:rPr>
                <w:rFonts w:cs="David"/>
              </w:rPr>
              <w:t>0.0</w:t>
            </w:r>
          </w:p>
        </w:tc>
        <w:tc>
          <w:tcPr>
            <w:tcW w:w="2396" w:type="dxa"/>
          </w:tcPr>
          <w:p w14:paraId="7AB564BC" w14:textId="77777777" w:rsidR="0087045F" w:rsidRDefault="0087045F" w:rsidP="00E43E47">
            <w:pPr>
              <w:tabs>
                <w:tab w:val="center" w:pos="4156"/>
                <w:tab w:val="right" w:pos="8312"/>
              </w:tabs>
              <w:bidi w:val="0"/>
              <w:jc w:val="both"/>
              <w:rPr>
                <w:rFonts w:cs="David"/>
              </w:rPr>
            </w:pPr>
            <w:r>
              <w:rPr>
                <w:rFonts w:cs="David"/>
              </w:rPr>
              <w:t>0.07</w:t>
            </w:r>
          </w:p>
        </w:tc>
      </w:tr>
      <w:tr w:rsidR="0087045F" w14:paraId="49FEEE8A" w14:textId="77777777" w:rsidTr="00EE007C">
        <w:tc>
          <w:tcPr>
            <w:tcW w:w="3516" w:type="dxa"/>
          </w:tcPr>
          <w:p w14:paraId="7150291C" w14:textId="77777777" w:rsidR="0087045F" w:rsidRPr="00EE007C" w:rsidRDefault="0087045F" w:rsidP="00E43E47">
            <w:pPr>
              <w:tabs>
                <w:tab w:val="center" w:pos="4156"/>
                <w:tab w:val="right" w:pos="8312"/>
              </w:tabs>
              <w:bidi w:val="0"/>
              <w:jc w:val="both"/>
              <w:rPr>
                <w:rFonts w:cs="David"/>
                <w:b/>
                <w:bCs/>
              </w:rPr>
            </w:pPr>
            <w:r w:rsidRPr="00EE007C">
              <w:rPr>
                <w:rFonts w:cs="David"/>
                <w:b/>
                <w:bCs/>
              </w:rPr>
              <w:t>Low interest rate environment</w:t>
            </w:r>
          </w:p>
        </w:tc>
        <w:tc>
          <w:tcPr>
            <w:tcW w:w="2543" w:type="dxa"/>
          </w:tcPr>
          <w:p w14:paraId="2B461BCC" w14:textId="77777777" w:rsidR="0087045F" w:rsidRDefault="0087045F" w:rsidP="00E43E47">
            <w:pPr>
              <w:tabs>
                <w:tab w:val="center" w:pos="4156"/>
                <w:tab w:val="right" w:pos="8312"/>
              </w:tabs>
              <w:bidi w:val="0"/>
              <w:jc w:val="both"/>
              <w:rPr>
                <w:rFonts w:cs="David"/>
              </w:rPr>
            </w:pPr>
            <w:r>
              <w:rPr>
                <w:rFonts w:cs="David"/>
              </w:rPr>
              <w:t>0.10</w:t>
            </w:r>
          </w:p>
        </w:tc>
        <w:tc>
          <w:tcPr>
            <w:tcW w:w="2396" w:type="dxa"/>
          </w:tcPr>
          <w:p w14:paraId="3BA52811" w14:textId="77777777" w:rsidR="0087045F" w:rsidRDefault="0087045F" w:rsidP="00E43E47">
            <w:pPr>
              <w:tabs>
                <w:tab w:val="center" w:pos="4156"/>
                <w:tab w:val="right" w:pos="8312"/>
              </w:tabs>
              <w:bidi w:val="0"/>
              <w:jc w:val="both"/>
              <w:rPr>
                <w:rFonts w:cs="David"/>
              </w:rPr>
            </w:pPr>
            <w:r>
              <w:rPr>
                <w:rFonts w:cs="David"/>
              </w:rPr>
              <w:t>0.17</w:t>
            </w:r>
          </w:p>
        </w:tc>
      </w:tr>
    </w:tbl>
    <w:p w14:paraId="54120038" w14:textId="77777777" w:rsidR="0087045F" w:rsidRDefault="0087045F" w:rsidP="00E43E47">
      <w:pPr>
        <w:tabs>
          <w:tab w:val="center" w:pos="4156"/>
          <w:tab w:val="right" w:pos="8312"/>
        </w:tabs>
        <w:bidi w:val="0"/>
        <w:jc w:val="both"/>
        <w:rPr>
          <w:rFonts w:cs="David"/>
        </w:rPr>
      </w:pPr>
    </w:p>
    <w:p w14:paraId="519F4740" w14:textId="77777777" w:rsidR="003E373C" w:rsidRDefault="003E373C" w:rsidP="000A2CD1">
      <w:pPr>
        <w:tabs>
          <w:tab w:val="center" w:pos="4156"/>
          <w:tab w:val="right" w:pos="8312"/>
        </w:tabs>
        <w:bidi w:val="0"/>
        <w:jc w:val="both"/>
        <w:rPr>
          <w:rFonts w:cs="David"/>
        </w:rPr>
      </w:pPr>
      <w:r>
        <w:rPr>
          <w:rFonts w:cs="David"/>
        </w:rPr>
        <w:t xml:space="preserve">The researchers also examined the impact of low interest rates over time and found that the impact of a low interest rate on interest rate margins depends on the amount of time in which it remains there, although based on the results of the research, the impact increased only up to a specific point—about 4 years to 6 years. </w:t>
      </w:r>
      <w:r w:rsidR="007D21FC">
        <w:rPr>
          <w:rFonts w:cs="David"/>
        </w:rPr>
        <w:t xml:space="preserve">The reason may be </w:t>
      </w:r>
      <w:r>
        <w:rPr>
          <w:rFonts w:cs="David"/>
        </w:rPr>
        <w:t>that over time</w:t>
      </w:r>
      <w:r w:rsidR="000A2CD1">
        <w:rPr>
          <w:rFonts w:cs="David"/>
        </w:rPr>
        <w:t xml:space="preserve"> </w:t>
      </w:r>
      <w:r>
        <w:rPr>
          <w:rFonts w:cs="David"/>
        </w:rPr>
        <w:t>the banks learn to adjust their income and expenses structure to the low interest rate envi</w:t>
      </w:r>
      <w:r w:rsidR="00BC1534">
        <w:rPr>
          <w:rFonts w:cs="David"/>
        </w:rPr>
        <w:t xml:space="preserve">ronment, for example by reducing the share of deposits in </w:t>
      </w:r>
      <w:r w:rsidR="00890EC8">
        <w:rPr>
          <w:rFonts w:cs="David"/>
        </w:rPr>
        <w:t xml:space="preserve">the financing sources for extending credit. However, based on the estimation, banks in countries with a more competitive banking system are more sensitive to the length of the period for which interest rates are low, while banks in countries with more concentrated banking systems are </w:t>
      </w:r>
      <w:r w:rsidR="000A2CD1">
        <w:rPr>
          <w:rFonts w:cs="David"/>
        </w:rPr>
        <w:t>almost</w:t>
      </w:r>
      <w:r w:rsidR="00890EC8">
        <w:rPr>
          <w:rFonts w:cs="David"/>
        </w:rPr>
        <w:t xml:space="preserve"> not impacted </w:t>
      </w:r>
      <w:r w:rsidR="000A2CD1">
        <w:rPr>
          <w:rFonts w:cs="David"/>
        </w:rPr>
        <w:t xml:space="preserve">at all </w:t>
      </w:r>
      <w:r w:rsidR="00890EC8">
        <w:rPr>
          <w:rFonts w:cs="David"/>
        </w:rPr>
        <w:t>by long periods of low interest rates.</w:t>
      </w:r>
    </w:p>
    <w:sectPr w:rsidR="003E373C" w:rsidSect="00D114C9">
      <w:headerReference w:type="even" r:id="rId10"/>
      <w:headerReference w:type="default" r:id="rId11"/>
      <w:footerReference w:type="even" r:id="rId12"/>
      <w:footerReference w:type="default" r:id="rId13"/>
      <w:headerReference w:type="first" r:id="rId14"/>
      <w:footerReference w:type="first" r:id="rId15"/>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130C" w14:textId="77777777" w:rsidR="00CA5D24" w:rsidRDefault="00CA5D24" w:rsidP="00E64B36">
      <w:r>
        <w:separator/>
      </w:r>
    </w:p>
  </w:endnote>
  <w:endnote w:type="continuationSeparator" w:id="0">
    <w:p w14:paraId="34F43F3D" w14:textId="77777777" w:rsidR="00CA5D24" w:rsidRDefault="00CA5D2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860F" w14:textId="77777777"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AB655" w14:textId="23EAC4C7"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D7403D">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D7403D">
      <w:rPr>
        <w:b/>
        <w:bCs/>
        <w:noProof/>
        <w:sz w:val="18"/>
        <w:szCs w:val="18"/>
      </w:rPr>
      <w:t>3</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657A" w14:textId="77777777"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2A336" w14:textId="77777777" w:rsidR="00CA5D24" w:rsidRDefault="00CA5D24" w:rsidP="00E64B36">
      <w:r>
        <w:separator/>
      </w:r>
    </w:p>
  </w:footnote>
  <w:footnote w:type="continuationSeparator" w:id="0">
    <w:p w14:paraId="48811C1D" w14:textId="77777777" w:rsidR="00CA5D24" w:rsidRDefault="00CA5D24"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FE15D" w14:textId="77777777"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AFE5" w14:textId="77777777"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1DA0B" w14:textId="77777777"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17E52"/>
    <w:multiLevelType w:val="hybridMultilevel"/>
    <w:tmpl w:val="E4D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33FD2"/>
    <w:rsid w:val="00051247"/>
    <w:rsid w:val="000526A0"/>
    <w:rsid w:val="0005726E"/>
    <w:rsid w:val="00065D9C"/>
    <w:rsid w:val="00091827"/>
    <w:rsid w:val="00094743"/>
    <w:rsid w:val="000A2CD1"/>
    <w:rsid w:val="000A520E"/>
    <w:rsid w:val="000C710C"/>
    <w:rsid w:val="000D1985"/>
    <w:rsid w:val="000E156F"/>
    <w:rsid w:val="000F48F6"/>
    <w:rsid w:val="000F4BF2"/>
    <w:rsid w:val="001001A2"/>
    <w:rsid w:val="00101B55"/>
    <w:rsid w:val="00120D90"/>
    <w:rsid w:val="00123B8D"/>
    <w:rsid w:val="00130245"/>
    <w:rsid w:val="001428C4"/>
    <w:rsid w:val="00143F3A"/>
    <w:rsid w:val="00151D84"/>
    <w:rsid w:val="00160B25"/>
    <w:rsid w:val="00162F5E"/>
    <w:rsid w:val="00165CB6"/>
    <w:rsid w:val="00175CDA"/>
    <w:rsid w:val="001815E1"/>
    <w:rsid w:val="00182CF0"/>
    <w:rsid w:val="00190E30"/>
    <w:rsid w:val="001963C6"/>
    <w:rsid w:val="001A4816"/>
    <w:rsid w:val="001B4E73"/>
    <w:rsid w:val="001C1BC1"/>
    <w:rsid w:val="001C388F"/>
    <w:rsid w:val="001C71E8"/>
    <w:rsid w:val="001D381C"/>
    <w:rsid w:val="001E3553"/>
    <w:rsid w:val="001F57DE"/>
    <w:rsid w:val="00202E77"/>
    <w:rsid w:val="002117DC"/>
    <w:rsid w:val="0021327F"/>
    <w:rsid w:val="002235F5"/>
    <w:rsid w:val="002271A2"/>
    <w:rsid w:val="0022784C"/>
    <w:rsid w:val="00236974"/>
    <w:rsid w:val="00237CE5"/>
    <w:rsid w:val="00247387"/>
    <w:rsid w:val="00252C62"/>
    <w:rsid w:val="00266D1D"/>
    <w:rsid w:val="00273237"/>
    <w:rsid w:val="00273AE1"/>
    <w:rsid w:val="00281C70"/>
    <w:rsid w:val="00283FB7"/>
    <w:rsid w:val="0029640A"/>
    <w:rsid w:val="00297100"/>
    <w:rsid w:val="002A0D2A"/>
    <w:rsid w:val="002B48CC"/>
    <w:rsid w:val="002C6A25"/>
    <w:rsid w:val="002D2F36"/>
    <w:rsid w:val="002E5D75"/>
    <w:rsid w:val="002F4149"/>
    <w:rsid w:val="002F7E25"/>
    <w:rsid w:val="002F7EEF"/>
    <w:rsid w:val="0030279B"/>
    <w:rsid w:val="003129D6"/>
    <w:rsid w:val="003136EE"/>
    <w:rsid w:val="00321832"/>
    <w:rsid w:val="00322C28"/>
    <w:rsid w:val="00323319"/>
    <w:rsid w:val="003276ED"/>
    <w:rsid w:val="003365E0"/>
    <w:rsid w:val="00344E60"/>
    <w:rsid w:val="00360B5C"/>
    <w:rsid w:val="00364AF8"/>
    <w:rsid w:val="00364C08"/>
    <w:rsid w:val="003727EE"/>
    <w:rsid w:val="00375972"/>
    <w:rsid w:val="003772AF"/>
    <w:rsid w:val="00385CB3"/>
    <w:rsid w:val="00387840"/>
    <w:rsid w:val="0039059D"/>
    <w:rsid w:val="00390CA5"/>
    <w:rsid w:val="003A1AC9"/>
    <w:rsid w:val="003A335C"/>
    <w:rsid w:val="003A3813"/>
    <w:rsid w:val="003B715F"/>
    <w:rsid w:val="003B7DC3"/>
    <w:rsid w:val="003C070E"/>
    <w:rsid w:val="003C6CEE"/>
    <w:rsid w:val="003C7815"/>
    <w:rsid w:val="003D6F31"/>
    <w:rsid w:val="003D7860"/>
    <w:rsid w:val="003D7BF1"/>
    <w:rsid w:val="003E373C"/>
    <w:rsid w:val="003E38F2"/>
    <w:rsid w:val="003E3F4C"/>
    <w:rsid w:val="003F745D"/>
    <w:rsid w:val="00401395"/>
    <w:rsid w:val="004033B8"/>
    <w:rsid w:val="00403D99"/>
    <w:rsid w:val="00411BA4"/>
    <w:rsid w:val="00412846"/>
    <w:rsid w:val="00413339"/>
    <w:rsid w:val="004147FC"/>
    <w:rsid w:val="0042309E"/>
    <w:rsid w:val="00430365"/>
    <w:rsid w:val="004309C6"/>
    <w:rsid w:val="0043214C"/>
    <w:rsid w:val="00440998"/>
    <w:rsid w:val="00443044"/>
    <w:rsid w:val="00445B15"/>
    <w:rsid w:val="00447E5A"/>
    <w:rsid w:val="00460325"/>
    <w:rsid w:val="0046455D"/>
    <w:rsid w:val="0046672E"/>
    <w:rsid w:val="00474107"/>
    <w:rsid w:val="00482E08"/>
    <w:rsid w:val="0049190B"/>
    <w:rsid w:val="00492391"/>
    <w:rsid w:val="004A20A5"/>
    <w:rsid w:val="004D02F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D0AF8"/>
    <w:rsid w:val="005F3A83"/>
    <w:rsid w:val="005F3E47"/>
    <w:rsid w:val="005F45A6"/>
    <w:rsid w:val="0060215A"/>
    <w:rsid w:val="0061692C"/>
    <w:rsid w:val="006216F9"/>
    <w:rsid w:val="006217BF"/>
    <w:rsid w:val="00621BB5"/>
    <w:rsid w:val="0062658F"/>
    <w:rsid w:val="00635F0B"/>
    <w:rsid w:val="00640EEA"/>
    <w:rsid w:val="00642C84"/>
    <w:rsid w:val="0064482B"/>
    <w:rsid w:val="00652D53"/>
    <w:rsid w:val="00662FB1"/>
    <w:rsid w:val="0066690E"/>
    <w:rsid w:val="00674AD6"/>
    <w:rsid w:val="0067516F"/>
    <w:rsid w:val="006832D0"/>
    <w:rsid w:val="006A36CC"/>
    <w:rsid w:val="006A66C5"/>
    <w:rsid w:val="006B029C"/>
    <w:rsid w:val="006B1D80"/>
    <w:rsid w:val="006B1D8B"/>
    <w:rsid w:val="006B4683"/>
    <w:rsid w:val="006B679C"/>
    <w:rsid w:val="006C714C"/>
    <w:rsid w:val="006D3582"/>
    <w:rsid w:val="006D7651"/>
    <w:rsid w:val="006E1B6A"/>
    <w:rsid w:val="0070010B"/>
    <w:rsid w:val="0070029F"/>
    <w:rsid w:val="00701734"/>
    <w:rsid w:val="00721560"/>
    <w:rsid w:val="00726036"/>
    <w:rsid w:val="0074341E"/>
    <w:rsid w:val="00751F08"/>
    <w:rsid w:val="00760371"/>
    <w:rsid w:val="007666A8"/>
    <w:rsid w:val="0077587C"/>
    <w:rsid w:val="00776535"/>
    <w:rsid w:val="007806C5"/>
    <w:rsid w:val="00786563"/>
    <w:rsid w:val="00787142"/>
    <w:rsid w:val="007926C7"/>
    <w:rsid w:val="00793399"/>
    <w:rsid w:val="007A2030"/>
    <w:rsid w:val="007A589B"/>
    <w:rsid w:val="007A64CC"/>
    <w:rsid w:val="007B2769"/>
    <w:rsid w:val="007C6400"/>
    <w:rsid w:val="007D21FC"/>
    <w:rsid w:val="007D57EE"/>
    <w:rsid w:val="007D7F8C"/>
    <w:rsid w:val="007E0C1F"/>
    <w:rsid w:val="007E1CB3"/>
    <w:rsid w:val="007F7993"/>
    <w:rsid w:val="0081026B"/>
    <w:rsid w:val="008403F1"/>
    <w:rsid w:val="00842057"/>
    <w:rsid w:val="00842BAF"/>
    <w:rsid w:val="0086005B"/>
    <w:rsid w:val="00864C55"/>
    <w:rsid w:val="0086637C"/>
    <w:rsid w:val="0087045F"/>
    <w:rsid w:val="00884167"/>
    <w:rsid w:val="00890EC8"/>
    <w:rsid w:val="008914B1"/>
    <w:rsid w:val="00892A46"/>
    <w:rsid w:val="008A7212"/>
    <w:rsid w:val="008A7571"/>
    <w:rsid w:val="008B2431"/>
    <w:rsid w:val="008B257A"/>
    <w:rsid w:val="008C082F"/>
    <w:rsid w:val="008C366C"/>
    <w:rsid w:val="008D2E8D"/>
    <w:rsid w:val="008D390B"/>
    <w:rsid w:val="008D6FB6"/>
    <w:rsid w:val="008E38F1"/>
    <w:rsid w:val="008E4D8E"/>
    <w:rsid w:val="008F1FCF"/>
    <w:rsid w:val="00900453"/>
    <w:rsid w:val="00904100"/>
    <w:rsid w:val="0090462E"/>
    <w:rsid w:val="00905463"/>
    <w:rsid w:val="0091307F"/>
    <w:rsid w:val="00933EF4"/>
    <w:rsid w:val="0093574D"/>
    <w:rsid w:val="00950326"/>
    <w:rsid w:val="00956101"/>
    <w:rsid w:val="00961BD6"/>
    <w:rsid w:val="0097278E"/>
    <w:rsid w:val="009744A0"/>
    <w:rsid w:val="00976781"/>
    <w:rsid w:val="00986270"/>
    <w:rsid w:val="009B166B"/>
    <w:rsid w:val="009B66C8"/>
    <w:rsid w:val="009C21B3"/>
    <w:rsid w:val="009C2C42"/>
    <w:rsid w:val="009E28FB"/>
    <w:rsid w:val="009E3D4E"/>
    <w:rsid w:val="009E6A28"/>
    <w:rsid w:val="009F010F"/>
    <w:rsid w:val="009F1F92"/>
    <w:rsid w:val="009F2D5F"/>
    <w:rsid w:val="009F5B67"/>
    <w:rsid w:val="00A117D2"/>
    <w:rsid w:val="00A17420"/>
    <w:rsid w:val="00A239A7"/>
    <w:rsid w:val="00A374AC"/>
    <w:rsid w:val="00A37869"/>
    <w:rsid w:val="00A44A88"/>
    <w:rsid w:val="00A6526A"/>
    <w:rsid w:val="00A72122"/>
    <w:rsid w:val="00A74752"/>
    <w:rsid w:val="00A749E1"/>
    <w:rsid w:val="00A81B6C"/>
    <w:rsid w:val="00A94775"/>
    <w:rsid w:val="00AB75B4"/>
    <w:rsid w:val="00AC74EC"/>
    <w:rsid w:val="00AD1DFD"/>
    <w:rsid w:val="00AD7CC8"/>
    <w:rsid w:val="00AE6E25"/>
    <w:rsid w:val="00AF19F3"/>
    <w:rsid w:val="00AF6B3A"/>
    <w:rsid w:val="00B00DE9"/>
    <w:rsid w:val="00B05017"/>
    <w:rsid w:val="00B054AD"/>
    <w:rsid w:val="00B108AE"/>
    <w:rsid w:val="00B13C9D"/>
    <w:rsid w:val="00B2426C"/>
    <w:rsid w:val="00B40E49"/>
    <w:rsid w:val="00B533D5"/>
    <w:rsid w:val="00B54F09"/>
    <w:rsid w:val="00B71972"/>
    <w:rsid w:val="00B84789"/>
    <w:rsid w:val="00B85769"/>
    <w:rsid w:val="00B87F00"/>
    <w:rsid w:val="00B9176B"/>
    <w:rsid w:val="00B96022"/>
    <w:rsid w:val="00BC113A"/>
    <w:rsid w:val="00BC1534"/>
    <w:rsid w:val="00BC4DF7"/>
    <w:rsid w:val="00BC71FF"/>
    <w:rsid w:val="00BD0FFD"/>
    <w:rsid w:val="00BE27B4"/>
    <w:rsid w:val="00BE4CAF"/>
    <w:rsid w:val="00BE52BF"/>
    <w:rsid w:val="00C00BB8"/>
    <w:rsid w:val="00C02233"/>
    <w:rsid w:val="00C05BED"/>
    <w:rsid w:val="00C106C2"/>
    <w:rsid w:val="00C15121"/>
    <w:rsid w:val="00C16BDE"/>
    <w:rsid w:val="00C171FF"/>
    <w:rsid w:val="00C21009"/>
    <w:rsid w:val="00C21363"/>
    <w:rsid w:val="00C37129"/>
    <w:rsid w:val="00C47A56"/>
    <w:rsid w:val="00C52224"/>
    <w:rsid w:val="00C52FC2"/>
    <w:rsid w:val="00C67CE0"/>
    <w:rsid w:val="00C74F11"/>
    <w:rsid w:val="00C7643D"/>
    <w:rsid w:val="00C76E10"/>
    <w:rsid w:val="00CA5D24"/>
    <w:rsid w:val="00CB5D78"/>
    <w:rsid w:val="00CC58F8"/>
    <w:rsid w:val="00CD0A35"/>
    <w:rsid w:val="00CD5F91"/>
    <w:rsid w:val="00CD6927"/>
    <w:rsid w:val="00CE0B40"/>
    <w:rsid w:val="00D00E96"/>
    <w:rsid w:val="00D040A2"/>
    <w:rsid w:val="00D06E9A"/>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403D"/>
    <w:rsid w:val="00D75CFB"/>
    <w:rsid w:val="00D77847"/>
    <w:rsid w:val="00D907A2"/>
    <w:rsid w:val="00DA494E"/>
    <w:rsid w:val="00DA6116"/>
    <w:rsid w:val="00DB75EA"/>
    <w:rsid w:val="00DD195D"/>
    <w:rsid w:val="00DD4976"/>
    <w:rsid w:val="00DE01A0"/>
    <w:rsid w:val="00DE0699"/>
    <w:rsid w:val="00DF4CC2"/>
    <w:rsid w:val="00DF6966"/>
    <w:rsid w:val="00E04222"/>
    <w:rsid w:val="00E0503C"/>
    <w:rsid w:val="00E1281F"/>
    <w:rsid w:val="00E2493A"/>
    <w:rsid w:val="00E369B9"/>
    <w:rsid w:val="00E4365F"/>
    <w:rsid w:val="00E43E47"/>
    <w:rsid w:val="00E50F50"/>
    <w:rsid w:val="00E51E99"/>
    <w:rsid w:val="00E64B36"/>
    <w:rsid w:val="00E660F1"/>
    <w:rsid w:val="00E7204F"/>
    <w:rsid w:val="00E74DBF"/>
    <w:rsid w:val="00E8008F"/>
    <w:rsid w:val="00E8413B"/>
    <w:rsid w:val="00E85DB1"/>
    <w:rsid w:val="00E9572A"/>
    <w:rsid w:val="00EA501E"/>
    <w:rsid w:val="00EB0782"/>
    <w:rsid w:val="00EB0DEC"/>
    <w:rsid w:val="00EB44F5"/>
    <w:rsid w:val="00EB669A"/>
    <w:rsid w:val="00EC126C"/>
    <w:rsid w:val="00EC13FB"/>
    <w:rsid w:val="00EC48D4"/>
    <w:rsid w:val="00EC7EAB"/>
    <w:rsid w:val="00ED1CA6"/>
    <w:rsid w:val="00ED5226"/>
    <w:rsid w:val="00EE007C"/>
    <w:rsid w:val="00EE2AA0"/>
    <w:rsid w:val="00EE3596"/>
    <w:rsid w:val="00EF0C2C"/>
    <w:rsid w:val="00EF1554"/>
    <w:rsid w:val="00EF1AC2"/>
    <w:rsid w:val="00F033FC"/>
    <w:rsid w:val="00F15E93"/>
    <w:rsid w:val="00F22BAC"/>
    <w:rsid w:val="00F45181"/>
    <w:rsid w:val="00F45972"/>
    <w:rsid w:val="00F53236"/>
    <w:rsid w:val="00F56917"/>
    <w:rsid w:val="00F576F6"/>
    <w:rsid w:val="00F806F6"/>
    <w:rsid w:val="00FA13BA"/>
    <w:rsid w:val="00FA24FB"/>
    <w:rsid w:val="00FA4548"/>
    <w:rsid w:val="00FA75FF"/>
    <w:rsid w:val="00FB33BE"/>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8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character" w:styleId="ae">
    <w:name w:val="annotation reference"/>
    <w:basedOn w:val="a0"/>
    <w:semiHidden/>
    <w:unhideWhenUsed/>
    <w:rsid w:val="009F1F92"/>
    <w:rPr>
      <w:sz w:val="16"/>
      <w:szCs w:val="16"/>
    </w:rPr>
  </w:style>
  <w:style w:type="paragraph" w:styleId="af">
    <w:name w:val="annotation text"/>
    <w:basedOn w:val="a"/>
    <w:link w:val="af0"/>
    <w:semiHidden/>
    <w:unhideWhenUsed/>
    <w:rsid w:val="009F1F92"/>
    <w:rPr>
      <w:sz w:val="20"/>
      <w:szCs w:val="20"/>
    </w:rPr>
  </w:style>
  <w:style w:type="character" w:customStyle="1" w:styleId="af0">
    <w:name w:val="טקסט הערה תו"/>
    <w:basedOn w:val="a0"/>
    <w:link w:val="af"/>
    <w:semiHidden/>
    <w:rsid w:val="009F1F92"/>
  </w:style>
  <w:style w:type="paragraph" w:styleId="af1">
    <w:name w:val="annotation subject"/>
    <w:basedOn w:val="af"/>
    <w:next w:val="af"/>
    <w:link w:val="af2"/>
    <w:semiHidden/>
    <w:unhideWhenUsed/>
    <w:rsid w:val="009F1F92"/>
    <w:rPr>
      <w:b/>
      <w:bCs/>
    </w:rPr>
  </w:style>
  <w:style w:type="character" w:customStyle="1" w:styleId="af2">
    <w:name w:val="נושא הערה תו"/>
    <w:basedOn w:val="af0"/>
    <w:link w:val="af1"/>
    <w:semiHidden/>
    <w:rsid w:val="009F1F92"/>
    <w:rPr>
      <w:b/>
      <w:bCs/>
    </w:rPr>
  </w:style>
  <w:style w:type="paragraph" w:customStyle="1" w:styleId="Default">
    <w:name w:val="Default"/>
    <w:rsid w:val="0037597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FB557C04-ECF3-4886-9EDF-B71498A8B902}"/>
</file>

<file path=customXml/itemProps2.xml><?xml version="1.0" encoding="utf-8"?>
<ds:datastoreItem xmlns:ds="http://schemas.openxmlformats.org/officeDocument/2006/customXml" ds:itemID="{290DA796-69E9-41F5-8D45-2A71DFB94A79}"/>
</file>

<file path=customXml/itemProps3.xml><?xml version="1.0" encoding="utf-8"?>
<ds:datastoreItem xmlns:ds="http://schemas.openxmlformats.org/officeDocument/2006/customXml" ds:itemID="{6D9B1DFD-6B3B-4DBD-B1E8-82A4CE3AF090}"/>
</file>

<file path=customXml/itemProps4.xml><?xml version="1.0" encoding="utf-8"?>
<ds:datastoreItem xmlns:ds="http://schemas.openxmlformats.org/officeDocument/2006/customXml" ds:itemID="{CEA9A925-0B45-47C4-A391-C705E715A28A}"/>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5915</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7083</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2021-10-26T06:44:00Z</dcterms:created>
  <dcterms:modified xsi:type="dcterms:W3CDTF">2021-10-26T13:19:00Z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