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Y="916"/>
        <w:bidiVisual/>
        <w:tblW w:w="0" w:type="auto"/>
        <w:tblLayout w:type="fixed"/>
        <w:tblLook w:val="0000" w:firstRow="0" w:lastRow="0" w:firstColumn="0" w:lastColumn="0" w:noHBand="0" w:noVBand="0"/>
        <w:tblCaption w:val="כותרת"/>
        <w:tblDescription w:val="כותרת"/>
      </w:tblPr>
      <w:tblGrid>
        <w:gridCol w:w="3343"/>
        <w:gridCol w:w="2596"/>
        <w:gridCol w:w="3591"/>
      </w:tblGrid>
      <w:tr w:rsidR="00917C6D" w:rsidRPr="0086400E" w:rsidTr="000D1589">
        <w:tc>
          <w:tcPr>
            <w:tcW w:w="3343" w:type="dxa"/>
            <w:tcBorders>
              <w:top w:val="nil"/>
              <w:left w:val="nil"/>
              <w:bottom w:val="nil"/>
              <w:right w:val="nil"/>
            </w:tcBorders>
            <w:vAlign w:val="center"/>
          </w:tcPr>
          <w:p w:rsidR="00917C6D" w:rsidRPr="0086400E" w:rsidRDefault="00917C6D" w:rsidP="005B0CF9">
            <w:pPr>
              <w:ind w:left="97"/>
              <w:rPr>
                <w:rFonts w:ascii="David" w:hAnsi="David" w:cs="David"/>
                <w:b/>
                <w:bCs/>
                <w:sz w:val="28"/>
                <w:szCs w:val="28"/>
              </w:rPr>
            </w:pPr>
            <w:bookmarkStart w:id="0" w:name="_GoBack"/>
            <w:bookmarkEnd w:id="0"/>
            <w:r w:rsidRPr="0086400E">
              <w:rPr>
                <w:rFonts w:ascii="David" w:hAnsi="David" w:cs="David"/>
                <w:b/>
                <w:bCs/>
                <w:sz w:val="28"/>
                <w:szCs w:val="28"/>
                <w:rtl/>
              </w:rPr>
              <w:t>בנק ישראל</w:t>
            </w:r>
          </w:p>
          <w:p w:rsidR="00917C6D" w:rsidRPr="0086400E" w:rsidRDefault="00917C6D" w:rsidP="005B0CF9">
            <w:pPr>
              <w:ind w:left="97" w:right="-101"/>
              <w:rPr>
                <w:rFonts w:ascii="David" w:hAnsi="David" w:cs="David"/>
              </w:rPr>
            </w:pPr>
            <w:r w:rsidRPr="0086400E">
              <w:rPr>
                <w:rFonts w:ascii="David" w:hAnsi="David" w:cs="David"/>
                <w:rtl/>
              </w:rPr>
              <w:t>דוברות והסברה כלכלית</w:t>
            </w:r>
          </w:p>
        </w:tc>
        <w:tc>
          <w:tcPr>
            <w:tcW w:w="2596" w:type="dxa"/>
            <w:tcBorders>
              <w:top w:val="nil"/>
              <w:left w:val="nil"/>
              <w:bottom w:val="nil"/>
              <w:right w:val="nil"/>
            </w:tcBorders>
            <w:shd w:val="clear" w:color="auto" w:fill="FFFFFF" w:themeFill="background1"/>
          </w:tcPr>
          <w:p w:rsidR="00917C6D" w:rsidRPr="0086400E" w:rsidRDefault="00917C6D" w:rsidP="005B0CF9">
            <w:pPr>
              <w:jc w:val="center"/>
              <w:rPr>
                <w:rFonts w:ascii="David" w:hAnsi="David" w:cs="David"/>
              </w:rPr>
            </w:pPr>
            <w:r w:rsidRPr="0086400E">
              <w:rPr>
                <w:rFonts w:ascii="David" w:hAnsi="David" w:cs="David"/>
                <w:noProof/>
              </w:rPr>
              <w:drawing>
                <wp:inline distT="0" distB="0" distL="0" distR="0" wp14:anchorId="7CA822C5" wp14:editId="594AD56D">
                  <wp:extent cx="707390" cy="707390"/>
                  <wp:effectExtent l="0" t="0" r="0" b="0"/>
                  <wp:docPr id="5" name="תמונה 5" descr="לוגו בנק ישראל" title="לוג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7390" cy="707390"/>
                          </a:xfrm>
                          <a:prstGeom prst="rect">
                            <a:avLst/>
                          </a:prstGeom>
                          <a:noFill/>
                        </pic:spPr>
                      </pic:pic>
                    </a:graphicData>
                  </a:graphic>
                </wp:inline>
              </w:drawing>
            </w:r>
          </w:p>
        </w:tc>
        <w:tc>
          <w:tcPr>
            <w:tcW w:w="3591" w:type="dxa"/>
            <w:tcBorders>
              <w:top w:val="nil"/>
              <w:left w:val="nil"/>
              <w:bottom w:val="nil"/>
              <w:right w:val="nil"/>
            </w:tcBorders>
            <w:vAlign w:val="center"/>
          </w:tcPr>
          <w:p w:rsidR="00917C6D" w:rsidRPr="0086400E" w:rsidRDefault="00917C6D" w:rsidP="00521CB3">
            <w:pPr>
              <w:jc w:val="right"/>
              <w:rPr>
                <w:rFonts w:ascii="David" w:hAnsi="David" w:cs="David"/>
              </w:rPr>
            </w:pPr>
            <w:r w:rsidRPr="0086400E">
              <w:rPr>
                <w:rFonts w:ascii="David" w:hAnsi="David" w:cs="David"/>
                <w:rtl/>
              </w:rPr>
              <w:t xml:space="preserve">‏ירושלים, </w:t>
            </w:r>
            <w:r w:rsidR="00AB2FEF">
              <w:rPr>
                <w:rFonts w:ascii="David" w:hAnsi="David" w:cs="David" w:hint="cs"/>
                <w:rtl/>
              </w:rPr>
              <w:t>ד</w:t>
            </w:r>
            <w:r w:rsidR="00521CB3">
              <w:rPr>
                <w:rFonts w:ascii="David" w:hAnsi="David" w:cs="David" w:hint="cs"/>
                <w:rtl/>
              </w:rPr>
              <w:t>'</w:t>
            </w:r>
            <w:r w:rsidR="008255BB">
              <w:rPr>
                <w:rFonts w:ascii="David" w:hAnsi="David" w:cs="David" w:hint="cs"/>
                <w:rtl/>
              </w:rPr>
              <w:t xml:space="preserve"> ב</w:t>
            </w:r>
            <w:r w:rsidR="00521CB3">
              <w:rPr>
                <w:rFonts w:ascii="David" w:hAnsi="David" w:cs="David" w:hint="cs"/>
                <w:rtl/>
              </w:rPr>
              <w:t>אלול</w:t>
            </w:r>
            <w:r w:rsidRPr="0086400E">
              <w:rPr>
                <w:rFonts w:ascii="David" w:hAnsi="David" w:cs="David"/>
                <w:rtl/>
              </w:rPr>
              <w:t xml:space="preserve">, </w:t>
            </w:r>
            <w:proofErr w:type="spellStart"/>
            <w:r w:rsidRPr="0086400E">
              <w:rPr>
                <w:rFonts w:ascii="David" w:hAnsi="David" w:cs="David"/>
                <w:rtl/>
              </w:rPr>
              <w:t>תש</w:t>
            </w:r>
            <w:r w:rsidR="008255BB">
              <w:rPr>
                <w:rFonts w:ascii="David" w:hAnsi="David" w:cs="David" w:hint="cs"/>
                <w:rtl/>
              </w:rPr>
              <w:t>"ף</w:t>
            </w:r>
            <w:proofErr w:type="spellEnd"/>
          </w:p>
          <w:p w:rsidR="00917C6D" w:rsidRPr="0086400E" w:rsidRDefault="00521CB3" w:rsidP="00521CB3">
            <w:pPr>
              <w:jc w:val="right"/>
              <w:rPr>
                <w:rFonts w:ascii="David" w:hAnsi="David" w:cs="David"/>
                <w:rtl/>
              </w:rPr>
            </w:pPr>
            <w:r>
              <w:rPr>
                <w:rFonts w:ascii="David" w:hAnsi="David" w:cs="David" w:hint="cs"/>
                <w:rtl/>
              </w:rPr>
              <w:t>24</w:t>
            </w:r>
            <w:r w:rsidR="00917C6D" w:rsidRPr="0086400E">
              <w:rPr>
                <w:rFonts w:ascii="David" w:hAnsi="David" w:cs="David"/>
                <w:rtl/>
              </w:rPr>
              <w:t xml:space="preserve"> </w:t>
            </w:r>
            <w:r>
              <w:rPr>
                <w:rFonts w:ascii="David" w:hAnsi="David" w:cs="David" w:hint="cs"/>
                <w:rtl/>
              </w:rPr>
              <w:t>באוגוסט</w:t>
            </w:r>
            <w:r w:rsidR="00917C6D" w:rsidRPr="0086400E">
              <w:rPr>
                <w:rFonts w:ascii="David" w:hAnsi="David" w:cs="David"/>
                <w:rtl/>
              </w:rPr>
              <w:t xml:space="preserve"> 20</w:t>
            </w:r>
            <w:r w:rsidR="00EC3A5A" w:rsidRPr="0086400E">
              <w:rPr>
                <w:rFonts w:ascii="David" w:hAnsi="David" w:cs="David"/>
                <w:rtl/>
              </w:rPr>
              <w:t>20</w:t>
            </w:r>
          </w:p>
        </w:tc>
      </w:tr>
    </w:tbl>
    <w:p w:rsidR="00917C6D" w:rsidRDefault="00917C6D" w:rsidP="005B0CF9">
      <w:pPr>
        <w:spacing w:before="120" w:after="240" w:line="240" w:lineRule="auto"/>
        <w:ind w:left="113"/>
        <w:rPr>
          <w:rFonts w:ascii="David" w:hAnsi="David" w:cs="David"/>
          <w:rtl/>
        </w:rPr>
      </w:pPr>
      <w:r w:rsidRPr="0086400E">
        <w:rPr>
          <w:rFonts w:ascii="David" w:hAnsi="David" w:cs="David"/>
          <w:rtl/>
        </w:rPr>
        <w:t xml:space="preserve">הודעה לעיתונות: </w:t>
      </w:r>
    </w:p>
    <w:p w:rsidR="00917C6D" w:rsidRPr="0086400E" w:rsidRDefault="00917C6D" w:rsidP="00521CB3">
      <w:pPr>
        <w:pStyle w:val="a6"/>
        <w:spacing w:after="0"/>
        <w:ind w:left="113"/>
        <w:rPr>
          <w:rFonts w:ascii="David" w:hAnsi="David" w:cs="David"/>
          <w:rtl/>
        </w:rPr>
      </w:pPr>
      <w:r w:rsidRPr="0086400E">
        <w:rPr>
          <w:rFonts w:ascii="David" w:hAnsi="David" w:cs="David"/>
          <w:rtl/>
        </w:rPr>
        <w:t xml:space="preserve">התחזית המקרו-כלכלית של חטיבת המחקר, </w:t>
      </w:r>
      <w:r w:rsidR="00521CB3">
        <w:rPr>
          <w:rFonts w:ascii="David" w:hAnsi="David" w:cs="David" w:hint="cs"/>
          <w:rtl/>
        </w:rPr>
        <w:t>אוגוסט</w:t>
      </w:r>
      <w:r w:rsidRPr="0086400E">
        <w:rPr>
          <w:rFonts w:ascii="David" w:hAnsi="David" w:cs="David"/>
          <w:rtl/>
        </w:rPr>
        <w:t xml:space="preserve"> 20</w:t>
      </w:r>
      <w:r w:rsidR="00EC3A5A" w:rsidRPr="0086400E">
        <w:rPr>
          <w:rFonts w:ascii="David" w:hAnsi="David" w:cs="David"/>
          <w:rtl/>
        </w:rPr>
        <w:t>20</w:t>
      </w:r>
    </w:p>
    <w:p w:rsidR="00917C6D" w:rsidRPr="0086400E" w:rsidRDefault="00917C6D" w:rsidP="00DA5CD2">
      <w:pPr>
        <w:pStyle w:val="1"/>
        <w:spacing w:before="120"/>
        <w:ind w:left="114" w:hanging="91"/>
        <w:rPr>
          <w:rFonts w:ascii="David" w:hAnsi="David" w:cs="David"/>
          <w:rtl/>
        </w:rPr>
      </w:pPr>
      <w:r w:rsidRPr="0086400E">
        <w:rPr>
          <w:rFonts w:ascii="David" w:hAnsi="David" w:cs="David"/>
          <w:rtl/>
        </w:rPr>
        <w:t>תמצית</w:t>
      </w:r>
    </w:p>
    <w:p w:rsidR="00521CB3" w:rsidRDefault="009E4927" w:rsidP="00D45921">
      <w:pPr>
        <w:spacing w:before="120" w:after="120"/>
        <w:ind w:left="108"/>
        <w:rPr>
          <w:rFonts w:ascii="David" w:hAnsi="David" w:cs="David"/>
          <w:rtl/>
        </w:rPr>
      </w:pPr>
      <w:r w:rsidRPr="00BE29BB">
        <w:rPr>
          <w:rFonts w:ascii="David" w:hAnsi="David" w:cs="David"/>
          <w:rtl/>
        </w:rPr>
        <w:t xml:space="preserve">מסמך זה מציג את התחזית המקרו-כלכלית שחטיבת המחקר בבנק ישראל גיבשה </w:t>
      </w:r>
      <w:r w:rsidR="00521CB3">
        <w:rPr>
          <w:rFonts w:ascii="David" w:hAnsi="David" w:cs="David" w:hint="cs"/>
          <w:rtl/>
        </w:rPr>
        <w:t>באוגוסט</w:t>
      </w:r>
      <w:r w:rsidRPr="00BE29BB">
        <w:rPr>
          <w:rFonts w:ascii="David" w:hAnsi="David" w:cs="David"/>
          <w:rtl/>
        </w:rPr>
        <w:t xml:space="preserve"> 20</w:t>
      </w:r>
      <w:r w:rsidRPr="00BE29BB">
        <w:rPr>
          <w:rFonts w:ascii="David" w:hAnsi="David" w:cs="David" w:hint="cs"/>
          <w:rtl/>
        </w:rPr>
        <w:t>20</w:t>
      </w:r>
      <w:r w:rsidRPr="00BE29BB">
        <w:rPr>
          <w:rFonts w:ascii="David" w:hAnsi="David" w:cs="David"/>
          <w:vertAlign w:val="superscript"/>
          <w:rtl/>
        </w:rPr>
        <w:footnoteReference w:id="1"/>
      </w:r>
      <w:r w:rsidRPr="00BE29BB">
        <w:rPr>
          <w:rFonts w:ascii="David" w:hAnsi="David" w:cs="David"/>
          <w:rtl/>
        </w:rPr>
        <w:t xml:space="preserve"> בנוגע למשתני המקרו העיקריים – התוצר, האינפלציה והריבית.</w:t>
      </w:r>
      <w:r w:rsidRPr="00BE29BB">
        <w:rPr>
          <w:rFonts w:ascii="David" w:hAnsi="David" w:cs="David" w:hint="cs"/>
          <w:rtl/>
        </w:rPr>
        <w:t xml:space="preserve"> </w:t>
      </w:r>
      <w:r w:rsidR="00521CB3" w:rsidRPr="00521CB3">
        <w:rPr>
          <w:rFonts w:ascii="David" w:hAnsi="David" w:cs="David" w:hint="cs"/>
          <w:rtl/>
        </w:rPr>
        <w:t xml:space="preserve">התחזית כוללת שני תרחישים מרכזיים </w:t>
      </w:r>
      <w:r w:rsidR="008E1DFC">
        <w:rPr>
          <w:rFonts w:ascii="David" w:hAnsi="David" w:cs="David" w:hint="cs"/>
          <w:rtl/>
        </w:rPr>
        <w:t xml:space="preserve">המבטאים גבולות גזרה בין התממשות תרחיש אופטימי לבין </w:t>
      </w:r>
      <w:r w:rsidR="007F3C9E">
        <w:rPr>
          <w:rFonts w:ascii="David" w:hAnsi="David" w:cs="David" w:hint="cs"/>
          <w:rtl/>
        </w:rPr>
        <w:t xml:space="preserve">התממשות של </w:t>
      </w:r>
      <w:r w:rsidR="008E1DFC">
        <w:rPr>
          <w:rFonts w:ascii="David" w:hAnsi="David" w:cs="David" w:hint="cs"/>
          <w:rtl/>
        </w:rPr>
        <w:t xml:space="preserve">תרחיש פסימי. בתרחיש האופטימי ההנחה היא </w:t>
      </w:r>
      <w:r w:rsidR="007F3C9E">
        <w:rPr>
          <w:rFonts w:ascii="David" w:hAnsi="David" w:cs="David" w:hint="cs"/>
          <w:rtl/>
        </w:rPr>
        <w:t xml:space="preserve">שמושגת שליטה ברמת התחלואה כך שאין </w:t>
      </w:r>
      <w:r w:rsidR="006A2BF4">
        <w:rPr>
          <w:rFonts w:ascii="David" w:hAnsi="David" w:cs="David" w:hint="cs"/>
          <w:rtl/>
        </w:rPr>
        <w:t>מגבלות משמעותיות נוספות</w:t>
      </w:r>
      <w:r w:rsidR="007F3C9E">
        <w:rPr>
          <w:rFonts w:ascii="David" w:hAnsi="David" w:cs="David" w:hint="cs"/>
          <w:rtl/>
        </w:rPr>
        <w:t xml:space="preserve"> מעבר למגבלות הנוכחיות</w:t>
      </w:r>
      <w:r w:rsidR="008E1DFC">
        <w:rPr>
          <w:rFonts w:ascii="David" w:hAnsi="David" w:cs="David" w:hint="cs"/>
          <w:rtl/>
        </w:rPr>
        <w:t xml:space="preserve">, בעוד </w:t>
      </w:r>
      <w:r w:rsidR="00922D76">
        <w:rPr>
          <w:rFonts w:ascii="David" w:hAnsi="David" w:cs="David" w:hint="cs"/>
          <w:rtl/>
        </w:rPr>
        <w:t>ש</w:t>
      </w:r>
      <w:r w:rsidR="007F3C9E">
        <w:rPr>
          <w:rFonts w:ascii="David" w:hAnsi="David" w:cs="David" w:hint="cs"/>
          <w:rtl/>
        </w:rPr>
        <w:t>ב</w:t>
      </w:r>
      <w:r w:rsidR="00521CB3" w:rsidRPr="00521CB3">
        <w:rPr>
          <w:rFonts w:ascii="David" w:hAnsi="David" w:cs="David" w:hint="cs"/>
          <w:rtl/>
        </w:rPr>
        <w:t>תרחיש</w:t>
      </w:r>
      <w:r w:rsidR="008E1DFC">
        <w:rPr>
          <w:rFonts w:ascii="David" w:hAnsi="David" w:cs="David" w:hint="cs"/>
          <w:rtl/>
        </w:rPr>
        <w:t xml:space="preserve"> הפסימי</w:t>
      </w:r>
      <w:r w:rsidR="00521CB3" w:rsidRPr="00521CB3">
        <w:rPr>
          <w:rFonts w:ascii="David" w:hAnsi="David" w:cs="David" w:hint="cs"/>
          <w:rtl/>
        </w:rPr>
        <w:t xml:space="preserve"> </w:t>
      </w:r>
      <w:r w:rsidR="007F3C9E">
        <w:rPr>
          <w:rFonts w:ascii="David" w:hAnsi="David" w:cs="David" w:hint="cs"/>
          <w:rtl/>
        </w:rPr>
        <w:t xml:space="preserve">ההנחה היא </w:t>
      </w:r>
      <w:r w:rsidR="00421192">
        <w:rPr>
          <w:rFonts w:ascii="David" w:hAnsi="David" w:cs="David" w:hint="cs"/>
          <w:rtl/>
        </w:rPr>
        <w:t>שה</w:t>
      </w:r>
      <w:r w:rsidR="007F3C9E">
        <w:rPr>
          <w:rFonts w:ascii="David" w:hAnsi="David" w:cs="David" w:hint="cs"/>
          <w:rtl/>
        </w:rPr>
        <w:t>שליטה ברמת התחלואה</w:t>
      </w:r>
      <w:r w:rsidR="0024780D">
        <w:rPr>
          <w:rFonts w:ascii="David" w:hAnsi="David" w:cs="David" w:hint="cs"/>
          <w:rtl/>
        </w:rPr>
        <w:t xml:space="preserve"> </w:t>
      </w:r>
      <w:r w:rsidR="00421192">
        <w:rPr>
          <w:rFonts w:ascii="David" w:hAnsi="David" w:cs="David" w:hint="cs"/>
          <w:rtl/>
        </w:rPr>
        <w:t xml:space="preserve">היא נמוכה, </w:t>
      </w:r>
      <w:r w:rsidR="0024780D">
        <w:rPr>
          <w:rFonts w:ascii="David" w:hAnsi="David" w:cs="David" w:hint="cs"/>
          <w:rtl/>
        </w:rPr>
        <w:t>כך שהתמתנות בפעילות הכלכלית מתרחשת כתוצאה ממגבלות נוספות (עד כדי סגר פורמאלי)</w:t>
      </w:r>
      <w:r w:rsidR="00D45921">
        <w:rPr>
          <w:rFonts w:ascii="David" w:hAnsi="David" w:cs="David" w:hint="cs"/>
          <w:rtl/>
        </w:rPr>
        <w:t>,</w:t>
      </w:r>
      <w:r w:rsidR="0024780D">
        <w:rPr>
          <w:rFonts w:ascii="David" w:hAnsi="David" w:cs="David" w:hint="cs"/>
          <w:rtl/>
        </w:rPr>
        <w:t xml:space="preserve"> או דרך הימנעות </w:t>
      </w:r>
      <w:r w:rsidR="00922D76">
        <w:rPr>
          <w:rFonts w:ascii="David" w:hAnsi="David" w:cs="David" w:hint="cs"/>
          <w:rtl/>
        </w:rPr>
        <w:t>וולונטרי</w:t>
      </w:r>
      <w:r w:rsidR="00922D76">
        <w:rPr>
          <w:rFonts w:ascii="David" w:hAnsi="David" w:cs="David" w:hint="eastAsia"/>
          <w:rtl/>
        </w:rPr>
        <w:t>ת</w:t>
      </w:r>
      <w:r w:rsidR="0024780D">
        <w:rPr>
          <w:rFonts w:ascii="David" w:hAnsi="David" w:cs="David" w:hint="cs"/>
          <w:rtl/>
        </w:rPr>
        <w:t xml:space="preserve"> של הציבור מפעילות </w:t>
      </w:r>
      <w:r w:rsidR="00D45921">
        <w:rPr>
          <w:rFonts w:ascii="David" w:hAnsi="David" w:cs="David" w:hint="cs"/>
          <w:rtl/>
        </w:rPr>
        <w:t xml:space="preserve">לנוכח </w:t>
      </w:r>
      <w:r w:rsidR="0024780D">
        <w:rPr>
          <w:rFonts w:ascii="David" w:hAnsi="David" w:cs="David" w:hint="cs"/>
          <w:rtl/>
        </w:rPr>
        <w:t xml:space="preserve">לנתוני התחלואה המחמירים. התרחיש הפסימי כולל </w:t>
      </w:r>
      <w:r w:rsidR="00521CB3" w:rsidRPr="00521CB3">
        <w:rPr>
          <w:rFonts w:ascii="David" w:hAnsi="David" w:cs="David" w:hint="cs"/>
          <w:rtl/>
        </w:rPr>
        <w:t xml:space="preserve">במקביל </w:t>
      </w:r>
      <w:r w:rsidR="0024780D">
        <w:rPr>
          <w:rFonts w:ascii="David" w:hAnsi="David" w:cs="David" w:hint="cs"/>
          <w:rtl/>
        </w:rPr>
        <w:t xml:space="preserve"> גם </w:t>
      </w:r>
      <w:r w:rsidR="0024780D" w:rsidRPr="00521CB3">
        <w:rPr>
          <w:rFonts w:ascii="David" w:hAnsi="David" w:cs="David" w:hint="cs"/>
          <w:rtl/>
        </w:rPr>
        <w:t xml:space="preserve">גל </w:t>
      </w:r>
      <w:r w:rsidR="00521CB3" w:rsidRPr="00521CB3">
        <w:rPr>
          <w:rFonts w:ascii="David" w:hAnsi="David" w:cs="David" w:hint="cs"/>
          <w:rtl/>
        </w:rPr>
        <w:t xml:space="preserve">תחלואה שני </w:t>
      </w:r>
      <w:r w:rsidR="00521CB3" w:rsidRPr="008E1DFC">
        <w:rPr>
          <w:rFonts w:ascii="David" w:hAnsi="David" w:cs="David" w:hint="eastAsia"/>
          <w:rtl/>
        </w:rPr>
        <w:t>בחו</w:t>
      </w:r>
      <w:r w:rsidR="00521CB3" w:rsidRPr="008E1DFC">
        <w:rPr>
          <w:rFonts w:ascii="David" w:hAnsi="David" w:cs="David"/>
          <w:rtl/>
        </w:rPr>
        <w:t>"ל</w:t>
      </w:r>
      <w:r w:rsidR="00521CB3" w:rsidRPr="00521CB3">
        <w:rPr>
          <w:rFonts w:ascii="David" w:hAnsi="David" w:cs="David" w:hint="cs"/>
          <w:rtl/>
        </w:rPr>
        <w:t xml:space="preserve"> </w:t>
      </w:r>
      <w:r w:rsidR="00DF075E">
        <w:rPr>
          <w:rStyle w:val="a5"/>
          <w:rFonts w:ascii="David" w:hAnsi="David" w:cs="David"/>
          <w:rtl/>
        </w:rPr>
        <w:footnoteReference w:id="2"/>
      </w:r>
      <w:r w:rsidR="00521CB3" w:rsidRPr="00521CB3">
        <w:rPr>
          <w:rFonts w:ascii="David" w:hAnsi="David" w:cs="David" w:hint="cs"/>
          <w:rtl/>
        </w:rPr>
        <w:t>.</w:t>
      </w:r>
    </w:p>
    <w:p w:rsidR="00514195" w:rsidRPr="00521CB3" w:rsidRDefault="00514195" w:rsidP="008E1DFC">
      <w:pPr>
        <w:spacing w:before="120" w:after="120"/>
        <w:ind w:left="108"/>
        <w:rPr>
          <w:rFonts w:ascii="David" w:hAnsi="David" w:cs="David"/>
          <w:rtl/>
        </w:rPr>
      </w:pPr>
      <w:r>
        <w:rPr>
          <w:rFonts w:ascii="David" w:hAnsi="David" w:cs="David" w:hint="cs"/>
          <w:b/>
          <w:bCs/>
          <w:rtl/>
        </w:rPr>
        <w:t>ב</w:t>
      </w:r>
      <w:r w:rsidRPr="006C628F">
        <w:rPr>
          <w:rFonts w:ascii="David" w:hAnsi="David" w:cs="David" w:hint="cs"/>
          <w:b/>
          <w:bCs/>
          <w:rtl/>
        </w:rPr>
        <w:t xml:space="preserve">תרחיש </w:t>
      </w:r>
      <w:r w:rsidR="008E1DFC">
        <w:rPr>
          <w:rFonts w:ascii="David" w:hAnsi="David" w:cs="David" w:hint="cs"/>
          <w:b/>
          <w:bCs/>
          <w:rtl/>
        </w:rPr>
        <w:t>האופטימי</w:t>
      </w:r>
      <w:r w:rsidRPr="006C628F">
        <w:rPr>
          <w:rFonts w:ascii="David" w:hAnsi="David" w:cs="David" w:hint="cs"/>
          <w:rtl/>
        </w:rPr>
        <w:t xml:space="preserve">, </w:t>
      </w:r>
      <w:r>
        <w:rPr>
          <w:rFonts w:ascii="David" w:hAnsi="David" w:cs="David" w:hint="cs"/>
          <w:rtl/>
        </w:rPr>
        <w:t xml:space="preserve">אנו מניחים כי </w:t>
      </w:r>
      <w:r w:rsidRPr="006C628F">
        <w:rPr>
          <w:rFonts w:ascii="David" w:hAnsi="David" w:cs="David" w:hint="cs"/>
          <w:rtl/>
        </w:rPr>
        <w:t xml:space="preserve">ישראל חוזרת החל מספטמבר לתוואי </w:t>
      </w:r>
      <w:r w:rsidR="00922D76">
        <w:rPr>
          <w:rFonts w:ascii="David" w:hAnsi="David" w:cs="David" w:hint="cs"/>
          <w:rtl/>
        </w:rPr>
        <w:t xml:space="preserve">של </w:t>
      </w:r>
      <w:r w:rsidRPr="006C628F">
        <w:rPr>
          <w:rFonts w:ascii="David" w:hAnsi="David" w:cs="David" w:hint="cs"/>
          <w:rtl/>
        </w:rPr>
        <w:t xml:space="preserve">הרחבת היקף הפעילות הכלכלית כך שבסוף השנה </w:t>
      </w:r>
      <w:r w:rsidR="003B32DD">
        <w:rPr>
          <w:rFonts w:ascii="David" w:hAnsi="David" w:cs="David" w:hint="cs"/>
          <w:rtl/>
        </w:rPr>
        <w:t>רמת אי הפעילות של המשק יורדת ומתייצבת בשיעור של כ-</w:t>
      </w:r>
      <w:r w:rsidRPr="006C628F">
        <w:rPr>
          <w:rFonts w:ascii="David" w:hAnsi="David" w:cs="David" w:hint="cs"/>
          <w:rtl/>
        </w:rPr>
        <w:t>7%-8%</w:t>
      </w:r>
      <w:r w:rsidR="003B32DD">
        <w:rPr>
          <w:rFonts w:ascii="David" w:hAnsi="David" w:cs="David" w:hint="cs"/>
          <w:rtl/>
        </w:rPr>
        <w:t xml:space="preserve">, </w:t>
      </w:r>
      <w:r w:rsidRPr="006C628F">
        <w:rPr>
          <w:rFonts w:ascii="David" w:hAnsi="David" w:cs="David" w:hint="cs"/>
          <w:rtl/>
        </w:rPr>
        <w:t xml:space="preserve"> </w:t>
      </w:r>
      <w:r w:rsidR="008E1DFC">
        <w:rPr>
          <w:rFonts w:ascii="David" w:hAnsi="David" w:cs="David" w:hint="cs"/>
          <w:rtl/>
        </w:rPr>
        <w:t xml:space="preserve">רמה </w:t>
      </w:r>
      <w:r w:rsidRPr="006C628F">
        <w:rPr>
          <w:rFonts w:ascii="David" w:hAnsi="David" w:cs="David" w:hint="cs"/>
          <w:rtl/>
        </w:rPr>
        <w:t xml:space="preserve">אשר </w:t>
      </w:r>
      <w:r w:rsidR="003B32DD">
        <w:rPr>
          <w:rFonts w:ascii="David" w:hAnsi="David" w:cs="David" w:hint="cs"/>
          <w:rtl/>
        </w:rPr>
        <w:t>נמשכת</w:t>
      </w:r>
      <w:r w:rsidR="003B32DD" w:rsidRPr="006C628F">
        <w:rPr>
          <w:rFonts w:ascii="David" w:hAnsi="David" w:cs="David" w:hint="cs"/>
          <w:rtl/>
        </w:rPr>
        <w:t xml:space="preserve"> </w:t>
      </w:r>
      <w:r w:rsidRPr="006C628F">
        <w:rPr>
          <w:rFonts w:ascii="David" w:hAnsi="David" w:cs="David" w:hint="cs"/>
          <w:rtl/>
        </w:rPr>
        <w:t xml:space="preserve">עד מציאת חיסון. </w:t>
      </w:r>
      <w:r w:rsidRPr="006C628F">
        <w:rPr>
          <w:rFonts w:ascii="David" w:hAnsi="David" w:cs="David" w:hint="cs"/>
          <w:b/>
          <w:bCs/>
          <w:rtl/>
        </w:rPr>
        <w:t xml:space="preserve">בתרחיש </w:t>
      </w:r>
      <w:r w:rsidR="008E1DFC">
        <w:rPr>
          <w:rFonts w:ascii="David" w:hAnsi="David" w:cs="David" w:hint="cs"/>
          <w:b/>
          <w:bCs/>
          <w:rtl/>
        </w:rPr>
        <w:t>הפסימי</w:t>
      </w:r>
      <w:r w:rsidRPr="006C628F">
        <w:rPr>
          <w:rFonts w:ascii="David" w:hAnsi="David" w:cs="David" w:hint="cs"/>
          <w:rtl/>
        </w:rPr>
        <w:t xml:space="preserve">, </w:t>
      </w:r>
      <w:r>
        <w:rPr>
          <w:rFonts w:ascii="David" w:hAnsi="David" w:cs="David" w:hint="cs"/>
          <w:rtl/>
        </w:rPr>
        <w:t xml:space="preserve">אנו מניחים כי </w:t>
      </w:r>
      <w:r w:rsidRPr="006C628F">
        <w:rPr>
          <w:rFonts w:ascii="David" w:hAnsi="David" w:cs="David" w:hint="cs"/>
          <w:rtl/>
        </w:rPr>
        <w:t xml:space="preserve">ישראל חווה גלי תחלואה שיובילו לגלי צמצום פעילות </w:t>
      </w:r>
      <w:r w:rsidR="005520C7">
        <w:rPr>
          <w:rFonts w:ascii="David" w:hAnsi="David" w:cs="David" w:hint="cs"/>
          <w:rtl/>
        </w:rPr>
        <w:t xml:space="preserve">כל </w:t>
      </w:r>
      <w:r w:rsidRPr="006C628F">
        <w:rPr>
          <w:rFonts w:ascii="David" w:hAnsi="David" w:cs="David" w:hint="cs"/>
          <w:rtl/>
        </w:rPr>
        <w:t>כ</w:t>
      </w:r>
      <w:r w:rsidR="00714EC9">
        <w:rPr>
          <w:rFonts w:ascii="David" w:hAnsi="David" w:cs="David" w:hint="cs"/>
          <w:rtl/>
        </w:rPr>
        <w:t>מה חודשים, עד מציאת חיסון. כהנחת עבודה</w:t>
      </w:r>
      <w:r w:rsidR="005520C7">
        <w:rPr>
          <w:rFonts w:ascii="David" w:hAnsi="David" w:cs="David" w:hint="cs"/>
          <w:rtl/>
        </w:rPr>
        <w:t xml:space="preserve"> בלבד</w:t>
      </w:r>
      <w:r w:rsidRPr="006C628F">
        <w:rPr>
          <w:rFonts w:ascii="David" w:hAnsi="David" w:cs="David" w:hint="cs"/>
          <w:rtl/>
        </w:rPr>
        <w:t xml:space="preserve">, בשני התרחישים </w:t>
      </w:r>
      <w:r w:rsidR="006E7F8E">
        <w:rPr>
          <w:rFonts w:ascii="David" w:hAnsi="David" w:cs="David" w:hint="cs"/>
          <w:rtl/>
        </w:rPr>
        <w:t>מציאת חיסון מתחילה להשפיע על הכלכלה</w:t>
      </w:r>
      <w:r w:rsidR="005520C7">
        <w:rPr>
          <w:rFonts w:ascii="David" w:hAnsi="David" w:cs="David" w:hint="cs"/>
          <w:rtl/>
        </w:rPr>
        <w:t xml:space="preserve"> </w:t>
      </w:r>
      <w:r w:rsidRPr="006C628F">
        <w:rPr>
          <w:rFonts w:ascii="David" w:hAnsi="David" w:cs="David" w:hint="cs"/>
          <w:rtl/>
        </w:rPr>
        <w:t>במחצית</w:t>
      </w:r>
      <w:r w:rsidR="009651E5" w:rsidRPr="009651E5">
        <w:rPr>
          <w:rFonts w:ascii="David" w:hAnsi="David" w:cs="David" w:hint="cs"/>
          <w:rtl/>
        </w:rPr>
        <w:t xml:space="preserve"> </w:t>
      </w:r>
      <w:r w:rsidR="009651E5">
        <w:rPr>
          <w:rFonts w:ascii="David" w:hAnsi="David" w:cs="David" w:hint="cs"/>
          <w:rtl/>
        </w:rPr>
        <w:t xml:space="preserve">השנייה של </w:t>
      </w:r>
      <w:r w:rsidRPr="006C628F">
        <w:rPr>
          <w:rFonts w:ascii="David" w:hAnsi="David" w:cs="David" w:hint="cs"/>
          <w:rtl/>
        </w:rPr>
        <w:t xml:space="preserve">2021, אז מתחילה התאוששות </w:t>
      </w:r>
      <w:r w:rsidR="009651E5">
        <w:rPr>
          <w:rFonts w:ascii="David" w:hAnsi="David" w:cs="David" w:hint="cs"/>
          <w:rtl/>
        </w:rPr>
        <w:t>ב</w:t>
      </w:r>
      <w:r w:rsidR="009651E5" w:rsidRPr="006C628F">
        <w:rPr>
          <w:rFonts w:ascii="David" w:hAnsi="David" w:cs="David" w:hint="cs"/>
          <w:rtl/>
        </w:rPr>
        <w:t xml:space="preserve">כלכלה </w:t>
      </w:r>
      <w:r w:rsidR="00ED7988" w:rsidRPr="00ED7988">
        <w:rPr>
          <w:rFonts w:ascii="David" w:hAnsi="David" w:cs="David" w:hint="cs"/>
          <w:rtl/>
        </w:rPr>
        <w:t>והמשק מתחיל להתכנס בהדרגה לכיוון רמת הפעילות הפוטנציאלית</w:t>
      </w:r>
      <w:r w:rsidRPr="006C628F">
        <w:rPr>
          <w:rFonts w:ascii="David" w:hAnsi="David" w:cs="David" w:hint="cs"/>
          <w:rtl/>
        </w:rPr>
        <w:t>.</w:t>
      </w:r>
    </w:p>
    <w:p w:rsidR="00521CB3" w:rsidRPr="00521CB3" w:rsidRDefault="00521CB3" w:rsidP="00421192">
      <w:pPr>
        <w:spacing w:after="120"/>
        <w:ind w:left="108"/>
        <w:rPr>
          <w:rFonts w:ascii="David" w:hAnsi="David" w:cs="David"/>
        </w:rPr>
      </w:pPr>
      <w:r w:rsidRPr="00E906B5">
        <w:rPr>
          <w:rFonts w:ascii="David" w:hAnsi="David" w:cs="David" w:hint="cs"/>
          <w:b/>
          <w:bCs/>
          <w:rtl/>
        </w:rPr>
        <w:t xml:space="preserve">בתרחיש </w:t>
      </w:r>
      <w:r w:rsidR="008E1DFC">
        <w:rPr>
          <w:rFonts w:ascii="David" w:hAnsi="David" w:cs="David" w:hint="cs"/>
          <w:b/>
          <w:bCs/>
          <w:rtl/>
        </w:rPr>
        <w:t>האופטימי</w:t>
      </w:r>
      <w:r w:rsidR="008E1DFC" w:rsidRPr="00E906B5">
        <w:rPr>
          <w:rFonts w:ascii="David" w:hAnsi="David" w:cs="David" w:hint="cs"/>
          <w:b/>
          <w:bCs/>
          <w:rtl/>
        </w:rPr>
        <w:t xml:space="preserve"> </w:t>
      </w:r>
      <w:r w:rsidRPr="00E906B5">
        <w:rPr>
          <w:rFonts w:ascii="David" w:hAnsi="David" w:cs="David" w:hint="cs"/>
          <w:b/>
          <w:bCs/>
          <w:rtl/>
        </w:rPr>
        <w:t>התוצר</w:t>
      </w:r>
      <w:r w:rsidRPr="00E906B5">
        <w:rPr>
          <w:rFonts w:ascii="David" w:hAnsi="David" w:cs="David"/>
          <w:b/>
          <w:bCs/>
          <w:rtl/>
        </w:rPr>
        <w:t xml:space="preserve"> </w:t>
      </w:r>
      <w:r w:rsidRPr="00E906B5">
        <w:rPr>
          <w:rFonts w:ascii="David" w:hAnsi="David" w:cs="David" w:hint="cs"/>
          <w:b/>
          <w:bCs/>
          <w:rtl/>
        </w:rPr>
        <w:t>ב</w:t>
      </w:r>
      <w:r w:rsidRPr="00E906B5">
        <w:rPr>
          <w:rFonts w:ascii="David" w:hAnsi="David" w:cs="David"/>
          <w:b/>
          <w:bCs/>
          <w:rtl/>
        </w:rPr>
        <w:t xml:space="preserve">-2020 </w:t>
      </w:r>
      <w:r w:rsidRPr="00E906B5">
        <w:rPr>
          <w:rFonts w:ascii="David" w:hAnsi="David" w:cs="David" w:hint="cs"/>
          <w:b/>
          <w:bCs/>
          <w:rtl/>
        </w:rPr>
        <w:t>צפוי</w:t>
      </w:r>
      <w:r w:rsidRPr="00E906B5">
        <w:rPr>
          <w:rFonts w:ascii="David" w:hAnsi="David" w:cs="David"/>
          <w:b/>
          <w:bCs/>
          <w:rtl/>
        </w:rPr>
        <w:t xml:space="preserve"> </w:t>
      </w:r>
      <w:r w:rsidRPr="00E906B5">
        <w:rPr>
          <w:rFonts w:ascii="David" w:hAnsi="David" w:cs="David" w:hint="cs"/>
          <w:b/>
          <w:bCs/>
          <w:rtl/>
        </w:rPr>
        <w:t>להתכווץ</w:t>
      </w:r>
      <w:r w:rsidRPr="00E906B5">
        <w:rPr>
          <w:rFonts w:ascii="David" w:hAnsi="David" w:cs="David"/>
          <w:b/>
          <w:bCs/>
          <w:rtl/>
        </w:rPr>
        <w:t xml:space="preserve"> </w:t>
      </w:r>
      <w:r w:rsidRPr="00E906B5">
        <w:rPr>
          <w:rFonts w:ascii="David" w:hAnsi="David" w:cs="David" w:hint="cs"/>
          <w:b/>
          <w:bCs/>
          <w:rtl/>
        </w:rPr>
        <w:t>ב</w:t>
      </w:r>
      <w:r w:rsidRPr="00E906B5">
        <w:rPr>
          <w:rFonts w:ascii="David" w:hAnsi="David" w:cs="David"/>
          <w:b/>
          <w:bCs/>
          <w:rtl/>
        </w:rPr>
        <w:t>-</w:t>
      </w:r>
      <w:r w:rsidR="004B5554" w:rsidRPr="00E906B5">
        <w:rPr>
          <w:rFonts w:ascii="David" w:hAnsi="David" w:cs="David" w:hint="cs"/>
          <w:b/>
          <w:bCs/>
          <w:rtl/>
        </w:rPr>
        <w:t>4</w:t>
      </w:r>
      <w:r w:rsidRPr="00E906B5">
        <w:rPr>
          <w:rFonts w:ascii="David" w:hAnsi="David" w:cs="David" w:hint="cs"/>
          <w:b/>
          <w:bCs/>
          <w:rtl/>
        </w:rPr>
        <w:t>.5</w:t>
      </w:r>
      <w:r w:rsidRPr="00E906B5">
        <w:rPr>
          <w:rFonts w:ascii="David" w:hAnsi="David" w:cs="David"/>
          <w:b/>
          <w:bCs/>
          <w:rtl/>
        </w:rPr>
        <w:t>%</w:t>
      </w:r>
      <w:r w:rsidRPr="00E906B5">
        <w:rPr>
          <w:rFonts w:ascii="David" w:hAnsi="David" w:cs="David" w:hint="cs"/>
          <w:b/>
          <w:bCs/>
          <w:rtl/>
        </w:rPr>
        <w:t>.</w:t>
      </w:r>
      <w:r w:rsidRPr="00521CB3">
        <w:rPr>
          <w:rFonts w:ascii="David" w:hAnsi="David" w:cs="David" w:hint="cs"/>
          <w:rtl/>
        </w:rPr>
        <w:t xml:space="preserve"> </w:t>
      </w:r>
      <w:r w:rsidR="006E7F8E">
        <w:rPr>
          <w:rFonts w:ascii="David" w:hAnsi="David" w:cs="David" w:hint="cs"/>
          <w:rtl/>
        </w:rPr>
        <w:t>השליטה במגיפה מאפשרת רמה גבוהה יחסית של פעילות כלכלית</w:t>
      </w:r>
      <w:r w:rsidR="00DF075E">
        <w:rPr>
          <w:rFonts w:ascii="David" w:hAnsi="David" w:cs="David" w:hint="cs"/>
          <w:rtl/>
        </w:rPr>
        <w:t>,</w:t>
      </w:r>
      <w:r w:rsidRPr="00521CB3">
        <w:rPr>
          <w:rFonts w:ascii="David" w:hAnsi="David" w:cs="David" w:hint="cs"/>
          <w:rtl/>
        </w:rPr>
        <w:t xml:space="preserve"> </w:t>
      </w:r>
      <w:r w:rsidR="006E7F8E">
        <w:rPr>
          <w:rFonts w:ascii="David" w:hAnsi="David" w:cs="David" w:hint="cs"/>
          <w:rtl/>
        </w:rPr>
        <w:t>כך ש</w:t>
      </w:r>
      <w:r w:rsidR="00D61FE7">
        <w:rPr>
          <w:rFonts w:ascii="David" w:hAnsi="David" w:cs="David" w:hint="cs"/>
          <w:rtl/>
        </w:rPr>
        <w:t>ב-2021</w:t>
      </w:r>
      <w:r w:rsidRPr="00521CB3">
        <w:rPr>
          <w:rFonts w:ascii="David" w:hAnsi="David" w:cs="David" w:hint="cs"/>
          <w:rtl/>
        </w:rPr>
        <w:t xml:space="preserve"> הצמיחה צפויה להיות יחסית גבוהה </w:t>
      </w:r>
      <w:r w:rsidRPr="00521CB3">
        <w:rPr>
          <w:rFonts w:ascii="David" w:hAnsi="David" w:cs="David"/>
          <w:rtl/>
        </w:rPr>
        <w:t>–</w:t>
      </w:r>
      <w:r w:rsidRPr="00521CB3">
        <w:rPr>
          <w:rFonts w:ascii="David" w:hAnsi="David" w:cs="David" w:hint="cs"/>
          <w:rtl/>
        </w:rPr>
        <w:t xml:space="preserve"> כ-</w:t>
      </w:r>
      <w:r w:rsidR="004B5554" w:rsidRPr="004B5554">
        <w:rPr>
          <w:rFonts w:ascii="David" w:hAnsi="David" w:cs="David" w:hint="cs"/>
          <w:rtl/>
        </w:rPr>
        <w:t>6</w:t>
      </w:r>
      <w:r w:rsidRPr="00521CB3">
        <w:rPr>
          <w:rFonts w:ascii="David" w:hAnsi="David" w:cs="David" w:hint="cs"/>
          <w:rtl/>
        </w:rPr>
        <w:t xml:space="preserve">.0%, אך עדיין רמת הפעילות </w:t>
      </w:r>
      <w:r w:rsidR="006C0890">
        <w:rPr>
          <w:rFonts w:ascii="David" w:hAnsi="David" w:cs="David" w:hint="cs"/>
          <w:rtl/>
        </w:rPr>
        <w:t xml:space="preserve">הכלכלית </w:t>
      </w:r>
      <w:r w:rsidRPr="00521CB3">
        <w:rPr>
          <w:rFonts w:ascii="David" w:hAnsi="David" w:cs="David" w:hint="cs"/>
          <w:rtl/>
        </w:rPr>
        <w:t>הממוצעת תהיה נמוכה בכ-</w:t>
      </w:r>
      <w:r w:rsidR="004B5554" w:rsidRPr="004B5554">
        <w:rPr>
          <w:rFonts w:ascii="David" w:hAnsi="David" w:cs="David" w:hint="cs"/>
          <w:rtl/>
        </w:rPr>
        <w:t>5</w:t>
      </w:r>
      <w:r w:rsidRPr="00521CB3">
        <w:rPr>
          <w:rFonts w:ascii="David" w:hAnsi="David" w:cs="David" w:hint="cs"/>
          <w:rtl/>
        </w:rPr>
        <w:t>% ביחס למגמה טרם המשבר. שיעור האינפלציה בארבעת הרבעונים הבאים צפוי לעמוד על 0% וב-2021 על 0.4%</w:t>
      </w:r>
      <w:r w:rsidR="00D61FE7">
        <w:rPr>
          <w:rFonts w:ascii="David" w:hAnsi="David" w:cs="David" w:hint="cs"/>
          <w:rtl/>
        </w:rPr>
        <w:t>.</w:t>
      </w:r>
      <w:r w:rsidR="00293028">
        <w:rPr>
          <w:rFonts w:ascii="David" w:hAnsi="David" w:cs="David" w:hint="cs"/>
          <w:rtl/>
        </w:rPr>
        <w:t xml:space="preserve"> שיעור האבטלה הרחב</w:t>
      </w:r>
      <w:r w:rsidR="00547EFB">
        <w:rPr>
          <w:rStyle w:val="a5"/>
          <w:rFonts w:ascii="David" w:hAnsi="David" w:cs="David"/>
          <w:rtl/>
        </w:rPr>
        <w:footnoteReference w:id="3"/>
      </w:r>
      <w:r w:rsidR="004325C8">
        <w:rPr>
          <w:rFonts w:ascii="David" w:hAnsi="David" w:cs="David" w:hint="cs"/>
          <w:rtl/>
        </w:rPr>
        <w:t xml:space="preserve"> </w:t>
      </w:r>
      <w:r w:rsidR="006E7F8E">
        <w:rPr>
          <w:rFonts w:ascii="David" w:hAnsi="David" w:cs="David" w:hint="cs"/>
          <w:rtl/>
        </w:rPr>
        <w:t>בקרב גיל</w:t>
      </w:r>
      <w:r w:rsidR="006C0890">
        <w:rPr>
          <w:rFonts w:ascii="David" w:hAnsi="David" w:cs="David" w:hint="cs"/>
          <w:rtl/>
        </w:rPr>
        <w:t>א</w:t>
      </w:r>
      <w:r w:rsidR="006E7F8E">
        <w:rPr>
          <w:rFonts w:ascii="David" w:hAnsi="David" w:cs="David" w:hint="cs"/>
          <w:rtl/>
        </w:rPr>
        <w:t xml:space="preserve">י </w:t>
      </w:r>
      <w:r w:rsidR="00B65C95">
        <w:rPr>
          <w:rFonts w:ascii="David" w:hAnsi="David" w:cs="David" w:hint="cs"/>
          <w:rtl/>
        </w:rPr>
        <w:t xml:space="preserve">15 ומעלה (להלן "שיעור האבטלה") </w:t>
      </w:r>
      <w:r w:rsidR="004325C8">
        <w:rPr>
          <w:rFonts w:ascii="David" w:hAnsi="David" w:cs="David" w:hint="cs"/>
          <w:rtl/>
        </w:rPr>
        <w:t xml:space="preserve">צפוי </w:t>
      </w:r>
      <w:r w:rsidR="00421192">
        <w:rPr>
          <w:rFonts w:ascii="David" w:hAnsi="David" w:cs="David" w:hint="cs"/>
          <w:rtl/>
        </w:rPr>
        <w:t xml:space="preserve">להיות </w:t>
      </w:r>
      <w:r w:rsidR="004325C8">
        <w:rPr>
          <w:rFonts w:ascii="David" w:hAnsi="David" w:cs="David" w:hint="cs"/>
          <w:rtl/>
        </w:rPr>
        <w:t>11.6% בסוף 2020 ולרדת ל- 7.7% בסוף 2021, לעומת 10.5% ו-6.6% בהתאמה בתחזית יולי.</w:t>
      </w:r>
    </w:p>
    <w:p w:rsidR="009E4927" w:rsidRDefault="00521CB3" w:rsidP="00421192">
      <w:pPr>
        <w:spacing w:after="120"/>
        <w:ind w:left="108"/>
        <w:rPr>
          <w:rFonts w:ascii="David" w:hAnsi="David" w:cs="David"/>
          <w:rtl/>
        </w:rPr>
      </w:pPr>
      <w:r w:rsidRPr="00E906B5">
        <w:rPr>
          <w:rFonts w:ascii="David" w:hAnsi="David" w:cs="David" w:hint="cs"/>
          <w:b/>
          <w:bCs/>
          <w:rtl/>
        </w:rPr>
        <w:t xml:space="preserve">בתרחיש </w:t>
      </w:r>
      <w:r w:rsidR="006C0890">
        <w:rPr>
          <w:rFonts w:ascii="David" w:hAnsi="David" w:cs="David" w:hint="cs"/>
          <w:b/>
          <w:bCs/>
          <w:rtl/>
        </w:rPr>
        <w:t>הפסימי</w:t>
      </w:r>
      <w:r w:rsidRPr="00E906B5">
        <w:rPr>
          <w:rFonts w:ascii="David" w:hAnsi="David" w:cs="David" w:hint="cs"/>
          <w:b/>
          <w:bCs/>
          <w:rtl/>
        </w:rPr>
        <w:t xml:space="preserve"> התוצר</w:t>
      </w:r>
      <w:r w:rsidRPr="00E906B5">
        <w:rPr>
          <w:rFonts w:ascii="David" w:hAnsi="David" w:cs="David"/>
          <w:b/>
          <w:bCs/>
          <w:rtl/>
        </w:rPr>
        <w:t xml:space="preserve"> </w:t>
      </w:r>
      <w:r w:rsidRPr="00E906B5">
        <w:rPr>
          <w:rFonts w:ascii="David" w:hAnsi="David" w:cs="David" w:hint="cs"/>
          <w:b/>
          <w:bCs/>
          <w:rtl/>
        </w:rPr>
        <w:t>ב</w:t>
      </w:r>
      <w:r w:rsidRPr="00E906B5">
        <w:rPr>
          <w:rFonts w:ascii="David" w:hAnsi="David" w:cs="David"/>
          <w:b/>
          <w:bCs/>
          <w:rtl/>
        </w:rPr>
        <w:t xml:space="preserve">-2020 </w:t>
      </w:r>
      <w:r w:rsidRPr="00E906B5">
        <w:rPr>
          <w:rFonts w:ascii="David" w:hAnsi="David" w:cs="David" w:hint="cs"/>
          <w:b/>
          <w:bCs/>
          <w:rtl/>
        </w:rPr>
        <w:t>צפוי</w:t>
      </w:r>
      <w:r w:rsidRPr="00E906B5">
        <w:rPr>
          <w:rFonts w:ascii="David" w:hAnsi="David" w:cs="David"/>
          <w:b/>
          <w:bCs/>
          <w:rtl/>
        </w:rPr>
        <w:t xml:space="preserve"> </w:t>
      </w:r>
      <w:r w:rsidRPr="00E906B5">
        <w:rPr>
          <w:rFonts w:ascii="David" w:hAnsi="David" w:cs="David" w:hint="cs"/>
          <w:b/>
          <w:bCs/>
          <w:rtl/>
        </w:rPr>
        <w:t>להתכווץ</w:t>
      </w:r>
      <w:r w:rsidRPr="00E906B5">
        <w:rPr>
          <w:rFonts w:ascii="David" w:hAnsi="David" w:cs="David"/>
          <w:b/>
          <w:bCs/>
          <w:rtl/>
        </w:rPr>
        <w:t xml:space="preserve"> </w:t>
      </w:r>
      <w:r w:rsidRPr="00E906B5">
        <w:rPr>
          <w:rFonts w:ascii="David" w:hAnsi="David" w:cs="David" w:hint="cs"/>
          <w:b/>
          <w:bCs/>
          <w:rtl/>
        </w:rPr>
        <w:t>ב</w:t>
      </w:r>
      <w:r w:rsidRPr="00E906B5">
        <w:rPr>
          <w:rFonts w:ascii="David" w:hAnsi="David" w:cs="David"/>
          <w:b/>
          <w:bCs/>
          <w:rtl/>
        </w:rPr>
        <w:t>-</w:t>
      </w:r>
      <w:r w:rsidR="004B5554" w:rsidRPr="00E906B5">
        <w:rPr>
          <w:rFonts w:ascii="David" w:hAnsi="David" w:cs="David" w:hint="cs"/>
          <w:b/>
          <w:bCs/>
          <w:rtl/>
        </w:rPr>
        <w:t>7</w:t>
      </w:r>
      <w:r w:rsidRPr="00E906B5">
        <w:rPr>
          <w:rFonts w:ascii="David" w:hAnsi="David" w:cs="David" w:hint="cs"/>
          <w:b/>
          <w:bCs/>
          <w:rtl/>
        </w:rPr>
        <w:t>%</w:t>
      </w:r>
      <w:r w:rsidRPr="00521CB3">
        <w:rPr>
          <w:rFonts w:ascii="David" w:hAnsi="David" w:cs="David" w:hint="cs"/>
          <w:rtl/>
        </w:rPr>
        <w:t xml:space="preserve">, </w:t>
      </w:r>
      <w:r w:rsidR="009651E5">
        <w:rPr>
          <w:rFonts w:ascii="David" w:hAnsi="David" w:cs="David" w:hint="cs"/>
          <w:rtl/>
        </w:rPr>
        <w:t>ו</w:t>
      </w:r>
      <w:r w:rsidRPr="00521CB3">
        <w:rPr>
          <w:rFonts w:ascii="David" w:hAnsi="David" w:cs="David" w:hint="cs"/>
          <w:rtl/>
        </w:rPr>
        <w:t>בשנה הבאה הצמיחה תסתכם ב-</w:t>
      </w:r>
      <w:r w:rsidR="004B5554" w:rsidRPr="004B5554">
        <w:rPr>
          <w:rFonts w:ascii="David" w:hAnsi="David" w:cs="David" w:hint="cs"/>
          <w:rtl/>
        </w:rPr>
        <w:t>3</w:t>
      </w:r>
      <w:r w:rsidRPr="00521CB3">
        <w:rPr>
          <w:rFonts w:ascii="David" w:hAnsi="David" w:cs="David" w:hint="cs"/>
          <w:rtl/>
        </w:rPr>
        <w:t>% בלבד</w:t>
      </w:r>
      <w:r w:rsidR="006E7F8E">
        <w:rPr>
          <w:rFonts w:ascii="David" w:hAnsi="David" w:cs="David" w:hint="cs"/>
          <w:rtl/>
        </w:rPr>
        <w:t>,</w:t>
      </w:r>
      <w:r w:rsidRPr="00521CB3">
        <w:rPr>
          <w:rFonts w:ascii="David" w:hAnsi="David" w:cs="David" w:hint="cs"/>
          <w:rtl/>
        </w:rPr>
        <w:t xml:space="preserve"> כך שרמת הפעילות הממוצעת תהיה נמוכה בכ-1</w:t>
      </w:r>
      <w:r w:rsidR="004B5554" w:rsidRPr="004B5554">
        <w:rPr>
          <w:rFonts w:ascii="David" w:hAnsi="David" w:cs="David" w:hint="cs"/>
          <w:rtl/>
        </w:rPr>
        <w:t>0</w:t>
      </w:r>
      <w:r w:rsidRPr="00521CB3">
        <w:rPr>
          <w:rFonts w:ascii="David" w:hAnsi="David" w:cs="David" w:hint="cs"/>
          <w:rtl/>
        </w:rPr>
        <w:t xml:space="preserve">% ממגמת טרום המשבר. </w:t>
      </w:r>
      <w:r w:rsidRPr="00ED7988">
        <w:rPr>
          <w:rFonts w:ascii="David" w:hAnsi="David" w:cs="David" w:hint="cs"/>
          <w:rtl/>
        </w:rPr>
        <w:t>שיעור האינפלציה בארבעת הרבעונים</w:t>
      </w:r>
      <w:r w:rsidRPr="00521CB3">
        <w:rPr>
          <w:rFonts w:ascii="David" w:hAnsi="David" w:cs="David" w:hint="cs"/>
          <w:rtl/>
        </w:rPr>
        <w:t xml:space="preserve"> הבאים צפוי לעמוד על 0.6%- ועל 0.9% ב-2021.</w:t>
      </w:r>
      <w:r w:rsidR="00B65C95">
        <w:rPr>
          <w:rFonts w:ascii="David" w:hAnsi="David" w:cs="David" w:hint="cs"/>
          <w:rtl/>
        </w:rPr>
        <w:t xml:space="preserve"> שיעור האבטלה הרחב</w:t>
      </w:r>
      <w:r w:rsidR="00B65C95">
        <w:rPr>
          <w:rFonts w:hint="cs"/>
          <w:rtl/>
        </w:rPr>
        <w:t xml:space="preserve"> </w:t>
      </w:r>
      <w:r w:rsidR="00B65C95">
        <w:rPr>
          <w:rFonts w:ascii="David" w:hAnsi="David" w:cs="David" w:hint="cs"/>
          <w:rtl/>
        </w:rPr>
        <w:t>צפוי לעלות ל-13.6% בסוף 2020 ולרדת ל- 12.1% בסוף 2021.</w:t>
      </w:r>
    </w:p>
    <w:p w:rsidR="00421192" w:rsidRPr="00421192" w:rsidRDefault="00421192" w:rsidP="00421192">
      <w:pPr>
        <w:spacing w:after="120"/>
        <w:ind w:left="108"/>
        <w:rPr>
          <w:rFonts w:ascii="David" w:hAnsi="David" w:cs="David"/>
          <w:rtl/>
        </w:rPr>
      </w:pPr>
      <w:r>
        <w:rPr>
          <w:rFonts w:ascii="David" w:hAnsi="David" w:cs="David" w:hint="cs"/>
          <w:b/>
          <w:bCs/>
          <w:rtl/>
        </w:rPr>
        <w:t xml:space="preserve">בשני התרחישים, </w:t>
      </w:r>
      <w:r w:rsidR="00002C59">
        <w:rPr>
          <w:rFonts w:ascii="David" w:hAnsi="David" w:cs="David" w:hint="cs"/>
          <w:rtl/>
        </w:rPr>
        <w:t>חטיבת המחקר מעריכה ש</w:t>
      </w:r>
      <w:r w:rsidRPr="00521CB3">
        <w:rPr>
          <w:rFonts w:ascii="David" w:hAnsi="David" w:cs="David" w:hint="cs"/>
          <w:rtl/>
        </w:rPr>
        <w:t xml:space="preserve">הריבית צפויה לעמוד </w:t>
      </w:r>
      <w:r w:rsidRPr="00002C59">
        <w:rPr>
          <w:rFonts w:ascii="David" w:hAnsi="David" w:cs="David" w:hint="cs"/>
          <w:rtl/>
        </w:rPr>
        <w:t xml:space="preserve">בעוד שנה בטווח שבין 0%-0.1%, בדומה לתחזית מתחילת </w:t>
      </w:r>
      <w:r w:rsidRPr="00AA0661">
        <w:rPr>
          <w:rFonts w:ascii="David" w:hAnsi="David" w:cs="David" w:hint="cs"/>
          <w:rtl/>
        </w:rPr>
        <w:t xml:space="preserve">יולי, </w:t>
      </w:r>
      <w:r w:rsidRPr="00AA0661">
        <w:rPr>
          <w:rFonts w:ascii="David" w:hAnsi="David" w:cs="David" w:hint="eastAsia"/>
          <w:rtl/>
        </w:rPr>
        <w:t>אך</w:t>
      </w:r>
      <w:r w:rsidRPr="00AA0661">
        <w:rPr>
          <w:rFonts w:ascii="David" w:hAnsi="David" w:cs="David"/>
          <w:rtl/>
        </w:rPr>
        <w:t xml:space="preserve"> </w:t>
      </w:r>
      <w:r w:rsidRPr="00AA0661">
        <w:rPr>
          <w:rFonts w:ascii="David" w:hAnsi="David" w:cs="David" w:hint="eastAsia"/>
          <w:rtl/>
        </w:rPr>
        <w:t>ייתכן</w:t>
      </w:r>
      <w:r w:rsidRPr="00AA0661">
        <w:rPr>
          <w:rFonts w:ascii="David" w:hAnsi="David" w:cs="David"/>
          <w:rtl/>
        </w:rPr>
        <w:t xml:space="preserve"> </w:t>
      </w:r>
      <w:r w:rsidRPr="00AA0661">
        <w:rPr>
          <w:rFonts w:ascii="David" w:hAnsi="David" w:cs="David" w:hint="eastAsia"/>
          <w:rtl/>
        </w:rPr>
        <w:t>שבנק</w:t>
      </w:r>
      <w:r w:rsidRPr="00AA0661">
        <w:rPr>
          <w:rFonts w:ascii="David" w:hAnsi="David" w:cs="David"/>
          <w:rtl/>
        </w:rPr>
        <w:t xml:space="preserve"> </w:t>
      </w:r>
      <w:r w:rsidRPr="00AA0661">
        <w:rPr>
          <w:rFonts w:ascii="David" w:hAnsi="David" w:cs="David" w:hint="eastAsia"/>
          <w:rtl/>
        </w:rPr>
        <w:t>ישראל</w:t>
      </w:r>
      <w:r w:rsidRPr="00AA0661">
        <w:rPr>
          <w:rFonts w:ascii="David" w:hAnsi="David" w:cs="David"/>
          <w:rtl/>
        </w:rPr>
        <w:t xml:space="preserve"> </w:t>
      </w:r>
      <w:r w:rsidRPr="00AA0661">
        <w:rPr>
          <w:rFonts w:ascii="David" w:hAnsi="David" w:cs="David" w:hint="eastAsia"/>
          <w:rtl/>
        </w:rPr>
        <w:t>ירחיב</w:t>
      </w:r>
      <w:r w:rsidRPr="00AA0661">
        <w:rPr>
          <w:rFonts w:ascii="David" w:hAnsi="David" w:cs="David"/>
          <w:rtl/>
        </w:rPr>
        <w:t xml:space="preserve"> </w:t>
      </w:r>
      <w:r w:rsidRPr="00AA0661">
        <w:rPr>
          <w:rFonts w:ascii="David" w:hAnsi="David" w:cs="David" w:hint="eastAsia"/>
          <w:rtl/>
        </w:rPr>
        <w:t>או</w:t>
      </w:r>
      <w:r w:rsidRPr="00AA0661">
        <w:rPr>
          <w:rFonts w:ascii="David" w:hAnsi="David" w:cs="David"/>
          <w:rtl/>
        </w:rPr>
        <w:t xml:space="preserve"> </w:t>
      </w:r>
      <w:r w:rsidRPr="00AA0661">
        <w:rPr>
          <w:rFonts w:ascii="David" w:hAnsi="David" w:cs="David" w:hint="eastAsia"/>
          <w:rtl/>
        </w:rPr>
        <w:t>יאיץ</w:t>
      </w:r>
      <w:r w:rsidRPr="00AA0661">
        <w:rPr>
          <w:rFonts w:ascii="David" w:hAnsi="David" w:cs="David"/>
          <w:rtl/>
        </w:rPr>
        <w:t xml:space="preserve"> </w:t>
      </w:r>
      <w:r w:rsidRPr="00AA0661">
        <w:rPr>
          <w:rFonts w:ascii="David" w:hAnsi="David" w:cs="David" w:hint="eastAsia"/>
          <w:rtl/>
        </w:rPr>
        <w:t>את</w:t>
      </w:r>
      <w:r w:rsidRPr="00AA0661">
        <w:rPr>
          <w:rFonts w:ascii="David" w:hAnsi="David" w:cs="David"/>
          <w:rtl/>
        </w:rPr>
        <w:t xml:space="preserve"> </w:t>
      </w:r>
      <w:r w:rsidRPr="00AA0661">
        <w:rPr>
          <w:rFonts w:ascii="David" w:hAnsi="David" w:cs="David" w:hint="eastAsia"/>
          <w:rtl/>
        </w:rPr>
        <w:t>השימוש</w:t>
      </w:r>
      <w:r w:rsidRPr="00AA0661">
        <w:rPr>
          <w:rFonts w:ascii="David" w:hAnsi="David" w:cs="David"/>
          <w:rtl/>
        </w:rPr>
        <w:t xml:space="preserve"> </w:t>
      </w:r>
      <w:r w:rsidRPr="00AA0661">
        <w:rPr>
          <w:rFonts w:ascii="David" w:hAnsi="David" w:cs="David" w:hint="eastAsia"/>
          <w:rtl/>
        </w:rPr>
        <w:t>בכלי</w:t>
      </w:r>
      <w:r w:rsidRPr="00AA0661">
        <w:rPr>
          <w:rFonts w:ascii="David" w:hAnsi="David" w:cs="David"/>
          <w:rtl/>
        </w:rPr>
        <w:t xml:space="preserve"> </w:t>
      </w:r>
      <w:r w:rsidRPr="00AA0661">
        <w:rPr>
          <w:rFonts w:ascii="David" w:hAnsi="David" w:cs="David" w:hint="eastAsia"/>
          <w:rtl/>
        </w:rPr>
        <w:t>מדיניות</w:t>
      </w:r>
      <w:r w:rsidRPr="00AA0661">
        <w:rPr>
          <w:rFonts w:ascii="David" w:hAnsi="David" w:cs="David"/>
          <w:rtl/>
        </w:rPr>
        <w:t xml:space="preserve"> </w:t>
      </w:r>
      <w:r w:rsidRPr="00AA0661">
        <w:rPr>
          <w:rFonts w:ascii="David" w:hAnsi="David" w:cs="David" w:hint="cs"/>
          <w:rtl/>
        </w:rPr>
        <w:t xml:space="preserve">קיימים או נוספים, </w:t>
      </w:r>
      <w:r w:rsidRPr="00002C59">
        <w:rPr>
          <w:rFonts w:ascii="David" w:hAnsi="David" w:cs="David" w:hint="eastAsia"/>
          <w:rtl/>
        </w:rPr>
        <w:t>כולל</w:t>
      </w:r>
      <w:r w:rsidRPr="00002C59">
        <w:rPr>
          <w:rFonts w:ascii="David" w:hAnsi="David" w:cs="David"/>
          <w:rtl/>
        </w:rPr>
        <w:t xml:space="preserve"> </w:t>
      </w:r>
      <w:r w:rsidRPr="00002C59">
        <w:rPr>
          <w:rFonts w:ascii="David" w:hAnsi="David" w:cs="David" w:hint="eastAsia"/>
          <w:rtl/>
        </w:rPr>
        <w:t>כלי</w:t>
      </w:r>
      <w:r w:rsidRPr="00002C59">
        <w:rPr>
          <w:rFonts w:ascii="David" w:hAnsi="David" w:cs="David"/>
          <w:rtl/>
        </w:rPr>
        <w:t xml:space="preserve"> </w:t>
      </w:r>
      <w:r w:rsidRPr="00002C59">
        <w:rPr>
          <w:rFonts w:ascii="David" w:hAnsi="David" w:cs="David" w:hint="eastAsia"/>
          <w:rtl/>
        </w:rPr>
        <w:t>הריבית</w:t>
      </w:r>
      <w:r w:rsidRPr="00002C59">
        <w:rPr>
          <w:rFonts w:ascii="David" w:hAnsi="David" w:cs="David" w:hint="cs"/>
          <w:rtl/>
        </w:rPr>
        <w:t>, בהתאם להתפתחויות.</w:t>
      </w:r>
    </w:p>
    <w:p w:rsidR="00917C6D" w:rsidRDefault="00917C6D" w:rsidP="00521CB3">
      <w:pPr>
        <w:pStyle w:val="1"/>
        <w:ind w:left="113" w:hanging="90"/>
        <w:rPr>
          <w:rFonts w:ascii="David" w:hAnsi="David" w:cs="David"/>
          <w:rtl/>
        </w:rPr>
      </w:pPr>
      <w:r w:rsidRPr="0086400E">
        <w:rPr>
          <w:rFonts w:ascii="David" w:hAnsi="David" w:cs="David"/>
          <w:rtl/>
        </w:rPr>
        <w:lastRenderedPageBreak/>
        <w:t>התחזית</w:t>
      </w:r>
    </w:p>
    <w:p w:rsidR="009E4927" w:rsidRPr="009E4927" w:rsidRDefault="009E4927" w:rsidP="006E7F8E">
      <w:pPr>
        <w:spacing w:before="120" w:after="120"/>
        <w:ind w:left="113"/>
        <w:rPr>
          <w:rFonts w:ascii="David" w:hAnsi="David" w:cs="David"/>
        </w:rPr>
      </w:pPr>
      <w:r>
        <w:rPr>
          <w:rFonts w:ascii="David" w:hAnsi="David" w:cs="David"/>
          <w:rtl/>
        </w:rPr>
        <w:t>בתחזית</w:t>
      </w:r>
      <w:r>
        <w:rPr>
          <w:rFonts w:ascii="David" w:hAnsi="David" w:cs="David"/>
        </w:rPr>
        <w:t xml:space="preserve"> </w:t>
      </w:r>
      <w:r>
        <w:rPr>
          <w:rFonts w:ascii="David" w:hAnsi="David" w:cs="David"/>
          <w:rtl/>
        </w:rPr>
        <w:t>זו</w:t>
      </w:r>
      <w:r w:rsidR="005B0CF9">
        <w:rPr>
          <w:rFonts w:ascii="David" w:hAnsi="David" w:cs="David" w:hint="cs"/>
          <w:rtl/>
        </w:rPr>
        <w:t xml:space="preserve">, </w:t>
      </w:r>
      <w:r w:rsidR="00521CB3">
        <w:rPr>
          <w:rFonts w:ascii="David" w:hAnsi="David" w:cs="David" w:hint="cs"/>
          <w:rtl/>
        </w:rPr>
        <w:t>בדומה ל</w:t>
      </w:r>
      <w:r>
        <w:rPr>
          <w:rFonts w:ascii="David" w:hAnsi="David" w:cs="David"/>
          <w:rtl/>
        </w:rPr>
        <w:t>תחזי</w:t>
      </w:r>
      <w:r w:rsidR="005B0CF9">
        <w:rPr>
          <w:rFonts w:ascii="David" w:hAnsi="David" w:cs="David" w:hint="cs"/>
          <w:rtl/>
        </w:rPr>
        <w:t>ו</w:t>
      </w:r>
      <w:r>
        <w:rPr>
          <w:rFonts w:ascii="David" w:hAnsi="David" w:cs="David"/>
          <w:rtl/>
        </w:rPr>
        <w:t>ת</w:t>
      </w:r>
      <w:r w:rsidR="00521CB3">
        <w:rPr>
          <w:rFonts w:ascii="David" w:hAnsi="David" w:cs="David" w:hint="cs"/>
          <w:rtl/>
        </w:rPr>
        <w:t xml:space="preserve"> האחרונות</w:t>
      </w:r>
      <w:r>
        <w:rPr>
          <w:rFonts w:ascii="David" w:hAnsi="David" w:cs="David"/>
        </w:rPr>
        <w:t xml:space="preserve"> </w:t>
      </w:r>
      <w:r>
        <w:rPr>
          <w:rFonts w:ascii="David" w:hAnsi="David" w:cs="David"/>
          <w:rtl/>
        </w:rPr>
        <w:t>שפורסמ</w:t>
      </w:r>
      <w:r w:rsidR="005B0CF9">
        <w:rPr>
          <w:rFonts w:ascii="David" w:hAnsi="David" w:cs="David" w:hint="cs"/>
          <w:rtl/>
        </w:rPr>
        <w:t xml:space="preserve">ו, </w:t>
      </w:r>
      <w:r>
        <w:rPr>
          <w:rFonts w:ascii="David" w:hAnsi="David" w:cs="David"/>
          <w:rtl/>
        </w:rPr>
        <w:t>הושם</w:t>
      </w:r>
      <w:r>
        <w:rPr>
          <w:rFonts w:ascii="David" w:hAnsi="David" w:cs="David"/>
        </w:rPr>
        <w:t xml:space="preserve"> </w:t>
      </w:r>
      <w:r>
        <w:rPr>
          <w:rFonts w:ascii="David" w:hAnsi="David" w:cs="David"/>
          <w:rtl/>
        </w:rPr>
        <w:t>דגש</w:t>
      </w:r>
      <w:r>
        <w:rPr>
          <w:rFonts w:ascii="David" w:hAnsi="David" w:cs="David"/>
        </w:rPr>
        <w:t xml:space="preserve"> </w:t>
      </w:r>
      <w:r>
        <w:rPr>
          <w:rFonts w:ascii="David" w:hAnsi="David" w:cs="David"/>
          <w:rtl/>
        </w:rPr>
        <w:t>מיוחד</w:t>
      </w:r>
      <w:r>
        <w:rPr>
          <w:rFonts w:ascii="David" w:hAnsi="David" w:cs="David" w:hint="cs"/>
          <w:rtl/>
        </w:rPr>
        <w:t xml:space="preserve"> על ניתוח ענפי לצורך הבנת ההשפעות הכלכליות של משבר </w:t>
      </w:r>
      <w:r w:rsidR="00E05A87">
        <w:rPr>
          <w:rFonts w:ascii="David" w:hAnsi="David" w:cs="David" w:hint="cs"/>
          <w:rtl/>
        </w:rPr>
        <w:t xml:space="preserve">הקורונה </w:t>
      </w:r>
      <w:r>
        <w:rPr>
          <w:rFonts w:ascii="David" w:hAnsi="David" w:cs="David" w:hint="cs"/>
          <w:rtl/>
        </w:rPr>
        <w:t xml:space="preserve">וצעדי המדיניות </w:t>
      </w:r>
      <w:r w:rsidR="00E05A87">
        <w:rPr>
          <w:rFonts w:ascii="David" w:hAnsi="David" w:cs="David" w:hint="cs"/>
          <w:rtl/>
        </w:rPr>
        <w:t>שננקטו בעקבות המשבר</w:t>
      </w:r>
      <w:r>
        <w:rPr>
          <w:rFonts w:ascii="David" w:hAnsi="David" w:cs="David" w:hint="cs"/>
          <w:rtl/>
        </w:rPr>
        <w:t>. בפרט, התחזית מושתתת על הערכה ביחס להשבתת ענפי המשק כתוצאה מצעדי הממשלה למאבק בהתפשטות הקורונה. בנוסף, התחזית מגלמת מידע מאינדיקטורים</w:t>
      </w:r>
      <w:r w:rsidR="003967FE">
        <w:rPr>
          <w:rFonts w:ascii="David" w:hAnsi="David" w:cs="David" w:hint="cs"/>
          <w:rtl/>
        </w:rPr>
        <w:t xml:space="preserve"> וממודלים נוספים, </w:t>
      </w:r>
      <w:r w:rsidR="006E7F8E">
        <w:rPr>
          <w:rFonts w:ascii="David" w:hAnsi="David" w:cs="David" w:hint="cs"/>
          <w:rtl/>
        </w:rPr>
        <w:t>ו</w:t>
      </w:r>
      <w:r w:rsidR="003967FE">
        <w:rPr>
          <w:rFonts w:ascii="David" w:hAnsi="David" w:cs="David" w:hint="cs"/>
          <w:rtl/>
        </w:rPr>
        <w:t xml:space="preserve">את השלמת התחזית לכדי תחזית מקרו-כלכלית לכלל המשתנים הריאליים והנומינליים ביצענו באמצעות מודל מבני שמבוסס על יסודות מיקרו-כלכליים </w:t>
      </w:r>
      <w:r w:rsidR="00BE6A4E">
        <w:rPr>
          <w:rFonts w:ascii="David" w:hAnsi="David" w:cs="David" w:hint="eastAsia"/>
          <w:rtl/>
        </w:rPr>
        <w:t xml:space="preserve">– </w:t>
      </w:r>
      <w:r w:rsidR="003967FE">
        <w:rPr>
          <w:rFonts w:ascii="David" w:hAnsi="David" w:cs="David" w:hint="cs"/>
          <w:rtl/>
        </w:rPr>
        <w:t xml:space="preserve">מודל </w:t>
      </w:r>
      <w:r w:rsidR="003967FE" w:rsidRPr="00885F33">
        <w:rPr>
          <w:rFonts w:ascii="David" w:hAnsi="David" w:cs="David" w:hint="cs"/>
          <w:rtl/>
        </w:rPr>
        <w:t>ה-</w:t>
      </w:r>
      <w:r w:rsidR="003967FE" w:rsidRPr="00885F33">
        <w:rPr>
          <w:rFonts w:ascii="David" w:hAnsi="David" w:cs="David"/>
        </w:rPr>
        <w:t>DSGE</w:t>
      </w:r>
      <w:r w:rsidR="003967FE" w:rsidRPr="00885F33">
        <w:rPr>
          <w:rFonts w:ascii="David" w:hAnsi="David" w:cs="David" w:hint="cs"/>
          <w:rtl/>
        </w:rPr>
        <w:t xml:space="preserve"> (</w:t>
      </w:r>
      <w:r w:rsidR="003967FE" w:rsidRPr="00885F33">
        <w:rPr>
          <w:rFonts w:ascii="David" w:hAnsi="David" w:cs="David"/>
        </w:rPr>
        <w:t>Dynamic Stochastic General Equilibrium</w:t>
      </w:r>
      <w:r w:rsidR="003967FE" w:rsidRPr="00885F33">
        <w:rPr>
          <w:rFonts w:ascii="David" w:hAnsi="David" w:cs="David" w:hint="cs"/>
          <w:rtl/>
        </w:rPr>
        <w:t>)</w:t>
      </w:r>
      <w:r w:rsidR="003967FE">
        <w:rPr>
          <w:rFonts w:ascii="David" w:hAnsi="David" w:cs="David" w:hint="cs"/>
          <w:rtl/>
        </w:rPr>
        <w:t xml:space="preserve"> שפותח בחטיבת המחקר</w:t>
      </w:r>
      <w:r w:rsidR="003967FE" w:rsidRPr="0086400E">
        <w:rPr>
          <w:rStyle w:val="a5"/>
          <w:rFonts w:ascii="David" w:hAnsi="David" w:cs="David"/>
          <w:rtl/>
        </w:rPr>
        <w:footnoteReference w:id="4"/>
      </w:r>
      <w:r w:rsidR="003967FE">
        <w:rPr>
          <w:rFonts w:ascii="David" w:hAnsi="David" w:cs="David" w:hint="cs"/>
          <w:rtl/>
        </w:rPr>
        <w:t>.</w:t>
      </w:r>
    </w:p>
    <w:p w:rsidR="00917C6D" w:rsidRPr="0086400E" w:rsidRDefault="00917C6D" w:rsidP="00917C6D">
      <w:pPr>
        <w:pStyle w:val="2"/>
        <w:ind w:left="113"/>
        <w:rPr>
          <w:rFonts w:ascii="David" w:hAnsi="David" w:cs="David"/>
        </w:rPr>
      </w:pPr>
      <w:r w:rsidRPr="0086400E">
        <w:rPr>
          <w:rFonts w:ascii="David" w:hAnsi="David" w:cs="David"/>
          <w:rtl/>
        </w:rPr>
        <w:t>הסביבה העולמית</w:t>
      </w:r>
    </w:p>
    <w:p w:rsidR="00521CB3" w:rsidRPr="00521CB3" w:rsidRDefault="00521CB3" w:rsidP="00AA0661">
      <w:pPr>
        <w:spacing w:before="120" w:after="120"/>
        <w:ind w:left="113"/>
        <w:rPr>
          <w:rFonts w:ascii="David" w:hAnsi="David" w:cs="David"/>
          <w:rtl/>
        </w:rPr>
      </w:pPr>
      <w:r w:rsidRPr="00521CB3">
        <w:rPr>
          <w:rFonts w:ascii="David" w:hAnsi="David" w:cs="David"/>
          <w:rtl/>
        </w:rPr>
        <w:t>הערכותינו לגבי ההתפתחויות בסביבה העולמית מתבססות בעיקרן על התחזיות שמגבשים מוסדות בין-לאומיים ובתי השקעות זרים. ההנחות בדבר התוצר, האינפלציה</w:t>
      </w:r>
      <w:r w:rsidR="003B32DD">
        <w:rPr>
          <w:rFonts w:ascii="David" w:hAnsi="David" w:cs="David" w:hint="cs"/>
          <w:rtl/>
        </w:rPr>
        <w:t>,</w:t>
      </w:r>
      <w:r w:rsidRPr="00521CB3">
        <w:rPr>
          <w:rFonts w:ascii="David" w:hAnsi="David" w:cs="David"/>
          <w:rtl/>
        </w:rPr>
        <w:t xml:space="preserve"> הסחר העולמי והריבית במדינות המפותחות דומות לאלו ששימשו אותנו בתחזית הקודמת</w:t>
      </w:r>
      <w:r w:rsidR="003B32DD">
        <w:rPr>
          <w:rFonts w:ascii="David" w:hAnsi="David" w:cs="David" w:hint="cs"/>
          <w:rtl/>
        </w:rPr>
        <w:t>,</w:t>
      </w:r>
      <w:r w:rsidRPr="00521CB3">
        <w:rPr>
          <w:rFonts w:ascii="David" w:hAnsi="David" w:cs="David"/>
          <w:rtl/>
        </w:rPr>
        <w:t xml:space="preserve"> תוך עדכון קל בהתאם להתפתחויות ולתרחישים השונים. בפרט, בתרחיש </w:t>
      </w:r>
      <w:r w:rsidR="00002C59">
        <w:rPr>
          <w:rFonts w:ascii="David" w:hAnsi="David" w:cs="David" w:hint="cs"/>
          <w:rtl/>
        </w:rPr>
        <w:t>האופטימי</w:t>
      </w:r>
      <w:r w:rsidR="00002C59" w:rsidRPr="00521CB3">
        <w:rPr>
          <w:rFonts w:ascii="David" w:hAnsi="David" w:cs="David"/>
          <w:rtl/>
        </w:rPr>
        <w:t xml:space="preserve"> </w:t>
      </w:r>
      <w:r w:rsidRPr="00521CB3">
        <w:rPr>
          <w:rFonts w:ascii="David" w:hAnsi="David" w:cs="David"/>
          <w:rtl/>
        </w:rPr>
        <w:t>תחזית צמיחת יבוא המדינות המפותחות בשנת 2020 עודכנה מעלה ב</w:t>
      </w:r>
      <w:r w:rsidR="003B32DD">
        <w:rPr>
          <w:rFonts w:ascii="David" w:hAnsi="David" w:cs="David" w:hint="cs"/>
          <w:rtl/>
        </w:rPr>
        <w:t>נקודת אחוז</w:t>
      </w:r>
      <w:r w:rsidR="00A05D5C">
        <w:rPr>
          <w:rFonts w:ascii="David" w:hAnsi="David" w:cs="David" w:hint="cs"/>
          <w:rtl/>
        </w:rPr>
        <w:t xml:space="preserve"> </w:t>
      </w:r>
      <w:r w:rsidRPr="00521CB3">
        <w:rPr>
          <w:rFonts w:ascii="David" w:hAnsi="David" w:cs="David"/>
          <w:rtl/>
        </w:rPr>
        <w:t>ל-12%-, והתחזית לשנת 2021 הופחתה ל-7%. האינפלציה הצפויה עודכנה כלפי מעלה בכל אחת מהשנים 2020 ו-2021 ל- 0.5% ו-1.6% בהתאמה.</w:t>
      </w:r>
      <w:r w:rsidR="00AA0661">
        <w:rPr>
          <w:rFonts w:ascii="David" w:hAnsi="David" w:cs="David" w:hint="cs"/>
          <w:rtl/>
        </w:rPr>
        <w:t xml:space="preserve"> בדומה לתרחיש הבסיס בתחזית יולי אנחנו מניחים כי התוצר במדינות המפותחות</w:t>
      </w:r>
      <w:r w:rsidR="00AA0661" w:rsidRPr="00920C5B">
        <w:rPr>
          <w:rFonts w:ascii="David" w:hAnsi="David" w:cs="David"/>
          <w:rtl/>
        </w:rPr>
        <w:t xml:space="preserve"> </w:t>
      </w:r>
      <w:r w:rsidR="00AA0661">
        <w:rPr>
          <w:rFonts w:ascii="David" w:hAnsi="David" w:cs="David" w:hint="cs"/>
          <w:rtl/>
        </w:rPr>
        <w:t>יתכווץ</w:t>
      </w:r>
      <w:r w:rsidR="00AA0661" w:rsidRPr="00920C5B">
        <w:rPr>
          <w:rFonts w:ascii="David" w:hAnsi="David" w:cs="David"/>
          <w:rtl/>
        </w:rPr>
        <w:t xml:space="preserve"> </w:t>
      </w:r>
      <w:r w:rsidR="00AA0661">
        <w:rPr>
          <w:rFonts w:ascii="David" w:hAnsi="David" w:cs="David" w:hint="cs"/>
          <w:rtl/>
        </w:rPr>
        <w:t xml:space="preserve">ב-2020 </w:t>
      </w:r>
      <w:r w:rsidR="00AA0661" w:rsidRPr="00920C5B">
        <w:rPr>
          <w:rFonts w:ascii="David" w:hAnsi="David" w:cs="David"/>
          <w:rtl/>
        </w:rPr>
        <w:t>ב-</w:t>
      </w:r>
      <w:r w:rsidR="00AA0661">
        <w:rPr>
          <w:rFonts w:ascii="David" w:hAnsi="David" w:cs="David" w:hint="cs"/>
          <w:rtl/>
        </w:rPr>
        <w:t>8.0</w:t>
      </w:r>
      <w:r w:rsidR="00AA0661" w:rsidRPr="00920C5B">
        <w:rPr>
          <w:rFonts w:ascii="David" w:hAnsi="David" w:cs="David"/>
          <w:rtl/>
        </w:rPr>
        <w:t xml:space="preserve">% </w:t>
      </w:r>
      <w:r w:rsidR="00AA0661" w:rsidRPr="00920C5B">
        <w:rPr>
          <w:rFonts w:ascii="David" w:hAnsi="David" w:cs="David" w:hint="cs"/>
          <w:rtl/>
        </w:rPr>
        <w:t>ו</w:t>
      </w:r>
      <w:r w:rsidR="00AA0661">
        <w:rPr>
          <w:rFonts w:ascii="David" w:hAnsi="David" w:cs="David" w:hint="cs"/>
          <w:rtl/>
        </w:rPr>
        <w:t>יצמח ב-2021 ב</w:t>
      </w:r>
      <w:r w:rsidR="00AA0661" w:rsidRPr="00920C5B">
        <w:rPr>
          <w:rFonts w:ascii="David" w:hAnsi="David" w:cs="David"/>
          <w:rtl/>
        </w:rPr>
        <w:t>-</w:t>
      </w:r>
      <w:r w:rsidR="00AA0661">
        <w:rPr>
          <w:rFonts w:ascii="David" w:hAnsi="David" w:cs="David" w:hint="cs"/>
          <w:rtl/>
        </w:rPr>
        <w:t>4.8</w:t>
      </w:r>
      <w:r w:rsidR="00AA0661" w:rsidRPr="00920C5B">
        <w:rPr>
          <w:rFonts w:ascii="David" w:hAnsi="David" w:cs="David"/>
          <w:rtl/>
        </w:rPr>
        <w:t>%</w:t>
      </w:r>
      <w:r w:rsidR="00AA0661">
        <w:rPr>
          <w:rFonts w:ascii="David" w:hAnsi="David" w:cs="David" w:hint="cs"/>
          <w:rtl/>
        </w:rPr>
        <w:t>, ו</w:t>
      </w:r>
      <w:r w:rsidR="00DA5CD2">
        <w:rPr>
          <w:rFonts w:ascii="David" w:hAnsi="David" w:cs="David" w:hint="cs"/>
          <w:rtl/>
        </w:rPr>
        <w:t>כן ש</w:t>
      </w:r>
      <w:r w:rsidR="00AA0661">
        <w:rPr>
          <w:rFonts w:ascii="David" w:hAnsi="David" w:cs="David" w:hint="cs"/>
          <w:rtl/>
        </w:rPr>
        <w:t>הריבית המוניטרית תישאר עד סוף 2021 על רמה ממוצעת של 0.1%.</w:t>
      </w:r>
      <w:r w:rsidRPr="00521CB3">
        <w:rPr>
          <w:rFonts w:ascii="David" w:hAnsi="David" w:cs="David"/>
          <w:rtl/>
        </w:rPr>
        <w:t xml:space="preserve"> </w:t>
      </w:r>
    </w:p>
    <w:p w:rsidR="00AA0661" w:rsidRDefault="00521CB3" w:rsidP="00E27831">
      <w:pPr>
        <w:spacing w:before="120" w:after="120"/>
        <w:ind w:left="113"/>
        <w:rPr>
          <w:rFonts w:ascii="David" w:hAnsi="David" w:cs="David"/>
          <w:rtl/>
        </w:rPr>
      </w:pPr>
      <w:r w:rsidRPr="00521CB3">
        <w:rPr>
          <w:rFonts w:ascii="David" w:hAnsi="David" w:cs="David"/>
          <w:rtl/>
        </w:rPr>
        <w:t xml:space="preserve">בתרחיש </w:t>
      </w:r>
      <w:r w:rsidR="00002C59">
        <w:rPr>
          <w:rFonts w:ascii="David" w:hAnsi="David" w:cs="David" w:hint="cs"/>
          <w:rtl/>
        </w:rPr>
        <w:t>הפסימי</w:t>
      </w:r>
      <w:r w:rsidRPr="00521CB3">
        <w:rPr>
          <w:rFonts w:ascii="David" w:hAnsi="David" w:cs="David"/>
          <w:rtl/>
        </w:rPr>
        <w:t xml:space="preserve"> </w:t>
      </w:r>
      <w:r w:rsidR="007170FF">
        <w:rPr>
          <w:rFonts w:ascii="David" w:hAnsi="David" w:cs="David" w:hint="cs"/>
          <w:rtl/>
        </w:rPr>
        <w:t xml:space="preserve">אנו מניחים גם לגבי העולם מצב פחות טוב </w:t>
      </w:r>
      <w:r w:rsidR="006856EF">
        <w:rPr>
          <w:rFonts w:ascii="David" w:hAnsi="David" w:cs="David" w:hint="cs"/>
          <w:rtl/>
        </w:rPr>
        <w:t xml:space="preserve">ביחס למצבו בתרחיש </w:t>
      </w:r>
      <w:r w:rsidR="00002C59">
        <w:rPr>
          <w:rFonts w:ascii="David" w:hAnsi="David" w:cs="David" w:hint="cs"/>
          <w:rtl/>
        </w:rPr>
        <w:t>האופטימי</w:t>
      </w:r>
      <w:r w:rsidR="006856EF">
        <w:rPr>
          <w:rFonts w:ascii="David" w:hAnsi="David" w:cs="David" w:hint="cs"/>
          <w:rtl/>
        </w:rPr>
        <w:t xml:space="preserve">, והוא </w:t>
      </w:r>
      <w:r w:rsidR="007170FF">
        <w:rPr>
          <w:rFonts w:ascii="David" w:hAnsi="David" w:cs="David" w:hint="cs"/>
          <w:rtl/>
        </w:rPr>
        <w:t>כולל גל תחלואה שני ברבעון הרביעי</w:t>
      </w:r>
      <w:r w:rsidR="00AA0661">
        <w:rPr>
          <w:rFonts w:ascii="David" w:hAnsi="David" w:cs="David" w:hint="cs"/>
          <w:rtl/>
        </w:rPr>
        <w:t xml:space="preserve"> של 2020</w:t>
      </w:r>
      <w:r w:rsidR="007170FF">
        <w:rPr>
          <w:rFonts w:ascii="David" w:hAnsi="David" w:cs="David" w:hint="cs"/>
          <w:rtl/>
        </w:rPr>
        <w:t xml:space="preserve">. </w:t>
      </w:r>
      <w:r w:rsidRPr="00521CB3">
        <w:rPr>
          <w:rFonts w:ascii="David" w:hAnsi="David" w:cs="David"/>
          <w:rtl/>
        </w:rPr>
        <w:t xml:space="preserve">יבוא המדינות המפותחות בשנת 2020 </w:t>
      </w:r>
      <w:r w:rsidR="007170FF">
        <w:rPr>
          <w:rFonts w:ascii="David" w:hAnsi="David" w:cs="David" w:hint="cs"/>
          <w:rtl/>
        </w:rPr>
        <w:t>צפוי להתכווץ</w:t>
      </w:r>
      <w:r w:rsidRPr="00521CB3">
        <w:rPr>
          <w:rFonts w:ascii="David" w:hAnsi="David" w:cs="David"/>
          <w:rtl/>
        </w:rPr>
        <w:t xml:space="preserve"> </w:t>
      </w:r>
      <w:r w:rsidR="007170FF">
        <w:rPr>
          <w:rFonts w:ascii="David" w:hAnsi="David" w:cs="David" w:hint="cs"/>
          <w:rtl/>
        </w:rPr>
        <w:t>ב</w:t>
      </w:r>
      <w:r w:rsidRPr="00521CB3">
        <w:rPr>
          <w:rFonts w:ascii="David" w:hAnsi="David" w:cs="David"/>
          <w:rtl/>
        </w:rPr>
        <w:t xml:space="preserve">-13.5%, </w:t>
      </w:r>
      <w:r w:rsidR="007170FF">
        <w:rPr>
          <w:rFonts w:ascii="David" w:hAnsi="David" w:cs="David" w:hint="cs"/>
          <w:rtl/>
        </w:rPr>
        <w:t>ולצמוח</w:t>
      </w:r>
      <w:r w:rsidR="007170FF" w:rsidRPr="00521CB3">
        <w:rPr>
          <w:rFonts w:ascii="David" w:hAnsi="David" w:cs="David"/>
          <w:rtl/>
        </w:rPr>
        <w:t xml:space="preserve"> </w:t>
      </w:r>
      <w:r w:rsidR="007170FF">
        <w:rPr>
          <w:rFonts w:ascii="David" w:hAnsi="David" w:cs="David" w:hint="cs"/>
          <w:rtl/>
        </w:rPr>
        <w:t>ב-</w:t>
      </w:r>
      <w:r w:rsidRPr="00521CB3">
        <w:rPr>
          <w:rFonts w:ascii="David" w:hAnsi="David" w:cs="David"/>
          <w:rtl/>
        </w:rPr>
        <w:t>4.5%</w:t>
      </w:r>
      <w:r w:rsidR="007170FF">
        <w:rPr>
          <w:rFonts w:ascii="David" w:hAnsi="David" w:cs="David" w:hint="cs"/>
          <w:rtl/>
        </w:rPr>
        <w:t xml:space="preserve"> ב-2021</w:t>
      </w:r>
      <w:r w:rsidR="00AA0661">
        <w:rPr>
          <w:rFonts w:ascii="David" w:hAnsi="David" w:cs="David" w:hint="cs"/>
          <w:rtl/>
        </w:rPr>
        <w:t>, והתוצר צפוי להתכווץ ב</w:t>
      </w:r>
      <w:r w:rsidR="00E27831">
        <w:rPr>
          <w:rFonts w:ascii="David" w:hAnsi="David" w:cs="David" w:hint="cs"/>
          <w:rtl/>
        </w:rPr>
        <w:t>-9.8%</w:t>
      </w:r>
      <w:r w:rsidR="00AA0661">
        <w:rPr>
          <w:rFonts w:ascii="David" w:hAnsi="David" w:cs="David" w:hint="cs"/>
          <w:rtl/>
        </w:rPr>
        <w:t xml:space="preserve"> ולצמוח ב-</w:t>
      </w:r>
      <w:r w:rsidR="00E27831">
        <w:rPr>
          <w:rFonts w:ascii="David" w:hAnsi="David" w:cs="David" w:hint="cs"/>
          <w:rtl/>
        </w:rPr>
        <w:t>2.2%</w:t>
      </w:r>
      <w:r w:rsidR="00AA0661">
        <w:rPr>
          <w:rFonts w:ascii="David" w:hAnsi="David" w:cs="David" w:hint="cs"/>
          <w:rtl/>
        </w:rPr>
        <w:t xml:space="preserve"> בהתאמה.</w:t>
      </w:r>
      <w:r w:rsidR="00E27831">
        <w:rPr>
          <w:rFonts w:ascii="David" w:hAnsi="David" w:cs="David" w:hint="cs"/>
          <w:rtl/>
        </w:rPr>
        <w:t xml:space="preserve"> האינפלציה במדינות המפותחות צפויה לעלות בתרחיש זה ב-0.3% ב-2020 וב-1.1% ב-2021</w:t>
      </w:r>
      <w:r w:rsidR="00DA5CD2">
        <w:rPr>
          <w:rFonts w:ascii="David" w:hAnsi="David" w:cs="David" w:hint="cs"/>
          <w:rtl/>
        </w:rPr>
        <w:t xml:space="preserve"> </w:t>
      </w:r>
      <w:r w:rsidR="00E27831">
        <w:rPr>
          <w:rFonts w:ascii="David" w:hAnsi="David" w:cs="David" w:hint="cs"/>
          <w:rtl/>
        </w:rPr>
        <w:t>ואילו הריבית צפויה להגיע לרמה ממוצעת של 0% ב-2021.</w:t>
      </w:r>
    </w:p>
    <w:p w:rsidR="009E4927" w:rsidRPr="00166515" w:rsidRDefault="00521CB3" w:rsidP="003B32DD">
      <w:pPr>
        <w:spacing w:before="120" w:after="120"/>
        <w:ind w:left="113"/>
        <w:rPr>
          <w:rFonts w:ascii="David" w:hAnsi="David" w:cs="David"/>
          <w:rtl/>
        </w:rPr>
      </w:pPr>
      <w:r w:rsidRPr="00521CB3">
        <w:rPr>
          <w:rFonts w:ascii="David" w:hAnsi="David" w:cs="David"/>
          <w:rtl/>
        </w:rPr>
        <w:t>מחיר הנפט הוסיף להתאושש מאז פרסום תחזית יולי – המחיר הממוצע ברבעון השלישי של 2020 של חבית נפט מסוג "ברנט" עמד על כ-44 דולרים (תחת הנחת יציבות במחיר הנפט עד סוף הרבעון), גבוה בכ-30% מהמחיר הממוצע ברבעון השני.</w:t>
      </w:r>
      <w:r w:rsidR="00D61FE7">
        <w:rPr>
          <w:rFonts w:ascii="David" w:hAnsi="David" w:cs="David" w:hint="cs"/>
          <w:rtl/>
        </w:rPr>
        <w:t xml:space="preserve"> אנו מניחים שהמחירים </w:t>
      </w:r>
      <w:r w:rsidR="003B32DD">
        <w:rPr>
          <w:rFonts w:ascii="David" w:hAnsi="David" w:cs="David" w:hint="cs"/>
          <w:rtl/>
        </w:rPr>
        <w:t xml:space="preserve">יוותרו </w:t>
      </w:r>
      <w:r w:rsidR="00D61FE7">
        <w:rPr>
          <w:rFonts w:ascii="David" w:hAnsi="David" w:cs="David" w:hint="cs"/>
          <w:rtl/>
        </w:rPr>
        <w:t>יציבים בהמשך.</w:t>
      </w:r>
    </w:p>
    <w:p w:rsidR="00917C6D" w:rsidRPr="0086400E" w:rsidRDefault="00917C6D" w:rsidP="00917C6D">
      <w:pPr>
        <w:pStyle w:val="2"/>
        <w:ind w:left="113"/>
        <w:rPr>
          <w:rFonts w:ascii="David" w:hAnsi="David" w:cs="David"/>
          <w:rtl/>
        </w:rPr>
      </w:pPr>
      <w:r w:rsidRPr="0086400E">
        <w:rPr>
          <w:rFonts w:ascii="David" w:hAnsi="David" w:cs="David"/>
          <w:rtl/>
        </w:rPr>
        <w:t>הפעילות הריאלית בישראל</w:t>
      </w:r>
    </w:p>
    <w:p w:rsidR="006238BB" w:rsidRDefault="00E84CC8" w:rsidP="00421192">
      <w:pPr>
        <w:spacing w:after="120"/>
        <w:ind w:left="113"/>
        <w:rPr>
          <w:rFonts w:ascii="David" w:hAnsi="David" w:cs="David"/>
          <w:rtl/>
        </w:rPr>
      </w:pPr>
      <w:bookmarkStart w:id="1" w:name="_Ref503088307"/>
      <w:r>
        <w:rPr>
          <w:rFonts w:ascii="David" w:hAnsi="David" w:cs="David" w:hint="cs"/>
          <w:b/>
          <w:bCs/>
          <w:rtl/>
        </w:rPr>
        <w:t>בנקודת המוצא של שני התרחישים</w:t>
      </w:r>
      <w:r w:rsidR="006238BB">
        <w:rPr>
          <w:rFonts w:ascii="David" w:hAnsi="David" w:cs="David" w:hint="cs"/>
          <w:b/>
          <w:bCs/>
          <w:rtl/>
        </w:rPr>
        <w:t>,</w:t>
      </w:r>
      <w:r>
        <w:rPr>
          <w:rFonts w:ascii="David" w:hAnsi="David" w:cs="David" w:hint="cs"/>
          <w:b/>
          <w:bCs/>
          <w:rtl/>
        </w:rPr>
        <w:t xml:space="preserve"> פגיעת המשבר בכלכלה נמוכה מכפי שהערכנו בבסיס התחזית ביולי. </w:t>
      </w:r>
      <w:r w:rsidR="003B32DD">
        <w:rPr>
          <w:rFonts w:ascii="David" w:hAnsi="David" w:cs="David" w:hint="cs"/>
          <w:rtl/>
        </w:rPr>
        <w:t xml:space="preserve">על פי האומדן הראשון לנתוני החשבונאות הלאומית שפרסמה </w:t>
      </w:r>
      <w:proofErr w:type="spellStart"/>
      <w:r w:rsidR="003B32DD">
        <w:rPr>
          <w:rFonts w:ascii="David" w:hAnsi="David" w:cs="David" w:hint="cs"/>
          <w:rtl/>
        </w:rPr>
        <w:t>הלמ"ס</w:t>
      </w:r>
      <w:proofErr w:type="spellEnd"/>
      <w:r w:rsidR="003B32DD">
        <w:rPr>
          <w:rFonts w:ascii="David" w:hAnsi="David" w:cs="David" w:hint="cs"/>
          <w:rtl/>
        </w:rPr>
        <w:t>, התוצר התכווץ ברבעון השני ב</w:t>
      </w:r>
      <w:r w:rsidR="00A6532C" w:rsidRPr="00E11C09">
        <w:rPr>
          <w:rFonts w:ascii="David" w:hAnsi="David" w:cs="David" w:hint="cs"/>
          <w:rtl/>
        </w:rPr>
        <w:t>-28</w:t>
      </w:r>
      <w:r w:rsidR="00421192">
        <w:rPr>
          <w:rFonts w:ascii="David" w:hAnsi="David" w:cs="David" w:hint="cs"/>
          <w:rtl/>
        </w:rPr>
        <w:t>.7</w:t>
      </w:r>
      <w:r w:rsidR="00A6532C" w:rsidRPr="00E11C09">
        <w:rPr>
          <w:rFonts w:ascii="David" w:hAnsi="David" w:cs="David" w:hint="cs"/>
          <w:rtl/>
        </w:rPr>
        <w:t>%</w:t>
      </w:r>
      <w:r w:rsidR="003B32DD">
        <w:rPr>
          <w:rFonts w:ascii="David" w:hAnsi="David" w:cs="David" w:hint="cs"/>
          <w:rtl/>
        </w:rPr>
        <w:t xml:space="preserve"> </w:t>
      </w:r>
      <w:r w:rsidR="00216CEE">
        <w:rPr>
          <w:rFonts w:ascii="David" w:hAnsi="David" w:cs="David" w:hint="cs"/>
          <w:rtl/>
        </w:rPr>
        <w:t>במונחים שנתיים</w:t>
      </w:r>
      <w:r w:rsidR="00421192">
        <w:rPr>
          <w:rFonts w:ascii="David" w:hAnsi="David" w:cs="David" w:hint="cs"/>
          <w:rtl/>
        </w:rPr>
        <w:t xml:space="preserve"> </w:t>
      </w:r>
      <w:r w:rsidR="003B32DD">
        <w:rPr>
          <w:rFonts w:ascii="David" w:hAnsi="David" w:cs="David" w:hint="cs"/>
          <w:rtl/>
        </w:rPr>
        <w:t>- התכווצות נמוכה מההערכה עליה התבססה התחזית ביולי</w:t>
      </w:r>
      <w:r w:rsidR="00A6532C" w:rsidRPr="00A6532C">
        <w:rPr>
          <w:rFonts w:ascii="David" w:hAnsi="David" w:cs="David" w:hint="cs"/>
          <w:rtl/>
        </w:rPr>
        <w:t xml:space="preserve">. </w:t>
      </w:r>
      <w:r w:rsidR="00A6532C" w:rsidRPr="006238BB">
        <w:rPr>
          <w:rFonts w:ascii="David" w:hAnsi="David" w:cs="David" w:hint="cs"/>
          <w:rtl/>
        </w:rPr>
        <w:t>א</w:t>
      </w:r>
      <w:r w:rsidR="00A6532C">
        <w:rPr>
          <w:rFonts w:ascii="David" w:hAnsi="David" w:cs="David" w:hint="cs"/>
          <w:rtl/>
        </w:rPr>
        <w:t>נ</w:t>
      </w:r>
      <w:r w:rsidR="00A6532C" w:rsidRPr="006238BB">
        <w:rPr>
          <w:rFonts w:ascii="David" w:hAnsi="David" w:cs="David" w:hint="cs"/>
          <w:rtl/>
        </w:rPr>
        <w:t>ו מעריכים כי הפער בין הערכות</w:t>
      </w:r>
      <w:r w:rsidR="00A6532C">
        <w:rPr>
          <w:rFonts w:ascii="David" w:hAnsi="David" w:cs="David" w:hint="cs"/>
          <w:rtl/>
        </w:rPr>
        <w:t>ינו</w:t>
      </w:r>
      <w:r w:rsidR="00A6532C" w:rsidRPr="006238BB">
        <w:rPr>
          <w:rFonts w:ascii="David" w:hAnsi="David" w:cs="David" w:hint="cs"/>
          <w:rtl/>
        </w:rPr>
        <w:t xml:space="preserve"> </w:t>
      </w:r>
      <w:r w:rsidR="00A6532C">
        <w:rPr>
          <w:rFonts w:ascii="David" w:hAnsi="David" w:cs="David" w:hint="cs"/>
          <w:rtl/>
        </w:rPr>
        <w:t xml:space="preserve">ובין </w:t>
      </w:r>
      <w:r w:rsidR="003B32DD">
        <w:rPr>
          <w:rFonts w:ascii="David" w:hAnsi="David" w:cs="David" w:hint="cs"/>
          <w:rtl/>
        </w:rPr>
        <w:t xml:space="preserve">הנתון שפורסם על ידי </w:t>
      </w:r>
      <w:proofErr w:type="spellStart"/>
      <w:r w:rsidR="00A6532C">
        <w:rPr>
          <w:rFonts w:ascii="David" w:hAnsi="David" w:cs="David" w:hint="cs"/>
          <w:rtl/>
        </w:rPr>
        <w:t>הלמ"ס</w:t>
      </w:r>
      <w:proofErr w:type="spellEnd"/>
      <w:r w:rsidR="00A6532C" w:rsidRPr="006238BB">
        <w:rPr>
          <w:rFonts w:ascii="David" w:hAnsi="David" w:cs="David" w:hint="cs"/>
          <w:rtl/>
        </w:rPr>
        <w:t xml:space="preserve"> נובע משני מרכיבים </w:t>
      </w:r>
      <w:r w:rsidR="00A6532C" w:rsidRPr="006238BB">
        <w:rPr>
          <w:rFonts w:ascii="David" w:hAnsi="David" w:cs="David"/>
          <w:rtl/>
        </w:rPr>
        <w:t>–</w:t>
      </w:r>
      <w:r w:rsidR="00A6532C" w:rsidRPr="006238BB">
        <w:rPr>
          <w:rFonts w:ascii="David" w:hAnsi="David" w:cs="David" w:hint="cs"/>
          <w:rtl/>
        </w:rPr>
        <w:t xml:space="preserve"> </w:t>
      </w:r>
      <w:r w:rsidR="00A6532C">
        <w:rPr>
          <w:rFonts w:ascii="David" w:hAnsi="David" w:cs="David" w:hint="cs"/>
          <w:rtl/>
        </w:rPr>
        <w:t xml:space="preserve">הערכת </w:t>
      </w:r>
      <w:r w:rsidR="00421192">
        <w:rPr>
          <w:rFonts w:ascii="David" w:hAnsi="David" w:cs="David" w:hint="cs"/>
          <w:rtl/>
        </w:rPr>
        <w:t>ה</w:t>
      </w:r>
      <w:r w:rsidR="00A6532C" w:rsidRPr="006238BB">
        <w:rPr>
          <w:rFonts w:ascii="David" w:hAnsi="David" w:cs="David" w:hint="cs"/>
          <w:rtl/>
        </w:rPr>
        <w:t xml:space="preserve">יתר </w:t>
      </w:r>
      <w:r w:rsidR="00421192">
        <w:rPr>
          <w:rFonts w:ascii="David" w:hAnsi="David" w:cs="David" w:hint="cs"/>
          <w:rtl/>
        </w:rPr>
        <w:t xml:space="preserve">שלנו </w:t>
      </w:r>
      <w:r w:rsidR="00A6532C" w:rsidRPr="006238BB">
        <w:rPr>
          <w:rFonts w:ascii="David" w:hAnsi="David" w:cs="David" w:hint="cs"/>
          <w:rtl/>
        </w:rPr>
        <w:t>את אי-הפעילות הכלכלית בזמן הסגר הראשון,</w:t>
      </w:r>
      <w:r w:rsidR="00A6532C">
        <w:rPr>
          <w:rFonts w:ascii="David" w:hAnsi="David" w:cs="David" w:hint="cs"/>
          <w:rtl/>
        </w:rPr>
        <w:t xml:space="preserve"> והתאוששות הפעילות הכלכלית בחודש יוני</w:t>
      </w:r>
      <w:r w:rsidR="00A6532C" w:rsidRPr="006238BB">
        <w:rPr>
          <w:rFonts w:ascii="David" w:hAnsi="David" w:cs="David" w:hint="cs"/>
          <w:rtl/>
        </w:rPr>
        <w:t xml:space="preserve"> מעבר להערכותינו (ומעבר לרמה בת </w:t>
      </w:r>
      <w:proofErr w:type="spellStart"/>
      <w:r w:rsidR="00A6532C" w:rsidRPr="006238BB">
        <w:rPr>
          <w:rFonts w:ascii="David" w:hAnsi="David" w:cs="David" w:hint="cs"/>
          <w:rtl/>
        </w:rPr>
        <w:t>הקיימא</w:t>
      </w:r>
      <w:proofErr w:type="spellEnd"/>
      <w:r w:rsidR="00A6532C" w:rsidRPr="006238BB">
        <w:rPr>
          <w:rFonts w:ascii="David" w:hAnsi="David" w:cs="David" w:hint="cs"/>
          <w:rtl/>
        </w:rPr>
        <w:t xml:space="preserve"> בתנאים הנוכחיים של הקורונה) בשל הניסיון לפתוח מהר את המשק ופיצוי על חסכים מהסגר. </w:t>
      </w:r>
    </w:p>
    <w:p w:rsidR="006238BB" w:rsidRDefault="00A6532C" w:rsidP="00A37532">
      <w:pPr>
        <w:spacing w:after="120"/>
        <w:ind w:left="113"/>
        <w:rPr>
          <w:rFonts w:ascii="David" w:hAnsi="David" w:cs="David"/>
          <w:rtl/>
        </w:rPr>
      </w:pPr>
      <w:r w:rsidRPr="006238BB">
        <w:rPr>
          <w:rFonts w:ascii="David" w:hAnsi="David" w:cs="David" w:hint="cs"/>
          <w:rtl/>
        </w:rPr>
        <w:t>בנוסף לעדכון החשבונאות הלאומית, ב</w:t>
      </w:r>
      <w:r w:rsidR="006238BB">
        <w:rPr>
          <w:rFonts w:ascii="David" w:hAnsi="David" w:cs="David" w:hint="cs"/>
          <w:rtl/>
        </w:rPr>
        <w:t>שני ה</w:t>
      </w:r>
      <w:r w:rsidRPr="006238BB">
        <w:rPr>
          <w:rFonts w:ascii="David" w:hAnsi="David" w:cs="David" w:hint="cs"/>
          <w:rtl/>
        </w:rPr>
        <w:t xml:space="preserve">תרחישים הופנמו </w:t>
      </w:r>
      <w:r w:rsidR="006C0890" w:rsidRPr="006238BB">
        <w:rPr>
          <w:rFonts w:ascii="David" w:hAnsi="David" w:cs="David" w:hint="cs"/>
          <w:rtl/>
        </w:rPr>
        <w:t>תכניות</w:t>
      </w:r>
      <w:r w:rsidRPr="006238BB">
        <w:rPr>
          <w:rFonts w:ascii="David" w:hAnsi="David" w:cs="David" w:hint="cs"/>
          <w:rtl/>
        </w:rPr>
        <w:t xml:space="preserve"> הסיוע הממשלתיות אשר </w:t>
      </w:r>
      <w:r w:rsidR="00A37532">
        <w:rPr>
          <w:rFonts w:ascii="David" w:hAnsi="David" w:cs="David" w:hint="cs"/>
          <w:rtl/>
        </w:rPr>
        <w:t>הורחבו בהיקף ניכר בחודשים יולי ואוגוסט</w:t>
      </w:r>
      <w:r w:rsidRPr="006238BB">
        <w:rPr>
          <w:rFonts w:ascii="David" w:hAnsi="David" w:cs="David" w:hint="cs"/>
          <w:rtl/>
        </w:rPr>
        <w:t xml:space="preserve">. </w:t>
      </w:r>
      <w:r w:rsidR="006238BB">
        <w:rPr>
          <w:rFonts w:ascii="David" w:hAnsi="David" w:cs="David" w:hint="cs"/>
          <w:rtl/>
        </w:rPr>
        <w:t>מעבר לתרומה הישירה של</w:t>
      </w:r>
      <w:r w:rsidRPr="006238BB">
        <w:rPr>
          <w:rFonts w:ascii="David" w:hAnsi="David" w:cs="David" w:hint="cs"/>
          <w:rtl/>
        </w:rPr>
        <w:t xml:space="preserve"> צעדים אלה, ניתן גם להעריך </w:t>
      </w:r>
      <w:r w:rsidR="00216CEE">
        <w:rPr>
          <w:rFonts w:ascii="David" w:hAnsi="David" w:cs="David" w:hint="cs"/>
          <w:rtl/>
        </w:rPr>
        <w:t xml:space="preserve">שיש להם השפעה עקיפה על התוצר בכך </w:t>
      </w:r>
      <w:r w:rsidRPr="006238BB">
        <w:rPr>
          <w:rFonts w:ascii="David" w:hAnsi="David" w:cs="David" w:hint="cs"/>
          <w:rtl/>
        </w:rPr>
        <w:t xml:space="preserve">שהם מונעים קריסה כלכלית חמורה יותר </w:t>
      </w:r>
      <w:r w:rsidR="006238BB" w:rsidRPr="006238BB">
        <w:rPr>
          <w:rFonts w:ascii="David" w:hAnsi="David" w:cs="David" w:hint="cs"/>
          <w:rtl/>
        </w:rPr>
        <w:t>שהיית</w:t>
      </w:r>
      <w:r w:rsidR="006238BB" w:rsidRPr="006238BB">
        <w:rPr>
          <w:rFonts w:ascii="David" w:hAnsi="David" w:cs="David" w:hint="eastAsia"/>
          <w:rtl/>
        </w:rPr>
        <w:t>ה</w:t>
      </w:r>
      <w:r w:rsidRPr="006238BB">
        <w:rPr>
          <w:rFonts w:ascii="David" w:hAnsi="David" w:cs="David" w:hint="cs"/>
          <w:rtl/>
        </w:rPr>
        <w:t xml:space="preserve"> עלולה להיווצר בהיעדרם. </w:t>
      </w:r>
      <w:r w:rsidR="00A37532">
        <w:rPr>
          <w:rFonts w:ascii="David" w:hAnsi="David" w:cs="David" w:hint="cs"/>
          <w:rtl/>
        </w:rPr>
        <w:t>מאידך,</w:t>
      </w:r>
      <w:r w:rsidR="00A37532" w:rsidRPr="006238BB">
        <w:rPr>
          <w:rFonts w:ascii="David" w:hAnsi="David" w:cs="David" w:hint="cs"/>
          <w:rtl/>
        </w:rPr>
        <w:t xml:space="preserve"> </w:t>
      </w:r>
      <w:r w:rsidR="00A37532">
        <w:rPr>
          <w:rFonts w:ascii="David" w:hAnsi="David" w:cs="David" w:hint="cs"/>
          <w:rtl/>
        </w:rPr>
        <w:t xml:space="preserve">השתנתה </w:t>
      </w:r>
      <w:r w:rsidR="00A37532" w:rsidRPr="006238BB">
        <w:rPr>
          <w:rFonts w:ascii="David" w:hAnsi="David" w:cs="David" w:hint="cs"/>
          <w:rtl/>
        </w:rPr>
        <w:lastRenderedPageBreak/>
        <w:t>הה</w:t>
      </w:r>
      <w:r w:rsidR="00A37532">
        <w:rPr>
          <w:rFonts w:ascii="David" w:hAnsi="David" w:cs="David" w:hint="cs"/>
          <w:rtl/>
        </w:rPr>
        <w:t>ערכה</w:t>
      </w:r>
      <w:r w:rsidR="00A37532" w:rsidRPr="006238BB">
        <w:rPr>
          <w:rFonts w:ascii="David" w:hAnsi="David" w:cs="David" w:hint="cs"/>
          <w:rtl/>
        </w:rPr>
        <w:t xml:space="preserve"> </w:t>
      </w:r>
      <w:r w:rsidRPr="006238BB">
        <w:rPr>
          <w:rFonts w:ascii="David" w:hAnsi="David" w:cs="David" w:hint="cs"/>
          <w:rtl/>
        </w:rPr>
        <w:t>לגבי המשך ההתאוששות הכלכלית ב-2020 ו-2021</w:t>
      </w:r>
      <w:r w:rsidR="00763DBF">
        <w:rPr>
          <w:rFonts w:ascii="David" w:hAnsi="David" w:cs="David" w:hint="cs"/>
          <w:rtl/>
        </w:rPr>
        <w:t xml:space="preserve">: </w:t>
      </w:r>
      <w:r w:rsidR="006238BB">
        <w:rPr>
          <w:rFonts w:ascii="David" w:hAnsi="David" w:cs="David" w:hint="cs"/>
          <w:rtl/>
        </w:rPr>
        <w:t xml:space="preserve">בעוד שבתחזית יולי הנחנו כי המשק ימצא בתהליך רציף של שיפור בפעילות, בתרחיש </w:t>
      </w:r>
      <w:r w:rsidR="00216CEE">
        <w:rPr>
          <w:rFonts w:ascii="David" w:hAnsi="David" w:cs="David" w:hint="cs"/>
          <w:rtl/>
        </w:rPr>
        <w:t xml:space="preserve">האופטימי </w:t>
      </w:r>
      <w:r w:rsidR="006238BB">
        <w:rPr>
          <w:rFonts w:ascii="David" w:hAnsi="David" w:cs="David" w:hint="cs"/>
          <w:rtl/>
        </w:rPr>
        <w:t>הנוכחי אנו מעריכים כי לכל היותר (עד מציאת חיסון) המשק יוכל להתייצב על רמת אי-פעילות של 7%-8%</w:t>
      </w:r>
      <w:r w:rsidR="00B65C95">
        <w:rPr>
          <w:rFonts w:ascii="David" w:hAnsi="David" w:cs="David" w:hint="cs"/>
          <w:rtl/>
        </w:rPr>
        <w:t>;</w:t>
      </w:r>
      <w:r w:rsidR="006238BB">
        <w:rPr>
          <w:rFonts w:ascii="David" w:hAnsi="David" w:cs="David" w:hint="cs"/>
          <w:rtl/>
        </w:rPr>
        <w:t xml:space="preserve"> זאת </w:t>
      </w:r>
      <w:r w:rsidR="00A37532">
        <w:rPr>
          <w:rFonts w:ascii="David" w:hAnsi="David" w:cs="David" w:hint="cs"/>
          <w:rtl/>
        </w:rPr>
        <w:t>מכיוון ש</w:t>
      </w:r>
      <w:r w:rsidR="006238BB">
        <w:rPr>
          <w:rFonts w:ascii="David" w:hAnsi="David" w:cs="David" w:hint="cs"/>
          <w:rtl/>
        </w:rPr>
        <w:t xml:space="preserve">מספר תחומי פעילות המאופיינים בנוכחות רבת משתתפים, לא יוכלו לחזור </w:t>
      </w:r>
      <w:r w:rsidR="00A37532">
        <w:rPr>
          <w:rFonts w:ascii="David" w:hAnsi="David" w:cs="David" w:hint="cs"/>
          <w:rtl/>
        </w:rPr>
        <w:t xml:space="preserve">לפעילות </w:t>
      </w:r>
      <w:r w:rsidR="006238BB">
        <w:rPr>
          <w:rFonts w:ascii="David" w:hAnsi="David" w:cs="David" w:hint="cs"/>
          <w:rtl/>
        </w:rPr>
        <w:t>בטווח הנראה לעין</w:t>
      </w:r>
      <w:r w:rsidR="00A37532">
        <w:rPr>
          <w:rFonts w:ascii="David" w:hAnsi="David" w:cs="David" w:hint="cs"/>
          <w:rtl/>
        </w:rPr>
        <w:t>,</w:t>
      </w:r>
      <w:r w:rsidR="006238BB">
        <w:rPr>
          <w:rFonts w:ascii="David" w:hAnsi="David" w:cs="David" w:hint="cs"/>
          <w:rtl/>
        </w:rPr>
        <w:t xml:space="preserve"> </w:t>
      </w:r>
      <w:r w:rsidR="00A37532">
        <w:rPr>
          <w:rFonts w:ascii="David" w:hAnsi="David" w:cs="David" w:hint="cs"/>
          <w:rtl/>
        </w:rPr>
        <w:t>ובשל ה</w:t>
      </w:r>
      <w:r w:rsidR="006238BB">
        <w:rPr>
          <w:rFonts w:ascii="David" w:hAnsi="David" w:cs="David" w:hint="cs"/>
          <w:rtl/>
        </w:rPr>
        <w:t xml:space="preserve">השפעות המתמשכות יותר של המשבר עד כה. </w:t>
      </w:r>
    </w:p>
    <w:p w:rsidR="00BE6A4E" w:rsidRDefault="0076404C" w:rsidP="00DA5CD2">
      <w:pPr>
        <w:spacing w:before="120" w:after="120"/>
        <w:ind w:left="113"/>
        <w:rPr>
          <w:rFonts w:ascii="David" w:hAnsi="David" w:cs="David"/>
          <w:rtl/>
        </w:rPr>
      </w:pPr>
      <w:r w:rsidRPr="00F659B2">
        <w:rPr>
          <w:rFonts w:ascii="David" w:hAnsi="David" w:cs="David" w:hint="cs"/>
          <w:b/>
          <w:bCs/>
          <w:rtl/>
        </w:rPr>
        <w:t xml:space="preserve">בתרחיש </w:t>
      </w:r>
      <w:r w:rsidR="00216CEE">
        <w:rPr>
          <w:rFonts w:ascii="David" w:hAnsi="David" w:cs="David" w:hint="cs"/>
          <w:b/>
          <w:bCs/>
          <w:rtl/>
        </w:rPr>
        <w:t>האופטימי</w:t>
      </w:r>
      <w:r w:rsidR="00F659B2">
        <w:rPr>
          <w:rFonts w:ascii="David" w:hAnsi="David" w:cs="David" w:hint="cs"/>
          <w:b/>
          <w:bCs/>
          <w:rtl/>
        </w:rPr>
        <w:t>,</w:t>
      </w:r>
      <w:r w:rsidRPr="00F659B2">
        <w:rPr>
          <w:rFonts w:ascii="David" w:hAnsi="David" w:cs="David" w:hint="cs"/>
          <w:b/>
          <w:bCs/>
          <w:rtl/>
        </w:rPr>
        <w:t xml:space="preserve"> </w:t>
      </w:r>
      <w:r w:rsidR="00BE6A4E" w:rsidRPr="00F659B2">
        <w:rPr>
          <w:rFonts w:ascii="David" w:hAnsi="David" w:cs="David" w:hint="cs"/>
          <w:b/>
          <w:bCs/>
          <w:rtl/>
        </w:rPr>
        <w:t>התוצר צפוי להתכווץ בשיעור של</w:t>
      </w:r>
      <w:r w:rsidR="00BE6A4E" w:rsidRPr="00F659B2">
        <w:rPr>
          <w:rFonts w:ascii="David" w:hAnsi="David" w:cs="David"/>
          <w:b/>
          <w:bCs/>
          <w:rtl/>
        </w:rPr>
        <w:t xml:space="preserve"> </w:t>
      </w:r>
      <w:r w:rsidRPr="00F659B2">
        <w:rPr>
          <w:rFonts w:ascii="David" w:hAnsi="David" w:cs="David" w:hint="cs"/>
          <w:b/>
          <w:bCs/>
          <w:rtl/>
        </w:rPr>
        <w:t>4.5</w:t>
      </w:r>
      <w:r w:rsidR="00BE6A4E" w:rsidRPr="00F659B2">
        <w:rPr>
          <w:rFonts w:ascii="David" w:hAnsi="David" w:cs="David" w:hint="cs"/>
          <w:b/>
          <w:bCs/>
          <w:rtl/>
        </w:rPr>
        <w:t>% בשנת 2020</w:t>
      </w:r>
      <w:r w:rsidR="00BE6A4E" w:rsidRPr="00F659B2">
        <w:rPr>
          <w:rFonts w:ascii="David" w:hAnsi="David" w:cs="David"/>
          <w:b/>
          <w:bCs/>
          <w:rtl/>
        </w:rPr>
        <w:t>,</w:t>
      </w:r>
      <w:r w:rsidR="00BE6A4E" w:rsidRPr="00F659B2">
        <w:rPr>
          <w:rFonts w:ascii="David" w:hAnsi="David" w:cs="David" w:hint="cs"/>
          <w:b/>
          <w:bCs/>
          <w:rtl/>
        </w:rPr>
        <w:t xml:space="preserve"> </w:t>
      </w:r>
      <w:r w:rsidR="00E84CC8" w:rsidRPr="00F659B2">
        <w:rPr>
          <w:rFonts w:ascii="David" w:hAnsi="David" w:cs="David" w:hint="cs"/>
          <w:b/>
          <w:bCs/>
          <w:rtl/>
        </w:rPr>
        <w:t xml:space="preserve">גבוה </w:t>
      </w:r>
      <w:r w:rsidR="00BE6A4E" w:rsidRPr="00F659B2">
        <w:rPr>
          <w:rFonts w:ascii="David" w:hAnsi="David" w:cs="David" w:hint="cs"/>
          <w:b/>
          <w:bCs/>
          <w:rtl/>
        </w:rPr>
        <w:t>ב-1.5</w:t>
      </w:r>
      <w:r w:rsidR="005B0CF9" w:rsidRPr="00F659B2">
        <w:rPr>
          <w:rFonts w:ascii="David" w:hAnsi="David" w:cs="David" w:hint="cs"/>
          <w:b/>
          <w:bCs/>
          <w:rtl/>
        </w:rPr>
        <w:t xml:space="preserve"> נקודת אחוז</w:t>
      </w:r>
      <w:r w:rsidR="00BE6A4E" w:rsidRPr="00F659B2">
        <w:rPr>
          <w:rFonts w:ascii="David" w:hAnsi="David" w:cs="David" w:hint="cs"/>
          <w:b/>
          <w:bCs/>
          <w:rtl/>
        </w:rPr>
        <w:t xml:space="preserve"> מהתחזית הקודמת,</w:t>
      </w:r>
      <w:r w:rsidR="00BE6A4E" w:rsidRPr="00F659B2">
        <w:rPr>
          <w:rFonts w:ascii="David" w:hAnsi="David" w:cs="David"/>
          <w:b/>
          <w:bCs/>
          <w:rtl/>
        </w:rPr>
        <w:t xml:space="preserve"> </w:t>
      </w:r>
      <w:r w:rsidR="00A37532" w:rsidRPr="00F659B2">
        <w:rPr>
          <w:rFonts w:ascii="David" w:hAnsi="David" w:cs="David" w:hint="cs"/>
          <w:b/>
          <w:bCs/>
          <w:rtl/>
        </w:rPr>
        <w:t>ובשנת 2021</w:t>
      </w:r>
      <w:r w:rsidR="00A37532">
        <w:rPr>
          <w:rFonts w:ascii="David" w:hAnsi="David" w:cs="David" w:hint="cs"/>
          <w:b/>
          <w:bCs/>
          <w:rtl/>
        </w:rPr>
        <w:t xml:space="preserve"> </w:t>
      </w:r>
      <w:r w:rsidR="00BE6A4E" w:rsidRPr="00F659B2">
        <w:rPr>
          <w:rFonts w:ascii="David" w:hAnsi="David" w:cs="David" w:hint="cs"/>
          <w:b/>
          <w:bCs/>
          <w:rtl/>
        </w:rPr>
        <w:t xml:space="preserve">הוא צפוי לצמוח בשיעור של </w:t>
      </w:r>
      <w:r w:rsidRPr="00F659B2">
        <w:rPr>
          <w:rFonts w:ascii="David" w:hAnsi="David" w:cs="David" w:hint="cs"/>
          <w:b/>
          <w:bCs/>
          <w:rtl/>
        </w:rPr>
        <w:t>6</w:t>
      </w:r>
      <w:r w:rsidR="00BE6A4E" w:rsidRPr="00F659B2">
        <w:rPr>
          <w:rFonts w:ascii="David" w:hAnsi="David" w:cs="David" w:hint="cs"/>
          <w:b/>
          <w:bCs/>
          <w:rtl/>
        </w:rPr>
        <w:t xml:space="preserve">% </w:t>
      </w:r>
      <w:r w:rsidR="00BE6A4E" w:rsidRPr="00F659B2">
        <w:rPr>
          <w:rFonts w:ascii="David" w:hAnsi="David" w:cs="David"/>
          <w:rtl/>
        </w:rPr>
        <w:t>(</w:t>
      </w:r>
      <w:r w:rsidR="00DA5CD2">
        <w:rPr>
          <w:rFonts w:ascii="David" w:hAnsi="David" w:cs="David" w:hint="cs"/>
          <w:rtl/>
        </w:rPr>
        <w:t>לוח 1)</w:t>
      </w:r>
      <w:r w:rsidR="00BE6A4E" w:rsidRPr="00F659B2">
        <w:rPr>
          <w:rFonts w:ascii="David" w:hAnsi="David" w:cs="David"/>
          <w:rtl/>
        </w:rPr>
        <w:t>.</w:t>
      </w:r>
      <w:r w:rsidR="00BE6A4E" w:rsidRPr="00F659B2">
        <w:rPr>
          <w:rFonts w:ascii="David" w:hAnsi="David" w:cs="David" w:hint="cs"/>
          <w:rtl/>
        </w:rPr>
        <w:t xml:space="preserve"> העדכון </w:t>
      </w:r>
      <w:r w:rsidR="00A468BC">
        <w:rPr>
          <w:rFonts w:ascii="David" w:hAnsi="David" w:cs="David" w:hint="cs"/>
          <w:rtl/>
        </w:rPr>
        <w:t xml:space="preserve">כלפי </w:t>
      </w:r>
      <w:r w:rsidRPr="00F659B2">
        <w:rPr>
          <w:rFonts w:ascii="David" w:hAnsi="David" w:cs="David" w:hint="cs"/>
          <w:rtl/>
        </w:rPr>
        <w:t xml:space="preserve">מעלה </w:t>
      </w:r>
      <w:r w:rsidR="00BE6A4E" w:rsidRPr="00F659B2">
        <w:rPr>
          <w:rFonts w:ascii="David" w:hAnsi="David" w:cs="David" w:hint="cs"/>
          <w:rtl/>
        </w:rPr>
        <w:t>בפעילות הריאלית ב-2020 מוסבר</w:t>
      </w:r>
      <w:r w:rsidRPr="00F659B2">
        <w:rPr>
          <w:rFonts w:ascii="David" w:hAnsi="David" w:cs="David" w:hint="cs"/>
          <w:rtl/>
        </w:rPr>
        <w:t xml:space="preserve"> כאמור בנקודת המוצא השונה בבסיס התחזית, בתוכניות הסיוע הממשלתיות ובמגבלת אי-הפעילות אשר מהווה חסם לצמיחה עד למציאת החיסון.</w:t>
      </w:r>
      <w:r w:rsidR="00BE6A4E" w:rsidRPr="00F659B2">
        <w:rPr>
          <w:rFonts w:ascii="David" w:hAnsi="David" w:cs="David" w:hint="cs"/>
          <w:rtl/>
        </w:rPr>
        <w:t xml:space="preserve"> </w:t>
      </w:r>
      <w:r w:rsidR="00F659B2" w:rsidRPr="00F659B2">
        <w:rPr>
          <w:rFonts w:ascii="David" w:hAnsi="David" w:cs="David" w:hint="cs"/>
          <w:rtl/>
        </w:rPr>
        <w:t>העליי</w:t>
      </w:r>
      <w:r w:rsidR="00F659B2" w:rsidRPr="00F659B2">
        <w:rPr>
          <w:rFonts w:ascii="David" w:hAnsi="David" w:cs="David" w:hint="eastAsia"/>
          <w:rtl/>
        </w:rPr>
        <w:t>ה</w:t>
      </w:r>
      <w:r w:rsidR="00F659B2" w:rsidRPr="00F659B2">
        <w:rPr>
          <w:rFonts w:ascii="David" w:hAnsi="David" w:cs="David" w:hint="cs"/>
          <w:rtl/>
        </w:rPr>
        <w:t xml:space="preserve"> </w:t>
      </w:r>
      <w:r w:rsidR="00BE6A4E" w:rsidRPr="00F659B2">
        <w:rPr>
          <w:rFonts w:ascii="David" w:hAnsi="David" w:cs="David" w:hint="cs"/>
          <w:rtl/>
        </w:rPr>
        <w:t>הצפויה</w:t>
      </w:r>
      <w:r w:rsidR="00F659B2" w:rsidRPr="00F659B2">
        <w:rPr>
          <w:rFonts w:ascii="David" w:hAnsi="David" w:cs="David" w:hint="cs"/>
          <w:rtl/>
        </w:rPr>
        <w:t xml:space="preserve"> בתוצר</w:t>
      </w:r>
      <w:r w:rsidR="001001BA" w:rsidRPr="001001BA">
        <w:rPr>
          <w:rFonts w:ascii="David" w:hAnsi="David" w:cs="David" w:hint="cs"/>
          <w:rtl/>
        </w:rPr>
        <w:t xml:space="preserve"> </w:t>
      </w:r>
      <w:r w:rsidR="001001BA" w:rsidRPr="00F659B2">
        <w:rPr>
          <w:rFonts w:ascii="David" w:hAnsi="David" w:cs="David" w:hint="cs"/>
          <w:rtl/>
        </w:rPr>
        <w:t>ב-2020</w:t>
      </w:r>
      <w:r w:rsidR="00F659B2" w:rsidRPr="00F659B2">
        <w:rPr>
          <w:rFonts w:ascii="David" w:hAnsi="David" w:cs="David" w:hint="cs"/>
          <w:rtl/>
        </w:rPr>
        <w:t>,</w:t>
      </w:r>
      <w:r w:rsidR="00BE6A4E" w:rsidRPr="00F659B2">
        <w:rPr>
          <w:rFonts w:ascii="David" w:hAnsi="David" w:cs="David" w:hint="cs"/>
          <w:rtl/>
        </w:rPr>
        <w:t xml:space="preserve"> </w:t>
      </w:r>
      <w:r w:rsidR="00F659B2" w:rsidRPr="00F659B2">
        <w:rPr>
          <w:rFonts w:ascii="David" w:hAnsi="David" w:cs="David" w:hint="cs"/>
          <w:rtl/>
        </w:rPr>
        <w:t xml:space="preserve">ביחס לתחזית יולי, </w:t>
      </w:r>
      <w:r w:rsidR="00BE6A4E" w:rsidRPr="00F659B2">
        <w:rPr>
          <w:rFonts w:ascii="David" w:hAnsi="David" w:cs="David" w:hint="cs"/>
          <w:rtl/>
        </w:rPr>
        <w:t xml:space="preserve">משתקפת בכל השימושים, למעט בצריכה </w:t>
      </w:r>
      <w:r w:rsidR="00F659B2" w:rsidRPr="00F659B2">
        <w:rPr>
          <w:rFonts w:ascii="David" w:hAnsi="David" w:cs="David" w:hint="cs"/>
          <w:rtl/>
        </w:rPr>
        <w:t xml:space="preserve">הפרטית </w:t>
      </w:r>
      <w:r w:rsidR="00BE6A4E" w:rsidRPr="00F659B2">
        <w:rPr>
          <w:rFonts w:ascii="David" w:hAnsi="David" w:cs="David" w:hint="cs"/>
          <w:rtl/>
        </w:rPr>
        <w:t xml:space="preserve">(לוח </w:t>
      </w:r>
      <w:r w:rsidR="00C53A95">
        <w:rPr>
          <w:rFonts w:ascii="David" w:hAnsi="David" w:cs="David" w:hint="cs"/>
          <w:rtl/>
        </w:rPr>
        <w:t>2</w:t>
      </w:r>
      <w:r w:rsidR="00BE6A4E" w:rsidRPr="00F659B2">
        <w:rPr>
          <w:rFonts w:ascii="David" w:hAnsi="David" w:cs="David" w:hint="cs"/>
          <w:rtl/>
        </w:rPr>
        <w:t>).</w:t>
      </w:r>
      <w:r w:rsidR="00BE6A4E">
        <w:rPr>
          <w:rFonts w:ascii="David" w:hAnsi="David" w:cs="David" w:hint="cs"/>
          <w:rtl/>
        </w:rPr>
        <w:t xml:space="preserve"> </w:t>
      </w:r>
    </w:p>
    <w:p w:rsidR="007F7ACC" w:rsidRPr="007F7ACC" w:rsidRDefault="007F7ACC" w:rsidP="007F7ACC">
      <w:pPr>
        <w:pStyle w:val="aa"/>
        <w:ind w:left="113"/>
        <w:rPr>
          <w:rFonts w:ascii="David" w:hAnsi="David" w:cs="David"/>
          <w:rtl/>
        </w:rPr>
      </w:pPr>
      <w:r w:rsidRPr="007F7ACC">
        <w:rPr>
          <w:rFonts w:ascii="David" w:hAnsi="David" w:cs="David" w:hint="eastAsia"/>
          <w:rtl/>
        </w:rPr>
        <w:t>לוח</w:t>
      </w:r>
      <w:r w:rsidRPr="007F7ACC">
        <w:rPr>
          <w:rFonts w:ascii="David" w:hAnsi="David" w:cs="David"/>
          <w:rtl/>
        </w:rPr>
        <w:t xml:space="preserve"> 1</w:t>
      </w:r>
      <w:r>
        <w:rPr>
          <w:rFonts w:ascii="David" w:hAnsi="David" w:cs="David"/>
          <w:rtl/>
        </w:rPr>
        <w:br/>
      </w:r>
      <w:r>
        <w:rPr>
          <w:rFonts w:ascii="David" w:hAnsi="David" w:cs="David" w:hint="cs"/>
          <w:rtl/>
        </w:rPr>
        <w:t>תחזית חטיבת המחקר</w:t>
      </w:r>
      <w:r w:rsidRPr="007F7ACC">
        <w:rPr>
          <w:rFonts w:ascii="David" w:hAnsi="David" w:cs="David" w:hint="cs"/>
          <w:rtl/>
        </w:rPr>
        <w:t xml:space="preserve"> לשנים 2020</w:t>
      </w:r>
      <w:r w:rsidRPr="007F7ACC">
        <w:rPr>
          <w:rFonts w:ascii="David" w:hAnsi="David" w:cs="David" w:hint="eastAsia"/>
          <w:rtl/>
        </w:rPr>
        <w:t>–</w:t>
      </w:r>
      <w:r w:rsidRPr="007F7ACC">
        <w:rPr>
          <w:rFonts w:ascii="David" w:hAnsi="David" w:cs="David" w:hint="cs"/>
          <w:rtl/>
        </w:rPr>
        <w:t xml:space="preserve">2021 </w:t>
      </w:r>
    </w:p>
    <w:p w:rsidR="007F7ACC" w:rsidRPr="007F7ACC" w:rsidRDefault="00216CEE" w:rsidP="00216CEE">
      <w:pPr>
        <w:pStyle w:val="aa"/>
        <w:ind w:left="113"/>
        <w:rPr>
          <w:rFonts w:ascii="David" w:hAnsi="David" w:cs="David"/>
        </w:rPr>
      </w:pPr>
      <w:r>
        <w:rPr>
          <w:rFonts w:ascii="David" w:hAnsi="David" w:cs="David" w:hint="cs"/>
          <w:rtl/>
        </w:rPr>
        <w:t>ה</w:t>
      </w:r>
      <w:r w:rsidR="007F7ACC" w:rsidRPr="007F7ACC">
        <w:rPr>
          <w:rFonts w:ascii="David" w:hAnsi="David" w:cs="David" w:hint="cs"/>
          <w:rtl/>
        </w:rPr>
        <w:t xml:space="preserve">תרחיש </w:t>
      </w:r>
      <w:r>
        <w:rPr>
          <w:rFonts w:ascii="David" w:hAnsi="David" w:cs="David" w:hint="cs"/>
          <w:rtl/>
        </w:rPr>
        <w:t>האופטימי</w:t>
      </w:r>
      <w:r w:rsidRPr="007F7ACC">
        <w:rPr>
          <w:rFonts w:ascii="David" w:hAnsi="David" w:cs="David" w:hint="cs"/>
          <w:rtl/>
        </w:rPr>
        <w:t xml:space="preserve"> </w:t>
      </w:r>
      <w:r w:rsidR="007F7ACC" w:rsidRPr="007F7ACC">
        <w:rPr>
          <w:rFonts w:ascii="David" w:hAnsi="David" w:cs="David" w:hint="cs"/>
          <w:rtl/>
        </w:rPr>
        <w:t>ו</w:t>
      </w:r>
      <w:r>
        <w:rPr>
          <w:rFonts w:ascii="David" w:hAnsi="David" w:cs="David" w:hint="cs"/>
          <w:rtl/>
        </w:rPr>
        <w:t>ה</w:t>
      </w:r>
      <w:r w:rsidR="007F7ACC" w:rsidRPr="007F7ACC">
        <w:rPr>
          <w:rFonts w:ascii="David" w:hAnsi="David" w:cs="David" w:hint="cs"/>
          <w:rtl/>
        </w:rPr>
        <w:t xml:space="preserve">תרחיש </w:t>
      </w:r>
      <w:r>
        <w:rPr>
          <w:rFonts w:ascii="David" w:hAnsi="David" w:cs="David" w:hint="cs"/>
          <w:rtl/>
        </w:rPr>
        <w:t>הפסימי</w:t>
      </w:r>
    </w:p>
    <w:p w:rsidR="007F7ACC" w:rsidRPr="00316615" w:rsidRDefault="007F7ACC" w:rsidP="00EB69E2">
      <w:pPr>
        <w:pStyle w:val="aa"/>
        <w:spacing w:after="120"/>
        <w:ind w:left="113"/>
        <w:rPr>
          <w:rFonts w:ascii="David" w:hAnsi="David" w:cs="David"/>
          <w:b w:val="0"/>
          <w:bCs w:val="0"/>
          <w:rtl/>
        </w:rPr>
      </w:pPr>
      <w:r w:rsidRPr="007F7ACC">
        <w:rPr>
          <w:rFonts w:ascii="David" w:hAnsi="David" w:cs="David"/>
          <w:rtl/>
        </w:rPr>
        <w:t xml:space="preserve"> </w:t>
      </w:r>
      <w:r w:rsidRPr="00316615">
        <w:rPr>
          <w:rFonts w:ascii="David" w:hAnsi="David" w:cs="David"/>
          <w:b w:val="0"/>
          <w:bCs w:val="0"/>
          <w:rtl/>
        </w:rPr>
        <w:t>(שיעורי השינוי באחוזים, אלא אם צוין אחרת)</w:t>
      </w:r>
    </w:p>
    <w:tbl>
      <w:tblPr>
        <w:bidiVisual/>
        <w:tblW w:w="0" w:type="auto"/>
        <w:tblInd w:w="75" w:type="dxa"/>
        <w:tblLayout w:type="fixed"/>
        <w:tblLook w:val="0000" w:firstRow="0" w:lastRow="0" w:firstColumn="0" w:lastColumn="0" w:noHBand="0" w:noVBand="0"/>
      </w:tblPr>
      <w:tblGrid>
        <w:gridCol w:w="4344"/>
        <w:gridCol w:w="709"/>
        <w:gridCol w:w="992"/>
        <w:gridCol w:w="1054"/>
        <w:gridCol w:w="1102"/>
        <w:gridCol w:w="1101"/>
      </w:tblGrid>
      <w:tr w:rsidR="0048462F" w:rsidRPr="0048462F" w:rsidTr="00EB69E2">
        <w:trPr>
          <w:trHeight w:val="346"/>
        </w:trPr>
        <w:tc>
          <w:tcPr>
            <w:tcW w:w="4344" w:type="dxa"/>
            <w:tcBorders>
              <w:top w:val="single" w:sz="12" w:space="0" w:color="auto"/>
              <w:left w:val="single" w:sz="12" w:space="0" w:color="auto"/>
              <w:bottom w:val="nil"/>
              <w:right w:val="nil"/>
            </w:tcBorders>
          </w:tcPr>
          <w:p w:rsidR="0048462F" w:rsidRPr="0048462F" w:rsidRDefault="0048462F" w:rsidP="0048462F">
            <w:pPr>
              <w:autoSpaceDE w:val="0"/>
              <w:autoSpaceDN w:val="0"/>
              <w:adjustRightInd w:val="0"/>
              <w:spacing w:line="240" w:lineRule="auto"/>
              <w:ind w:left="0"/>
              <w:jc w:val="center"/>
              <w:rPr>
                <w:rFonts w:ascii="Arial" w:hAnsi="Arial" w:cs="Arial"/>
                <w:b/>
                <w:bCs/>
                <w:color w:val="000000"/>
                <w:sz w:val="22"/>
                <w:szCs w:val="22"/>
              </w:rPr>
            </w:pPr>
          </w:p>
        </w:tc>
        <w:tc>
          <w:tcPr>
            <w:tcW w:w="709" w:type="dxa"/>
            <w:vMerge w:val="restart"/>
            <w:tcBorders>
              <w:top w:val="single" w:sz="12" w:space="0" w:color="auto"/>
              <w:left w:val="single" w:sz="12" w:space="0" w:color="auto"/>
              <w:right w:val="single" w:sz="12" w:space="0" w:color="auto"/>
            </w:tcBorders>
            <w:shd w:val="solid" w:color="C0C0C0" w:fill="auto"/>
            <w:vAlign w:val="center"/>
          </w:tcPr>
          <w:p w:rsidR="0048462F" w:rsidRPr="0048462F" w:rsidRDefault="0048462F" w:rsidP="0048462F">
            <w:pPr>
              <w:autoSpaceDE w:val="0"/>
              <w:autoSpaceDN w:val="0"/>
              <w:adjustRightInd w:val="0"/>
              <w:spacing w:line="240" w:lineRule="auto"/>
              <w:ind w:left="0"/>
              <w:jc w:val="center"/>
              <w:rPr>
                <w:rFonts w:ascii="David" w:hAnsi="David" w:cs="David"/>
                <w:b/>
                <w:bCs/>
                <w:color w:val="000000"/>
                <w:sz w:val="22"/>
                <w:szCs w:val="22"/>
              </w:rPr>
            </w:pPr>
            <w:r w:rsidRPr="0048462F">
              <w:rPr>
                <w:rFonts w:ascii="David" w:hAnsi="David" w:cs="David"/>
                <w:b/>
                <w:bCs/>
                <w:color w:val="000000"/>
                <w:sz w:val="22"/>
                <w:szCs w:val="22"/>
                <w:vertAlign w:val="superscript"/>
              </w:rPr>
              <w:t xml:space="preserve">1 </w:t>
            </w:r>
            <w:r w:rsidRPr="0048462F">
              <w:rPr>
                <w:rFonts w:ascii="David" w:hAnsi="David" w:cs="David"/>
                <w:b/>
                <w:bCs/>
                <w:color w:val="000000"/>
                <w:sz w:val="22"/>
                <w:szCs w:val="22"/>
              </w:rPr>
              <w:t>2019</w:t>
            </w:r>
          </w:p>
        </w:tc>
        <w:tc>
          <w:tcPr>
            <w:tcW w:w="2046" w:type="dxa"/>
            <w:gridSpan w:val="2"/>
            <w:tcBorders>
              <w:top w:val="single" w:sz="12" w:space="0" w:color="auto"/>
              <w:left w:val="single" w:sz="12" w:space="0" w:color="auto"/>
              <w:bottom w:val="single" w:sz="12" w:space="0" w:color="auto"/>
              <w:right w:val="single" w:sz="12" w:space="0" w:color="auto"/>
            </w:tcBorders>
          </w:tcPr>
          <w:p w:rsidR="0048462F" w:rsidRPr="0048462F" w:rsidRDefault="0048462F" w:rsidP="00216CEE">
            <w:pPr>
              <w:autoSpaceDE w:val="0"/>
              <w:autoSpaceDN w:val="0"/>
              <w:adjustRightInd w:val="0"/>
              <w:spacing w:line="240" w:lineRule="auto"/>
              <w:ind w:left="0"/>
              <w:jc w:val="center"/>
              <w:rPr>
                <w:rFonts w:ascii="David" w:hAnsi="David" w:cs="David"/>
                <w:b/>
                <w:bCs/>
                <w:color w:val="000000"/>
                <w:sz w:val="22"/>
                <w:szCs w:val="22"/>
              </w:rPr>
            </w:pPr>
            <w:r w:rsidRPr="0048462F">
              <w:rPr>
                <w:rFonts w:ascii="David" w:hAnsi="David" w:cs="David"/>
                <w:b/>
                <w:bCs/>
                <w:color w:val="000000"/>
                <w:sz w:val="22"/>
                <w:szCs w:val="22"/>
                <w:rtl/>
              </w:rPr>
              <w:t>תרחיש</w:t>
            </w:r>
            <w:r w:rsidRPr="0048462F">
              <w:rPr>
                <w:rFonts w:ascii="David" w:hAnsi="David" w:cs="David"/>
                <w:b/>
                <w:bCs/>
                <w:color w:val="000000"/>
                <w:sz w:val="22"/>
                <w:szCs w:val="22"/>
              </w:rPr>
              <w:t xml:space="preserve"> </w:t>
            </w:r>
            <w:r w:rsidR="00216CEE">
              <w:rPr>
                <w:rFonts w:ascii="David" w:hAnsi="David" w:cs="David" w:hint="cs"/>
                <w:b/>
                <w:bCs/>
                <w:color w:val="000000"/>
                <w:sz w:val="22"/>
                <w:szCs w:val="22"/>
                <w:rtl/>
              </w:rPr>
              <w:t>אופטימי</w:t>
            </w:r>
          </w:p>
        </w:tc>
        <w:tc>
          <w:tcPr>
            <w:tcW w:w="2203" w:type="dxa"/>
            <w:gridSpan w:val="2"/>
            <w:tcBorders>
              <w:top w:val="single" w:sz="12" w:space="0" w:color="auto"/>
              <w:left w:val="single" w:sz="12" w:space="0" w:color="auto"/>
              <w:bottom w:val="single" w:sz="12" w:space="0" w:color="auto"/>
              <w:right w:val="single" w:sz="12" w:space="0" w:color="auto"/>
            </w:tcBorders>
          </w:tcPr>
          <w:p w:rsidR="0048462F" w:rsidRPr="0048462F" w:rsidRDefault="0048462F" w:rsidP="00216CEE">
            <w:pPr>
              <w:autoSpaceDE w:val="0"/>
              <w:autoSpaceDN w:val="0"/>
              <w:adjustRightInd w:val="0"/>
              <w:spacing w:line="240" w:lineRule="auto"/>
              <w:ind w:left="0"/>
              <w:jc w:val="center"/>
              <w:rPr>
                <w:rFonts w:ascii="David" w:hAnsi="David" w:cs="David"/>
                <w:b/>
                <w:bCs/>
                <w:color w:val="000000"/>
                <w:sz w:val="22"/>
                <w:szCs w:val="22"/>
              </w:rPr>
            </w:pPr>
            <w:r w:rsidRPr="0048462F">
              <w:rPr>
                <w:rFonts w:ascii="David" w:hAnsi="David" w:cs="David"/>
                <w:b/>
                <w:bCs/>
                <w:color w:val="000000"/>
                <w:sz w:val="22"/>
                <w:szCs w:val="22"/>
                <w:rtl/>
              </w:rPr>
              <w:t>תרחיש</w:t>
            </w:r>
            <w:r w:rsidRPr="0048462F">
              <w:rPr>
                <w:rFonts w:ascii="David" w:hAnsi="David" w:cs="David"/>
                <w:b/>
                <w:bCs/>
                <w:color w:val="000000"/>
                <w:sz w:val="22"/>
                <w:szCs w:val="22"/>
              </w:rPr>
              <w:t xml:space="preserve"> </w:t>
            </w:r>
            <w:r w:rsidR="00216CEE">
              <w:rPr>
                <w:rFonts w:ascii="David" w:hAnsi="David" w:cs="David" w:hint="cs"/>
                <w:b/>
                <w:bCs/>
                <w:color w:val="000000"/>
                <w:sz w:val="22"/>
                <w:szCs w:val="22"/>
                <w:rtl/>
              </w:rPr>
              <w:t>פסימי</w:t>
            </w:r>
          </w:p>
        </w:tc>
      </w:tr>
      <w:tr w:rsidR="0048462F" w:rsidRPr="0048462F" w:rsidTr="00EB69E2">
        <w:trPr>
          <w:trHeight w:val="429"/>
        </w:trPr>
        <w:tc>
          <w:tcPr>
            <w:tcW w:w="4344" w:type="dxa"/>
            <w:tcBorders>
              <w:top w:val="nil"/>
              <w:left w:val="single" w:sz="12" w:space="0" w:color="auto"/>
              <w:bottom w:val="single" w:sz="12" w:space="0" w:color="auto"/>
              <w:right w:val="nil"/>
            </w:tcBorders>
          </w:tcPr>
          <w:p w:rsidR="0048462F" w:rsidRPr="0048462F" w:rsidRDefault="0048462F" w:rsidP="0048462F">
            <w:pPr>
              <w:autoSpaceDE w:val="0"/>
              <w:autoSpaceDN w:val="0"/>
              <w:adjustRightInd w:val="0"/>
              <w:spacing w:line="240" w:lineRule="auto"/>
              <w:ind w:left="0"/>
              <w:jc w:val="center"/>
              <w:rPr>
                <w:rFonts w:ascii="Arial" w:hAnsi="Arial" w:cs="Arial"/>
                <w:b/>
                <w:bCs/>
                <w:color w:val="000000"/>
                <w:sz w:val="22"/>
                <w:szCs w:val="22"/>
              </w:rPr>
            </w:pPr>
          </w:p>
        </w:tc>
        <w:tc>
          <w:tcPr>
            <w:tcW w:w="709" w:type="dxa"/>
            <w:vMerge/>
            <w:tcBorders>
              <w:left w:val="single" w:sz="12" w:space="0" w:color="auto"/>
              <w:bottom w:val="single" w:sz="12" w:space="0" w:color="auto"/>
              <w:right w:val="single" w:sz="12" w:space="0" w:color="auto"/>
            </w:tcBorders>
            <w:shd w:val="solid" w:color="C0C0C0" w:fill="auto"/>
            <w:vAlign w:val="center"/>
          </w:tcPr>
          <w:p w:rsidR="0048462F" w:rsidRPr="0048462F" w:rsidRDefault="0048462F" w:rsidP="0048462F">
            <w:pPr>
              <w:autoSpaceDE w:val="0"/>
              <w:autoSpaceDN w:val="0"/>
              <w:adjustRightInd w:val="0"/>
              <w:spacing w:line="240" w:lineRule="auto"/>
              <w:ind w:left="0"/>
              <w:jc w:val="center"/>
              <w:rPr>
                <w:rFonts w:ascii="David" w:hAnsi="David" w:cs="David"/>
                <w:b/>
                <w:bCs/>
                <w:color w:val="000000"/>
                <w:sz w:val="20"/>
                <w:szCs w:val="20"/>
              </w:rPr>
            </w:pPr>
          </w:p>
        </w:tc>
        <w:tc>
          <w:tcPr>
            <w:tcW w:w="992" w:type="dxa"/>
            <w:tcBorders>
              <w:top w:val="single" w:sz="12" w:space="0" w:color="auto"/>
              <w:left w:val="single" w:sz="12" w:space="0" w:color="auto"/>
              <w:bottom w:val="single" w:sz="12" w:space="0" w:color="auto"/>
              <w:right w:val="nil"/>
            </w:tcBorders>
          </w:tcPr>
          <w:p w:rsidR="0048462F" w:rsidRPr="0048462F" w:rsidRDefault="0048462F" w:rsidP="0048462F">
            <w:pPr>
              <w:autoSpaceDE w:val="0"/>
              <w:autoSpaceDN w:val="0"/>
              <w:adjustRightInd w:val="0"/>
              <w:spacing w:line="240" w:lineRule="auto"/>
              <w:ind w:left="0"/>
              <w:jc w:val="center"/>
              <w:rPr>
                <w:rFonts w:ascii="David" w:hAnsi="David" w:cs="David"/>
                <w:b/>
                <w:bCs/>
                <w:color w:val="000000"/>
                <w:sz w:val="20"/>
                <w:szCs w:val="20"/>
              </w:rPr>
            </w:pPr>
            <w:r w:rsidRPr="0048462F">
              <w:rPr>
                <w:rFonts w:ascii="David" w:hAnsi="David" w:cs="David"/>
                <w:b/>
                <w:bCs/>
                <w:color w:val="000000"/>
                <w:sz w:val="20"/>
                <w:szCs w:val="20"/>
                <w:rtl/>
              </w:rPr>
              <w:t>התחזית</w:t>
            </w:r>
            <w:r w:rsidRPr="0048462F">
              <w:rPr>
                <w:rFonts w:ascii="David" w:hAnsi="David" w:cs="David"/>
                <w:b/>
                <w:bCs/>
                <w:color w:val="000000"/>
                <w:sz w:val="20"/>
                <w:szCs w:val="20"/>
              </w:rPr>
              <w:t xml:space="preserve"> </w:t>
            </w:r>
            <w:r w:rsidRPr="0048462F">
              <w:rPr>
                <w:rFonts w:ascii="David" w:hAnsi="David" w:cs="David"/>
                <w:b/>
                <w:bCs/>
                <w:color w:val="000000"/>
                <w:sz w:val="20"/>
                <w:szCs w:val="20"/>
                <w:rtl/>
              </w:rPr>
              <w:t>ל</w:t>
            </w:r>
            <w:r w:rsidRPr="0048462F">
              <w:rPr>
                <w:rFonts w:ascii="David" w:hAnsi="David" w:cs="David"/>
                <w:b/>
                <w:bCs/>
                <w:color w:val="000000"/>
                <w:sz w:val="20"/>
                <w:szCs w:val="20"/>
              </w:rPr>
              <w:t>-2020</w:t>
            </w:r>
          </w:p>
        </w:tc>
        <w:tc>
          <w:tcPr>
            <w:tcW w:w="1054" w:type="dxa"/>
            <w:tcBorders>
              <w:top w:val="single" w:sz="12" w:space="0" w:color="auto"/>
              <w:left w:val="single" w:sz="12" w:space="0" w:color="auto"/>
              <w:bottom w:val="single" w:sz="12" w:space="0" w:color="auto"/>
              <w:right w:val="single" w:sz="12" w:space="0" w:color="auto"/>
            </w:tcBorders>
          </w:tcPr>
          <w:p w:rsidR="0048462F" w:rsidRPr="0048462F" w:rsidRDefault="0048462F" w:rsidP="0048462F">
            <w:pPr>
              <w:autoSpaceDE w:val="0"/>
              <w:autoSpaceDN w:val="0"/>
              <w:adjustRightInd w:val="0"/>
              <w:spacing w:line="240" w:lineRule="auto"/>
              <w:ind w:left="0"/>
              <w:jc w:val="center"/>
              <w:rPr>
                <w:rFonts w:ascii="David" w:hAnsi="David" w:cs="David"/>
                <w:b/>
                <w:bCs/>
                <w:color w:val="000000"/>
                <w:sz w:val="20"/>
                <w:szCs w:val="20"/>
              </w:rPr>
            </w:pPr>
            <w:r w:rsidRPr="0048462F">
              <w:rPr>
                <w:rFonts w:ascii="David" w:hAnsi="David" w:cs="David"/>
                <w:b/>
                <w:bCs/>
                <w:color w:val="000000"/>
                <w:sz w:val="20"/>
                <w:szCs w:val="20"/>
                <w:rtl/>
              </w:rPr>
              <w:t>התחזית</w:t>
            </w:r>
            <w:r w:rsidRPr="0048462F">
              <w:rPr>
                <w:rFonts w:ascii="David" w:hAnsi="David" w:cs="David"/>
                <w:b/>
                <w:bCs/>
                <w:color w:val="000000"/>
                <w:sz w:val="20"/>
                <w:szCs w:val="20"/>
              </w:rPr>
              <w:t xml:space="preserve"> </w:t>
            </w:r>
            <w:r w:rsidRPr="0048462F">
              <w:rPr>
                <w:rFonts w:ascii="David" w:hAnsi="David" w:cs="David"/>
                <w:b/>
                <w:bCs/>
                <w:color w:val="000000"/>
                <w:sz w:val="20"/>
                <w:szCs w:val="20"/>
                <w:rtl/>
              </w:rPr>
              <w:t>ל</w:t>
            </w:r>
            <w:r w:rsidRPr="0048462F">
              <w:rPr>
                <w:rFonts w:ascii="David" w:hAnsi="David" w:cs="David"/>
                <w:b/>
                <w:bCs/>
                <w:color w:val="000000"/>
                <w:sz w:val="20"/>
                <w:szCs w:val="20"/>
              </w:rPr>
              <w:t>-2021</w:t>
            </w:r>
          </w:p>
        </w:tc>
        <w:tc>
          <w:tcPr>
            <w:tcW w:w="1102" w:type="dxa"/>
            <w:tcBorders>
              <w:top w:val="single" w:sz="12" w:space="0" w:color="auto"/>
              <w:left w:val="single" w:sz="12" w:space="0" w:color="auto"/>
              <w:bottom w:val="single" w:sz="12" w:space="0" w:color="auto"/>
              <w:right w:val="nil"/>
            </w:tcBorders>
          </w:tcPr>
          <w:p w:rsidR="0048462F" w:rsidRPr="0048462F" w:rsidRDefault="0048462F" w:rsidP="0048462F">
            <w:pPr>
              <w:autoSpaceDE w:val="0"/>
              <w:autoSpaceDN w:val="0"/>
              <w:adjustRightInd w:val="0"/>
              <w:spacing w:line="240" w:lineRule="auto"/>
              <w:ind w:left="0"/>
              <w:jc w:val="center"/>
              <w:rPr>
                <w:rFonts w:ascii="David" w:hAnsi="David" w:cs="David"/>
                <w:b/>
                <w:bCs/>
                <w:color w:val="000000"/>
                <w:sz w:val="20"/>
                <w:szCs w:val="20"/>
              </w:rPr>
            </w:pPr>
            <w:r w:rsidRPr="0048462F">
              <w:rPr>
                <w:rFonts w:ascii="David" w:hAnsi="David" w:cs="David"/>
                <w:b/>
                <w:bCs/>
                <w:color w:val="000000"/>
                <w:sz w:val="20"/>
                <w:szCs w:val="20"/>
                <w:rtl/>
              </w:rPr>
              <w:t>התחזית</w:t>
            </w:r>
            <w:r w:rsidRPr="0048462F">
              <w:rPr>
                <w:rFonts w:ascii="David" w:hAnsi="David" w:cs="David"/>
                <w:b/>
                <w:bCs/>
                <w:color w:val="000000"/>
                <w:sz w:val="20"/>
                <w:szCs w:val="20"/>
              </w:rPr>
              <w:t xml:space="preserve"> </w:t>
            </w:r>
            <w:r w:rsidRPr="0048462F">
              <w:rPr>
                <w:rFonts w:ascii="David" w:hAnsi="David" w:cs="David"/>
                <w:b/>
                <w:bCs/>
                <w:color w:val="000000"/>
                <w:sz w:val="20"/>
                <w:szCs w:val="20"/>
                <w:rtl/>
              </w:rPr>
              <w:t>ל</w:t>
            </w:r>
            <w:r w:rsidRPr="0048462F">
              <w:rPr>
                <w:rFonts w:ascii="David" w:hAnsi="David" w:cs="David"/>
                <w:b/>
                <w:bCs/>
                <w:color w:val="000000"/>
                <w:sz w:val="20"/>
                <w:szCs w:val="20"/>
              </w:rPr>
              <w:t>-2020</w:t>
            </w:r>
          </w:p>
        </w:tc>
        <w:tc>
          <w:tcPr>
            <w:tcW w:w="1101" w:type="dxa"/>
            <w:tcBorders>
              <w:top w:val="single" w:sz="12" w:space="0" w:color="auto"/>
              <w:left w:val="single" w:sz="12" w:space="0" w:color="auto"/>
              <w:bottom w:val="single" w:sz="12" w:space="0" w:color="auto"/>
              <w:right w:val="single" w:sz="12" w:space="0" w:color="auto"/>
            </w:tcBorders>
          </w:tcPr>
          <w:p w:rsidR="0048462F" w:rsidRPr="0048462F" w:rsidRDefault="0048462F" w:rsidP="0048462F">
            <w:pPr>
              <w:autoSpaceDE w:val="0"/>
              <w:autoSpaceDN w:val="0"/>
              <w:adjustRightInd w:val="0"/>
              <w:spacing w:line="240" w:lineRule="auto"/>
              <w:ind w:left="0"/>
              <w:jc w:val="center"/>
              <w:rPr>
                <w:rFonts w:ascii="David" w:hAnsi="David" w:cs="David"/>
                <w:b/>
                <w:bCs/>
                <w:color w:val="000000"/>
                <w:sz w:val="20"/>
                <w:szCs w:val="20"/>
              </w:rPr>
            </w:pPr>
            <w:r w:rsidRPr="0048462F">
              <w:rPr>
                <w:rFonts w:ascii="David" w:hAnsi="David" w:cs="David"/>
                <w:b/>
                <w:bCs/>
                <w:color w:val="000000"/>
                <w:sz w:val="20"/>
                <w:szCs w:val="20"/>
                <w:rtl/>
              </w:rPr>
              <w:t>התחזית</w:t>
            </w:r>
            <w:r w:rsidRPr="0048462F">
              <w:rPr>
                <w:rFonts w:ascii="David" w:hAnsi="David" w:cs="David"/>
                <w:b/>
                <w:bCs/>
                <w:color w:val="000000"/>
                <w:sz w:val="20"/>
                <w:szCs w:val="20"/>
              </w:rPr>
              <w:t xml:space="preserve"> </w:t>
            </w:r>
            <w:r w:rsidRPr="0048462F">
              <w:rPr>
                <w:rFonts w:ascii="David" w:hAnsi="David" w:cs="David"/>
                <w:b/>
                <w:bCs/>
                <w:color w:val="000000"/>
                <w:sz w:val="20"/>
                <w:szCs w:val="20"/>
                <w:rtl/>
              </w:rPr>
              <w:t>ל</w:t>
            </w:r>
            <w:r w:rsidRPr="0048462F">
              <w:rPr>
                <w:rFonts w:ascii="David" w:hAnsi="David" w:cs="David"/>
                <w:b/>
                <w:bCs/>
                <w:color w:val="000000"/>
                <w:sz w:val="20"/>
                <w:szCs w:val="20"/>
              </w:rPr>
              <w:t>-2021</w:t>
            </w:r>
          </w:p>
        </w:tc>
      </w:tr>
      <w:tr w:rsidR="0048462F" w:rsidRPr="0048462F" w:rsidTr="00EB69E2">
        <w:trPr>
          <w:trHeight w:val="288"/>
        </w:trPr>
        <w:tc>
          <w:tcPr>
            <w:tcW w:w="4344" w:type="dxa"/>
            <w:tcBorders>
              <w:top w:val="nil"/>
              <w:left w:val="single" w:sz="12" w:space="0" w:color="auto"/>
              <w:bottom w:val="nil"/>
              <w:right w:val="nil"/>
            </w:tcBorders>
          </w:tcPr>
          <w:p w:rsidR="0048462F" w:rsidRPr="0048462F" w:rsidRDefault="0048462F" w:rsidP="0048462F">
            <w:pPr>
              <w:autoSpaceDE w:val="0"/>
              <w:autoSpaceDN w:val="0"/>
              <w:adjustRightInd w:val="0"/>
              <w:spacing w:line="240" w:lineRule="auto"/>
              <w:ind w:left="0"/>
              <w:jc w:val="left"/>
              <w:rPr>
                <w:rFonts w:ascii="David" w:hAnsi="David" w:cs="David"/>
                <w:color w:val="000000"/>
                <w:sz w:val="22"/>
                <w:szCs w:val="22"/>
              </w:rPr>
            </w:pPr>
            <w:proofErr w:type="spellStart"/>
            <w:r>
              <w:rPr>
                <w:rFonts w:ascii="David" w:hAnsi="David" w:cs="David"/>
                <w:color w:val="000000"/>
                <w:sz w:val="22"/>
                <w:szCs w:val="22"/>
                <w:rtl/>
              </w:rPr>
              <w:t>התמ</w:t>
            </w:r>
            <w:proofErr w:type="spellEnd"/>
            <w:r>
              <w:rPr>
                <w:rFonts w:ascii="David" w:hAnsi="David" w:cs="David"/>
                <w:color w:val="000000"/>
                <w:sz w:val="22"/>
                <w:szCs w:val="22"/>
              </w:rPr>
              <w:t>"</w:t>
            </w:r>
            <w:r>
              <w:rPr>
                <w:rFonts w:ascii="David" w:hAnsi="David" w:cs="David"/>
                <w:color w:val="000000"/>
                <w:sz w:val="22"/>
                <w:szCs w:val="22"/>
                <w:rtl/>
              </w:rPr>
              <w:t>ג</w:t>
            </w:r>
          </w:p>
        </w:tc>
        <w:tc>
          <w:tcPr>
            <w:tcW w:w="709" w:type="dxa"/>
            <w:tcBorders>
              <w:top w:val="nil"/>
              <w:left w:val="single" w:sz="12" w:space="0" w:color="auto"/>
              <w:bottom w:val="nil"/>
              <w:right w:val="single" w:sz="12" w:space="0" w:color="auto"/>
            </w:tcBorders>
            <w:shd w:val="solid" w:color="C0C0C0" w:fill="auto"/>
          </w:tcPr>
          <w:p w:rsidR="0048462F" w:rsidRPr="0048462F" w:rsidRDefault="0048462F" w:rsidP="0048462F">
            <w:pPr>
              <w:autoSpaceDE w:val="0"/>
              <w:autoSpaceDN w:val="0"/>
              <w:adjustRightInd w:val="0"/>
              <w:spacing w:line="240" w:lineRule="auto"/>
              <w:ind w:left="0"/>
              <w:jc w:val="center"/>
              <w:rPr>
                <w:rFonts w:ascii="David" w:hAnsi="David" w:cs="David"/>
                <w:color w:val="000000"/>
                <w:sz w:val="20"/>
                <w:szCs w:val="20"/>
              </w:rPr>
            </w:pPr>
            <w:r w:rsidRPr="0048462F">
              <w:rPr>
                <w:rFonts w:ascii="David" w:hAnsi="David" w:cs="David"/>
                <w:color w:val="000000"/>
                <w:sz w:val="20"/>
                <w:szCs w:val="20"/>
              </w:rPr>
              <w:t>3.5</w:t>
            </w:r>
          </w:p>
        </w:tc>
        <w:tc>
          <w:tcPr>
            <w:tcW w:w="992" w:type="dxa"/>
            <w:tcBorders>
              <w:top w:val="nil"/>
              <w:left w:val="single" w:sz="12" w:space="0" w:color="auto"/>
              <w:bottom w:val="nil"/>
              <w:right w:val="nil"/>
            </w:tcBorders>
          </w:tcPr>
          <w:p w:rsidR="0048462F" w:rsidRPr="0048462F" w:rsidRDefault="0048462F" w:rsidP="0048462F">
            <w:pPr>
              <w:autoSpaceDE w:val="0"/>
              <w:autoSpaceDN w:val="0"/>
              <w:adjustRightInd w:val="0"/>
              <w:spacing w:line="240" w:lineRule="auto"/>
              <w:ind w:left="0"/>
              <w:jc w:val="center"/>
              <w:rPr>
                <w:rFonts w:ascii="David" w:hAnsi="David" w:cs="David"/>
                <w:color w:val="000000"/>
                <w:sz w:val="20"/>
                <w:szCs w:val="20"/>
              </w:rPr>
            </w:pPr>
            <w:r w:rsidRPr="0048462F">
              <w:rPr>
                <w:rFonts w:ascii="David" w:hAnsi="David" w:cs="David"/>
                <w:color w:val="000000"/>
                <w:sz w:val="20"/>
                <w:szCs w:val="20"/>
              </w:rPr>
              <w:t>-4.5</w:t>
            </w:r>
          </w:p>
        </w:tc>
        <w:tc>
          <w:tcPr>
            <w:tcW w:w="1054" w:type="dxa"/>
            <w:tcBorders>
              <w:top w:val="nil"/>
              <w:left w:val="nil"/>
              <w:bottom w:val="nil"/>
              <w:right w:val="single" w:sz="12" w:space="0" w:color="auto"/>
            </w:tcBorders>
          </w:tcPr>
          <w:p w:rsidR="0048462F" w:rsidRPr="00A37532" w:rsidRDefault="0048462F" w:rsidP="0048462F">
            <w:pPr>
              <w:autoSpaceDE w:val="0"/>
              <w:autoSpaceDN w:val="0"/>
              <w:adjustRightInd w:val="0"/>
              <w:spacing w:line="240" w:lineRule="auto"/>
              <w:ind w:left="0"/>
              <w:jc w:val="center"/>
              <w:rPr>
                <w:rFonts w:ascii="David" w:hAnsi="David" w:cs="David"/>
                <w:color w:val="000000"/>
                <w:sz w:val="20"/>
                <w:szCs w:val="20"/>
              </w:rPr>
            </w:pPr>
            <w:r w:rsidRPr="00A37532">
              <w:rPr>
                <w:rFonts w:ascii="David" w:hAnsi="David" w:cs="David"/>
                <w:color w:val="000000"/>
                <w:sz w:val="20"/>
                <w:szCs w:val="20"/>
              </w:rPr>
              <w:t>6.0</w:t>
            </w:r>
          </w:p>
        </w:tc>
        <w:tc>
          <w:tcPr>
            <w:tcW w:w="1102" w:type="dxa"/>
            <w:tcBorders>
              <w:top w:val="nil"/>
              <w:left w:val="single" w:sz="12" w:space="0" w:color="auto"/>
              <w:bottom w:val="nil"/>
              <w:right w:val="nil"/>
            </w:tcBorders>
          </w:tcPr>
          <w:p w:rsidR="0048462F" w:rsidRPr="0048462F" w:rsidRDefault="0048462F" w:rsidP="0048462F">
            <w:pPr>
              <w:autoSpaceDE w:val="0"/>
              <w:autoSpaceDN w:val="0"/>
              <w:adjustRightInd w:val="0"/>
              <w:spacing w:line="240" w:lineRule="auto"/>
              <w:ind w:left="0"/>
              <w:jc w:val="center"/>
              <w:rPr>
                <w:rFonts w:ascii="David" w:hAnsi="David" w:cs="David"/>
                <w:color w:val="000000"/>
                <w:sz w:val="20"/>
                <w:szCs w:val="20"/>
              </w:rPr>
            </w:pPr>
            <w:r w:rsidRPr="0048462F">
              <w:rPr>
                <w:rFonts w:ascii="David" w:hAnsi="David" w:cs="David"/>
                <w:color w:val="000000"/>
                <w:sz w:val="20"/>
                <w:szCs w:val="20"/>
              </w:rPr>
              <w:t>-7.0</w:t>
            </w:r>
          </w:p>
        </w:tc>
        <w:tc>
          <w:tcPr>
            <w:tcW w:w="1101" w:type="dxa"/>
            <w:tcBorders>
              <w:top w:val="nil"/>
              <w:left w:val="single" w:sz="12" w:space="0" w:color="auto"/>
              <w:bottom w:val="nil"/>
              <w:right w:val="single" w:sz="12" w:space="0" w:color="auto"/>
            </w:tcBorders>
          </w:tcPr>
          <w:p w:rsidR="0048462F" w:rsidRPr="0048462F" w:rsidRDefault="0048462F" w:rsidP="0048462F">
            <w:pPr>
              <w:autoSpaceDE w:val="0"/>
              <w:autoSpaceDN w:val="0"/>
              <w:adjustRightInd w:val="0"/>
              <w:spacing w:line="240" w:lineRule="auto"/>
              <w:ind w:left="0"/>
              <w:jc w:val="center"/>
              <w:rPr>
                <w:rFonts w:ascii="David" w:hAnsi="David" w:cs="David"/>
                <w:color w:val="000000"/>
                <w:sz w:val="20"/>
                <w:szCs w:val="20"/>
              </w:rPr>
            </w:pPr>
            <w:r w:rsidRPr="0048462F">
              <w:rPr>
                <w:rFonts w:ascii="David" w:hAnsi="David" w:cs="David"/>
                <w:color w:val="000000"/>
                <w:sz w:val="20"/>
                <w:szCs w:val="20"/>
              </w:rPr>
              <w:t>3.0</w:t>
            </w:r>
          </w:p>
        </w:tc>
      </w:tr>
      <w:tr w:rsidR="0048462F" w:rsidRPr="0048462F" w:rsidTr="00EB69E2">
        <w:trPr>
          <w:trHeight w:val="288"/>
        </w:trPr>
        <w:tc>
          <w:tcPr>
            <w:tcW w:w="4344" w:type="dxa"/>
            <w:tcBorders>
              <w:top w:val="nil"/>
              <w:left w:val="single" w:sz="12" w:space="0" w:color="auto"/>
              <w:bottom w:val="nil"/>
              <w:right w:val="nil"/>
            </w:tcBorders>
          </w:tcPr>
          <w:p w:rsidR="0048462F" w:rsidRPr="0048462F" w:rsidRDefault="0048462F" w:rsidP="0048462F">
            <w:pPr>
              <w:autoSpaceDE w:val="0"/>
              <w:autoSpaceDN w:val="0"/>
              <w:adjustRightInd w:val="0"/>
              <w:spacing w:line="240" w:lineRule="auto"/>
              <w:ind w:left="0"/>
              <w:jc w:val="left"/>
              <w:rPr>
                <w:rFonts w:ascii="David" w:hAnsi="David" w:cs="David"/>
                <w:color w:val="000000"/>
                <w:sz w:val="22"/>
                <w:szCs w:val="22"/>
              </w:rPr>
            </w:pPr>
            <w:r>
              <w:rPr>
                <w:rFonts w:ascii="David" w:hAnsi="David" w:cs="David"/>
                <w:color w:val="000000"/>
                <w:sz w:val="22"/>
                <w:szCs w:val="22"/>
                <w:rtl/>
              </w:rPr>
              <w:t>הצריכה</w:t>
            </w:r>
            <w:r>
              <w:rPr>
                <w:rFonts w:ascii="David" w:hAnsi="David" w:cs="David"/>
                <w:color w:val="000000"/>
                <w:sz w:val="22"/>
                <w:szCs w:val="22"/>
              </w:rPr>
              <w:t xml:space="preserve"> </w:t>
            </w:r>
            <w:r>
              <w:rPr>
                <w:rFonts w:ascii="David" w:hAnsi="David" w:cs="David"/>
                <w:color w:val="000000"/>
                <w:sz w:val="22"/>
                <w:szCs w:val="22"/>
                <w:rtl/>
              </w:rPr>
              <w:t>הפרטית</w:t>
            </w:r>
          </w:p>
        </w:tc>
        <w:tc>
          <w:tcPr>
            <w:tcW w:w="709" w:type="dxa"/>
            <w:tcBorders>
              <w:top w:val="nil"/>
              <w:left w:val="single" w:sz="12" w:space="0" w:color="auto"/>
              <w:bottom w:val="nil"/>
              <w:right w:val="single" w:sz="12" w:space="0" w:color="auto"/>
            </w:tcBorders>
            <w:shd w:val="solid" w:color="C0C0C0" w:fill="auto"/>
          </w:tcPr>
          <w:p w:rsidR="0048462F" w:rsidRPr="0048462F" w:rsidRDefault="0048462F" w:rsidP="0048462F">
            <w:pPr>
              <w:autoSpaceDE w:val="0"/>
              <w:autoSpaceDN w:val="0"/>
              <w:adjustRightInd w:val="0"/>
              <w:spacing w:line="240" w:lineRule="auto"/>
              <w:ind w:left="0"/>
              <w:jc w:val="center"/>
              <w:rPr>
                <w:rFonts w:ascii="David" w:hAnsi="David" w:cs="David"/>
                <w:color w:val="000000"/>
                <w:sz w:val="20"/>
                <w:szCs w:val="20"/>
              </w:rPr>
            </w:pPr>
            <w:r w:rsidRPr="0048462F">
              <w:rPr>
                <w:rFonts w:ascii="David" w:hAnsi="David" w:cs="David"/>
                <w:color w:val="000000"/>
                <w:sz w:val="20"/>
                <w:szCs w:val="20"/>
              </w:rPr>
              <w:t>3.8</w:t>
            </w:r>
          </w:p>
        </w:tc>
        <w:tc>
          <w:tcPr>
            <w:tcW w:w="992" w:type="dxa"/>
            <w:tcBorders>
              <w:top w:val="nil"/>
              <w:left w:val="single" w:sz="12" w:space="0" w:color="auto"/>
              <w:bottom w:val="nil"/>
              <w:right w:val="nil"/>
            </w:tcBorders>
          </w:tcPr>
          <w:p w:rsidR="0048462F" w:rsidRPr="0048462F" w:rsidRDefault="0048462F" w:rsidP="0048462F">
            <w:pPr>
              <w:autoSpaceDE w:val="0"/>
              <w:autoSpaceDN w:val="0"/>
              <w:adjustRightInd w:val="0"/>
              <w:spacing w:line="240" w:lineRule="auto"/>
              <w:ind w:left="0"/>
              <w:jc w:val="center"/>
              <w:rPr>
                <w:rFonts w:ascii="David" w:hAnsi="David" w:cs="David"/>
                <w:color w:val="000000"/>
                <w:sz w:val="20"/>
                <w:szCs w:val="20"/>
              </w:rPr>
            </w:pPr>
            <w:r w:rsidRPr="0048462F">
              <w:rPr>
                <w:rFonts w:ascii="David" w:hAnsi="David" w:cs="David"/>
                <w:color w:val="000000"/>
                <w:sz w:val="20"/>
                <w:szCs w:val="20"/>
              </w:rPr>
              <w:t>-7.5</w:t>
            </w:r>
          </w:p>
        </w:tc>
        <w:tc>
          <w:tcPr>
            <w:tcW w:w="1054" w:type="dxa"/>
            <w:tcBorders>
              <w:top w:val="nil"/>
              <w:left w:val="nil"/>
              <w:bottom w:val="nil"/>
              <w:right w:val="single" w:sz="12" w:space="0" w:color="auto"/>
            </w:tcBorders>
          </w:tcPr>
          <w:p w:rsidR="0048462F" w:rsidRPr="0048462F" w:rsidRDefault="0048462F" w:rsidP="0048462F">
            <w:pPr>
              <w:autoSpaceDE w:val="0"/>
              <w:autoSpaceDN w:val="0"/>
              <w:adjustRightInd w:val="0"/>
              <w:spacing w:line="240" w:lineRule="auto"/>
              <w:ind w:left="0"/>
              <w:jc w:val="center"/>
              <w:rPr>
                <w:rFonts w:ascii="David" w:hAnsi="David" w:cs="David"/>
                <w:color w:val="000000"/>
                <w:sz w:val="20"/>
                <w:szCs w:val="20"/>
              </w:rPr>
            </w:pPr>
            <w:r w:rsidRPr="0048462F">
              <w:rPr>
                <w:rFonts w:ascii="David" w:hAnsi="David" w:cs="David"/>
                <w:color w:val="000000"/>
                <w:sz w:val="20"/>
                <w:szCs w:val="20"/>
              </w:rPr>
              <w:t>9.0</w:t>
            </w:r>
          </w:p>
        </w:tc>
        <w:tc>
          <w:tcPr>
            <w:tcW w:w="1102" w:type="dxa"/>
            <w:tcBorders>
              <w:top w:val="nil"/>
              <w:left w:val="single" w:sz="12" w:space="0" w:color="auto"/>
              <w:bottom w:val="nil"/>
              <w:right w:val="nil"/>
            </w:tcBorders>
          </w:tcPr>
          <w:p w:rsidR="0048462F" w:rsidRPr="0048462F" w:rsidRDefault="0048462F" w:rsidP="0048462F">
            <w:pPr>
              <w:autoSpaceDE w:val="0"/>
              <w:autoSpaceDN w:val="0"/>
              <w:adjustRightInd w:val="0"/>
              <w:spacing w:line="240" w:lineRule="auto"/>
              <w:ind w:left="0"/>
              <w:jc w:val="center"/>
              <w:rPr>
                <w:rFonts w:ascii="David" w:hAnsi="David" w:cs="David"/>
                <w:color w:val="000000"/>
                <w:sz w:val="20"/>
                <w:szCs w:val="20"/>
              </w:rPr>
            </w:pPr>
            <w:r w:rsidRPr="0048462F">
              <w:rPr>
                <w:rFonts w:ascii="David" w:hAnsi="David" w:cs="David"/>
                <w:color w:val="000000"/>
                <w:sz w:val="20"/>
                <w:szCs w:val="20"/>
              </w:rPr>
              <w:t>-10.5</w:t>
            </w:r>
          </w:p>
        </w:tc>
        <w:tc>
          <w:tcPr>
            <w:tcW w:w="1101" w:type="dxa"/>
            <w:tcBorders>
              <w:top w:val="nil"/>
              <w:left w:val="single" w:sz="12" w:space="0" w:color="auto"/>
              <w:bottom w:val="nil"/>
              <w:right w:val="single" w:sz="12" w:space="0" w:color="auto"/>
            </w:tcBorders>
          </w:tcPr>
          <w:p w:rsidR="0048462F" w:rsidRPr="0048462F" w:rsidRDefault="0048462F" w:rsidP="0048462F">
            <w:pPr>
              <w:autoSpaceDE w:val="0"/>
              <w:autoSpaceDN w:val="0"/>
              <w:adjustRightInd w:val="0"/>
              <w:spacing w:line="240" w:lineRule="auto"/>
              <w:ind w:left="0"/>
              <w:jc w:val="center"/>
              <w:rPr>
                <w:rFonts w:ascii="David" w:hAnsi="David" w:cs="David"/>
                <w:color w:val="000000"/>
                <w:sz w:val="20"/>
                <w:szCs w:val="20"/>
              </w:rPr>
            </w:pPr>
            <w:r w:rsidRPr="0048462F">
              <w:rPr>
                <w:rFonts w:ascii="David" w:hAnsi="David" w:cs="David"/>
                <w:color w:val="000000"/>
                <w:sz w:val="20"/>
                <w:szCs w:val="20"/>
              </w:rPr>
              <w:t>6.5</w:t>
            </w:r>
          </w:p>
        </w:tc>
      </w:tr>
      <w:tr w:rsidR="0048462F" w:rsidRPr="0048462F" w:rsidTr="00EB69E2">
        <w:trPr>
          <w:trHeight w:val="279"/>
        </w:trPr>
        <w:tc>
          <w:tcPr>
            <w:tcW w:w="4344" w:type="dxa"/>
            <w:tcBorders>
              <w:top w:val="nil"/>
              <w:left w:val="single" w:sz="12" w:space="0" w:color="auto"/>
              <w:bottom w:val="nil"/>
              <w:right w:val="nil"/>
            </w:tcBorders>
          </w:tcPr>
          <w:p w:rsidR="0048462F" w:rsidRPr="0048462F" w:rsidRDefault="0048462F" w:rsidP="00666DB0">
            <w:pPr>
              <w:autoSpaceDE w:val="0"/>
              <w:autoSpaceDN w:val="0"/>
              <w:adjustRightInd w:val="0"/>
              <w:spacing w:line="240" w:lineRule="auto"/>
              <w:ind w:left="0"/>
              <w:jc w:val="left"/>
              <w:rPr>
                <w:rFonts w:ascii="David" w:hAnsi="David" w:cs="David"/>
                <w:color w:val="000000"/>
                <w:sz w:val="22"/>
                <w:szCs w:val="22"/>
                <w:rtl/>
              </w:rPr>
            </w:pPr>
            <w:r>
              <w:rPr>
                <w:rFonts w:ascii="David" w:hAnsi="David" w:cs="David"/>
                <w:color w:val="000000"/>
                <w:sz w:val="22"/>
                <w:szCs w:val="22"/>
                <w:rtl/>
              </w:rPr>
              <w:t>ההשקעה</w:t>
            </w:r>
            <w:r>
              <w:rPr>
                <w:rFonts w:ascii="David" w:hAnsi="David" w:cs="David"/>
                <w:color w:val="000000"/>
                <w:sz w:val="22"/>
                <w:szCs w:val="22"/>
              </w:rPr>
              <w:t xml:space="preserve"> </w:t>
            </w:r>
            <w:r>
              <w:rPr>
                <w:rFonts w:ascii="David" w:hAnsi="David" w:cs="David"/>
                <w:color w:val="000000"/>
                <w:sz w:val="22"/>
                <w:szCs w:val="22"/>
                <w:rtl/>
              </w:rPr>
              <w:t>בנכסים</w:t>
            </w:r>
            <w:r>
              <w:rPr>
                <w:rFonts w:ascii="David" w:hAnsi="David" w:cs="David"/>
                <w:color w:val="000000"/>
                <w:sz w:val="22"/>
                <w:szCs w:val="22"/>
              </w:rPr>
              <w:t xml:space="preserve"> </w:t>
            </w:r>
            <w:r>
              <w:rPr>
                <w:rFonts w:ascii="David" w:hAnsi="David" w:cs="David"/>
                <w:color w:val="000000"/>
                <w:sz w:val="22"/>
                <w:szCs w:val="22"/>
                <w:rtl/>
              </w:rPr>
              <w:t>קבועים</w:t>
            </w:r>
            <w:r w:rsidR="00666DB0">
              <w:rPr>
                <w:rFonts w:ascii="David" w:hAnsi="David" w:cs="David" w:hint="cs"/>
                <w:color w:val="000000"/>
                <w:sz w:val="22"/>
                <w:szCs w:val="22"/>
                <w:rtl/>
              </w:rPr>
              <w:t xml:space="preserve"> (</w:t>
            </w:r>
            <w:r>
              <w:rPr>
                <w:rFonts w:ascii="David" w:hAnsi="David" w:cs="David"/>
                <w:color w:val="000000"/>
                <w:sz w:val="22"/>
                <w:szCs w:val="22"/>
                <w:rtl/>
              </w:rPr>
              <w:t>ללא</w:t>
            </w:r>
            <w:r>
              <w:rPr>
                <w:rFonts w:ascii="David" w:hAnsi="David" w:cs="David"/>
                <w:color w:val="000000"/>
                <w:sz w:val="22"/>
                <w:szCs w:val="22"/>
              </w:rPr>
              <w:t xml:space="preserve"> </w:t>
            </w:r>
            <w:proofErr w:type="spellStart"/>
            <w:r>
              <w:rPr>
                <w:rFonts w:ascii="David" w:hAnsi="David" w:cs="David"/>
                <w:color w:val="000000"/>
                <w:sz w:val="22"/>
                <w:szCs w:val="22"/>
                <w:rtl/>
              </w:rPr>
              <w:t>אוניות</w:t>
            </w:r>
            <w:proofErr w:type="spellEnd"/>
            <w:r>
              <w:rPr>
                <w:rFonts w:ascii="David" w:hAnsi="David" w:cs="David"/>
                <w:color w:val="000000"/>
                <w:sz w:val="22"/>
                <w:szCs w:val="22"/>
              </w:rPr>
              <w:t xml:space="preserve"> </w:t>
            </w:r>
            <w:r>
              <w:rPr>
                <w:rFonts w:ascii="David" w:hAnsi="David" w:cs="David"/>
                <w:color w:val="000000"/>
                <w:sz w:val="22"/>
                <w:szCs w:val="22"/>
                <w:rtl/>
              </w:rPr>
              <w:t>ומטוסים</w:t>
            </w:r>
            <w:r w:rsidR="00666DB0">
              <w:rPr>
                <w:rFonts w:ascii="David" w:hAnsi="David" w:cs="David"/>
                <w:color w:val="000000"/>
                <w:sz w:val="22"/>
                <w:szCs w:val="22"/>
              </w:rPr>
              <w:t>(</w:t>
            </w:r>
          </w:p>
        </w:tc>
        <w:tc>
          <w:tcPr>
            <w:tcW w:w="709" w:type="dxa"/>
            <w:tcBorders>
              <w:top w:val="nil"/>
              <w:left w:val="single" w:sz="12" w:space="0" w:color="auto"/>
              <w:bottom w:val="nil"/>
              <w:right w:val="single" w:sz="12" w:space="0" w:color="auto"/>
            </w:tcBorders>
            <w:shd w:val="solid" w:color="C0C0C0" w:fill="auto"/>
          </w:tcPr>
          <w:p w:rsidR="0048462F" w:rsidRPr="0048462F" w:rsidRDefault="0048462F" w:rsidP="0048462F">
            <w:pPr>
              <w:autoSpaceDE w:val="0"/>
              <w:autoSpaceDN w:val="0"/>
              <w:adjustRightInd w:val="0"/>
              <w:spacing w:line="240" w:lineRule="auto"/>
              <w:ind w:left="0"/>
              <w:jc w:val="center"/>
              <w:rPr>
                <w:rFonts w:ascii="David" w:hAnsi="David" w:cs="David"/>
                <w:color w:val="000000"/>
                <w:sz w:val="20"/>
                <w:szCs w:val="20"/>
              </w:rPr>
            </w:pPr>
            <w:r w:rsidRPr="0048462F">
              <w:rPr>
                <w:rFonts w:ascii="David" w:hAnsi="David" w:cs="David"/>
                <w:color w:val="000000"/>
                <w:sz w:val="20"/>
                <w:szCs w:val="20"/>
              </w:rPr>
              <w:t>2.7</w:t>
            </w:r>
          </w:p>
        </w:tc>
        <w:tc>
          <w:tcPr>
            <w:tcW w:w="992" w:type="dxa"/>
            <w:tcBorders>
              <w:top w:val="nil"/>
              <w:left w:val="single" w:sz="12" w:space="0" w:color="auto"/>
              <w:bottom w:val="nil"/>
              <w:right w:val="nil"/>
            </w:tcBorders>
          </w:tcPr>
          <w:p w:rsidR="0048462F" w:rsidRPr="0048462F" w:rsidRDefault="0048462F" w:rsidP="0048462F">
            <w:pPr>
              <w:autoSpaceDE w:val="0"/>
              <w:autoSpaceDN w:val="0"/>
              <w:adjustRightInd w:val="0"/>
              <w:spacing w:line="240" w:lineRule="auto"/>
              <w:ind w:left="0"/>
              <w:jc w:val="center"/>
              <w:rPr>
                <w:rFonts w:ascii="David" w:hAnsi="David" w:cs="David"/>
                <w:color w:val="000000"/>
                <w:sz w:val="20"/>
                <w:szCs w:val="20"/>
              </w:rPr>
            </w:pPr>
            <w:r w:rsidRPr="0048462F">
              <w:rPr>
                <w:rFonts w:ascii="David" w:hAnsi="David" w:cs="David"/>
                <w:color w:val="000000"/>
                <w:sz w:val="20"/>
                <w:szCs w:val="20"/>
              </w:rPr>
              <w:t>-7.5</w:t>
            </w:r>
          </w:p>
        </w:tc>
        <w:tc>
          <w:tcPr>
            <w:tcW w:w="1054" w:type="dxa"/>
            <w:tcBorders>
              <w:top w:val="nil"/>
              <w:left w:val="nil"/>
              <w:bottom w:val="nil"/>
              <w:right w:val="single" w:sz="12" w:space="0" w:color="auto"/>
            </w:tcBorders>
          </w:tcPr>
          <w:p w:rsidR="0048462F" w:rsidRPr="0048462F" w:rsidRDefault="0048462F" w:rsidP="0048462F">
            <w:pPr>
              <w:autoSpaceDE w:val="0"/>
              <w:autoSpaceDN w:val="0"/>
              <w:adjustRightInd w:val="0"/>
              <w:spacing w:line="240" w:lineRule="auto"/>
              <w:ind w:left="0"/>
              <w:jc w:val="center"/>
              <w:rPr>
                <w:rFonts w:ascii="David" w:hAnsi="David" w:cs="David"/>
                <w:color w:val="000000"/>
                <w:sz w:val="20"/>
                <w:szCs w:val="20"/>
              </w:rPr>
            </w:pPr>
            <w:r w:rsidRPr="0048462F">
              <w:rPr>
                <w:rFonts w:ascii="David" w:hAnsi="David" w:cs="David"/>
                <w:color w:val="000000"/>
                <w:sz w:val="20"/>
                <w:szCs w:val="20"/>
              </w:rPr>
              <w:t>4.5</w:t>
            </w:r>
          </w:p>
        </w:tc>
        <w:tc>
          <w:tcPr>
            <w:tcW w:w="1102" w:type="dxa"/>
            <w:tcBorders>
              <w:top w:val="nil"/>
              <w:left w:val="single" w:sz="12" w:space="0" w:color="auto"/>
              <w:bottom w:val="nil"/>
              <w:right w:val="nil"/>
            </w:tcBorders>
          </w:tcPr>
          <w:p w:rsidR="0048462F" w:rsidRPr="0048462F" w:rsidRDefault="0048462F" w:rsidP="0048462F">
            <w:pPr>
              <w:autoSpaceDE w:val="0"/>
              <w:autoSpaceDN w:val="0"/>
              <w:adjustRightInd w:val="0"/>
              <w:spacing w:line="240" w:lineRule="auto"/>
              <w:ind w:left="0"/>
              <w:jc w:val="center"/>
              <w:rPr>
                <w:rFonts w:ascii="David" w:hAnsi="David" w:cs="David"/>
                <w:color w:val="000000"/>
                <w:sz w:val="20"/>
                <w:szCs w:val="20"/>
              </w:rPr>
            </w:pPr>
            <w:r w:rsidRPr="0048462F">
              <w:rPr>
                <w:rFonts w:ascii="David" w:hAnsi="David" w:cs="David"/>
                <w:color w:val="000000"/>
                <w:sz w:val="20"/>
                <w:szCs w:val="20"/>
              </w:rPr>
              <w:t>-8.5</w:t>
            </w:r>
          </w:p>
        </w:tc>
        <w:tc>
          <w:tcPr>
            <w:tcW w:w="1101" w:type="dxa"/>
            <w:tcBorders>
              <w:top w:val="nil"/>
              <w:left w:val="single" w:sz="12" w:space="0" w:color="auto"/>
              <w:bottom w:val="nil"/>
              <w:right w:val="single" w:sz="12" w:space="0" w:color="auto"/>
            </w:tcBorders>
          </w:tcPr>
          <w:p w:rsidR="0048462F" w:rsidRPr="0048462F" w:rsidRDefault="0048462F" w:rsidP="0048462F">
            <w:pPr>
              <w:autoSpaceDE w:val="0"/>
              <w:autoSpaceDN w:val="0"/>
              <w:adjustRightInd w:val="0"/>
              <w:spacing w:line="240" w:lineRule="auto"/>
              <w:ind w:left="0"/>
              <w:jc w:val="center"/>
              <w:rPr>
                <w:rFonts w:ascii="David" w:hAnsi="David" w:cs="David"/>
                <w:color w:val="000000"/>
                <w:sz w:val="20"/>
                <w:szCs w:val="20"/>
              </w:rPr>
            </w:pPr>
            <w:r w:rsidRPr="0048462F">
              <w:rPr>
                <w:rFonts w:ascii="David" w:hAnsi="David" w:cs="David"/>
                <w:color w:val="000000"/>
                <w:sz w:val="20"/>
                <w:szCs w:val="20"/>
              </w:rPr>
              <w:t>1.0</w:t>
            </w:r>
          </w:p>
        </w:tc>
      </w:tr>
      <w:tr w:rsidR="0048462F" w:rsidRPr="0048462F" w:rsidTr="00EB69E2">
        <w:trPr>
          <w:trHeight w:val="288"/>
        </w:trPr>
        <w:tc>
          <w:tcPr>
            <w:tcW w:w="4344" w:type="dxa"/>
            <w:tcBorders>
              <w:top w:val="nil"/>
              <w:left w:val="single" w:sz="12" w:space="0" w:color="auto"/>
              <w:bottom w:val="nil"/>
              <w:right w:val="nil"/>
            </w:tcBorders>
          </w:tcPr>
          <w:p w:rsidR="0048462F" w:rsidRPr="0048462F" w:rsidRDefault="0048462F" w:rsidP="00666DB0">
            <w:pPr>
              <w:autoSpaceDE w:val="0"/>
              <w:autoSpaceDN w:val="0"/>
              <w:adjustRightInd w:val="0"/>
              <w:spacing w:line="240" w:lineRule="auto"/>
              <w:ind w:left="0"/>
              <w:jc w:val="left"/>
              <w:rPr>
                <w:rFonts w:ascii="David" w:hAnsi="David" w:cs="David"/>
                <w:color w:val="000000"/>
                <w:sz w:val="22"/>
                <w:szCs w:val="22"/>
              </w:rPr>
            </w:pPr>
            <w:r>
              <w:rPr>
                <w:rFonts w:ascii="David" w:hAnsi="David" w:cs="David"/>
                <w:color w:val="000000"/>
                <w:sz w:val="22"/>
                <w:szCs w:val="22"/>
                <w:rtl/>
              </w:rPr>
              <w:t>הצריכה</w:t>
            </w:r>
            <w:r>
              <w:rPr>
                <w:rFonts w:ascii="David" w:hAnsi="David" w:cs="David"/>
                <w:color w:val="000000"/>
                <w:sz w:val="22"/>
                <w:szCs w:val="22"/>
              </w:rPr>
              <w:t xml:space="preserve"> </w:t>
            </w:r>
            <w:r>
              <w:rPr>
                <w:rFonts w:ascii="David" w:hAnsi="David" w:cs="David"/>
                <w:color w:val="000000"/>
                <w:sz w:val="22"/>
                <w:szCs w:val="22"/>
                <w:rtl/>
              </w:rPr>
              <w:t>הציבורית</w:t>
            </w:r>
            <w:r w:rsidR="00666DB0">
              <w:rPr>
                <w:rFonts w:ascii="David" w:hAnsi="David" w:cs="David" w:hint="cs"/>
                <w:color w:val="000000"/>
                <w:sz w:val="22"/>
                <w:szCs w:val="22"/>
                <w:rtl/>
              </w:rPr>
              <w:t xml:space="preserve"> (</w:t>
            </w:r>
            <w:r>
              <w:rPr>
                <w:rFonts w:ascii="David" w:hAnsi="David" w:cs="David"/>
                <w:color w:val="000000"/>
                <w:sz w:val="22"/>
                <w:szCs w:val="22"/>
                <w:rtl/>
              </w:rPr>
              <w:t>ללא</w:t>
            </w:r>
            <w:r>
              <w:rPr>
                <w:rFonts w:ascii="David" w:hAnsi="David" w:cs="David"/>
                <w:color w:val="000000"/>
                <w:sz w:val="22"/>
                <w:szCs w:val="22"/>
              </w:rPr>
              <w:t xml:space="preserve"> </w:t>
            </w:r>
            <w:r>
              <w:rPr>
                <w:rFonts w:ascii="David" w:hAnsi="David" w:cs="David"/>
                <w:color w:val="000000"/>
                <w:sz w:val="22"/>
                <w:szCs w:val="22"/>
                <w:rtl/>
              </w:rPr>
              <w:t>יבוא</w:t>
            </w:r>
            <w:r>
              <w:rPr>
                <w:rFonts w:ascii="David" w:hAnsi="David" w:cs="David"/>
                <w:color w:val="000000"/>
                <w:sz w:val="22"/>
                <w:szCs w:val="22"/>
              </w:rPr>
              <w:t xml:space="preserve"> </w:t>
            </w:r>
            <w:r>
              <w:rPr>
                <w:rFonts w:ascii="David" w:hAnsi="David" w:cs="David"/>
                <w:color w:val="000000"/>
                <w:sz w:val="22"/>
                <w:szCs w:val="22"/>
                <w:rtl/>
              </w:rPr>
              <w:t>ביטחוני</w:t>
            </w:r>
            <w:r w:rsidR="00666DB0">
              <w:rPr>
                <w:rFonts w:ascii="David" w:hAnsi="David" w:cs="David"/>
                <w:color w:val="000000"/>
                <w:sz w:val="22"/>
                <w:szCs w:val="22"/>
              </w:rPr>
              <w:t>(</w:t>
            </w:r>
          </w:p>
        </w:tc>
        <w:tc>
          <w:tcPr>
            <w:tcW w:w="709" w:type="dxa"/>
            <w:tcBorders>
              <w:top w:val="nil"/>
              <w:left w:val="single" w:sz="12" w:space="0" w:color="auto"/>
              <w:bottom w:val="nil"/>
              <w:right w:val="single" w:sz="12" w:space="0" w:color="auto"/>
            </w:tcBorders>
            <w:shd w:val="solid" w:color="C0C0C0" w:fill="auto"/>
          </w:tcPr>
          <w:p w:rsidR="0048462F" w:rsidRPr="0048462F" w:rsidRDefault="0048462F" w:rsidP="0048462F">
            <w:pPr>
              <w:autoSpaceDE w:val="0"/>
              <w:autoSpaceDN w:val="0"/>
              <w:adjustRightInd w:val="0"/>
              <w:spacing w:line="240" w:lineRule="auto"/>
              <w:ind w:left="0"/>
              <w:jc w:val="center"/>
              <w:rPr>
                <w:rFonts w:ascii="David" w:hAnsi="David" w:cs="David"/>
                <w:color w:val="000000"/>
                <w:sz w:val="20"/>
                <w:szCs w:val="20"/>
              </w:rPr>
            </w:pPr>
            <w:r w:rsidRPr="0048462F">
              <w:rPr>
                <w:rFonts w:ascii="David" w:hAnsi="David" w:cs="David"/>
                <w:color w:val="000000"/>
                <w:sz w:val="20"/>
                <w:szCs w:val="20"/>
              </w:rPr>
              <w:t>2.7</w:t>
            </w:r>
          </w:p>
        </w:tc>
        <w:tc>
          <w:tcPr>
            <w:tcW w:w="992" w:type="dxa"/>
            <w:tcBorders>
              <w:top w:val="nil"/>
              <w:left w:val="single" w:sz="12" w:space="0" w:color="auto"/>
              <w:bottom w:val="nil"/>
              <w:right w:val="nil"/>
            </w:tcBorders>
          </w:tcPr>
          <w:p w:rsidR="0048462F" w:rsidRPr="0048462F" w:rsidRDefault="0048462F" w:rsidP="0048462F">
            <w:pPr>
              <w:autoSpaceDE w:val="0"/>
              <w:autoSpaceDN w:val="0"/>
              <w:adjustRightInd w:val="0"/>
              <w:spacing w:line="240" w:lineRule="auto"/>
              <w:ind w:left="0"/>
              <w:jc w:val="center"/>
              <w:rPr>
                <w:rFonts w:ascii="David" w:hAnsi="David" w:cs="David"/>
                <w:color w:val="000000"/>
                <w:sz w:val="20"/>
                <w:szCs w:val="20"/>
              </w:rPr>
            </w:pPr>
            <w:r w:rsidRPr="0048462F">
              <w:rPr>
                <w:rFonts w:ascii="David" w:hAnsi="David" w:cs="David"/>
                <w:color w:val="000000"/>
                <w:sz w:val="20"/>
                <w:szCs w:val="20"/>
              </w:rPr>
              <w:t>7.0</w:t>
            </w:r>
          </w:p>
        </w:tc>
        <w:tc>
          <w:tcPr>
            <w:tcW w:w="1054" w:type="dxa"/>
            <w:tcBorders>
              <w:top w:val="nil"/>
              <w:left w:val="nil"/>
              <w:bottom w:val="nil"/>
              <w:right w:val="single" w:sz="12" w:space="0" w:color="auto"/>
            </w:tcBorders>
          </w:tcPr>
          <w:p w:rsidR="0048462F" w:rsidRPr="0048462F" w:rsidRDefault="0048462F" w:rsidP="0048462F">
            <w:pPr>
              <w:autoSpaceDE w:val="0"/>
              <w:autoSpaceDN w:val="0"/>
              <w:adjustRightInd w:val="0"/>
              <w:spacing w:line="240" w:lineRule="auto"/>
              <w:ind w:left="0"/>
              <w:jc w:val="center"/>
              <w:rPr>
                <w:rFonts w:ascii="David" w:hAnsi="David" w:cs="David"/>
                <w:color w:val="000000"/>
                <w:sz w:val="20"/>
                <w:szCs w:val="20"/>
              </w:rPr>
            </w:pPr>
            <w:r w:rsidRPr="0048462F">
              <w:rPr>
                <w:rFonts w:ascii="David" w:hAnsi="David" w:cs="David"/>
                <w:color w:val="000000"/>
                <w:sz w:val="20"/>
                <w:szCs w:val="20"/>
              </w:rPr>
              <w:t>1.0</w:t>
            </w:r>
          </w:p>
        </w:tc>
        <w:tc>
          <w:tcPr>
            <w:tcW w:w="1102" w:type="dxa"/>
            <w:tcBorders>
              <w:top w:val="nil"/>
              <w:left w:val="single" w:sz="12" w:space="0" w:color="auto"/>
              <w:bottom w:val="nil"/>
              <w:right w:val="nil"/>
            </w:tcBorders>
          </w:tcPr>
          <w:p w:rsidR="0048462F" w:rsidRPr="0048462F" w:rsidRDefault="0048462F" w:rsidP="0048462F">
            <w:pPr>
              <w:autoSpaceDE w:val="0"/>
              <w:autoSpaceDN w:val="0"/>
              <w:adjustRightInd w:val="0"/>
              <w:spacing w:line="240" w:lineRule="auto"/>
              <w:ind w:left="0"/>
              <w:jc w:val="center"/>
              <w:rPr>
                <w:rFonts w:ascii="David" w:hAnsi="David" w:cs="David"/>
                <w:color w:val="000000"/>
                <w:sz w:val="20"/>
                <w:szCs w:val="20"/>
              </w:rPr>
            </w:pPr>
            <w:r w:rsidRPr="0048462F">
              <w:rPr>
                <w:rFonts w:ascii="David" w:hAnsi="David" w:cs="David"/>
                <w:color w:val="000000"/>
                <w:sz w:val="20"/>
                <w:szCs w:val="20"/>
              </w:rPr>
              <w:t>7.0</w:t>
            </w:r>
          </w:p>
        </w:tc>
        <w:tc>
          <w:tcPr>
            <w:tcW w:w="1101" w:type="dxa"/>
            <w:tcBorders>
              <w:top w:val="nil"/>
              <w:left w:val="single" w:sz="12" w:space="0" w:color="auto"/>
              <w:bottom w:val="nil"/>
              <w:right w:val="single" w:sz="12" w:space="0" w:color="auto"/>
            </w:tcBorders>
          </w:tcPr>
          <w:p w:rsidR="0048462F" w:rsidRPr="0048462F" w:rsidRDefault="007F3C9E" w:rsidP="0048462F">
            <w:pPr>
              <w:autoSpaceDE w:val="0"/>
              <w:autoSpaceDN w:val="0"/>
              <w:adjustRightInd w:val="0"/>
              <w:spacing w:line="240" w:lineRule="auto"/>
              <w:ind w:left="0"/>
              <w:jc w:val="center"/>
              <w:rPr>
                <w:rFonts w:ascii="David" w:hAnsi="David" w:cs="David"/>
                <w:color w:val="000000"/>
                <w:sz w:val="20"/>
                <w:szCs w:val="20"/>
              </w:rPr>
            </w:pPr>
            <w:r>
              <w:rPr>
                <w:rFonts w:ascii="David" w:hAnsi="David" w:cs="David" w:hint="cs"/>
                <w:color w:val="000000"/>
                <w:sz w:val="20"/>
                <w:szCs w:val="20"/>
                <w:rtl/>
              </w:rPr>
              <w:t>1.5</w:t>
            </w:r>
          </w:p>
        </w:tc>
      </w:tr>
      <w:tr w:rsidR="0048462F" w:rsidRPr="0048462F" w:rsidTr="00EB69E2">
        <w:trPr>
          <w:trHeight w:val="288"/>
        </w:trPr>
        <w:tc>
          <w:tcPr>
            <w:tcW w:w="4344" w:type="dxa"/>
            <w:tcBorders>
              <w:top w:val="nil"/>
              <w:left w:val="single" w:sz="12" w:space="0" w:color="auto"/>
              <w:bottom w:val="nil"/>
              <w:right w:val="nil"/>
            </w:tcBorders>
          </w:tcPr>
          <w:p w:rsidR="0048462F" w:rsidRPr="0048462F" w:rsidRDefault="0048462F" w:rsidP="00666DB0">
            <w:pPr>
              <w:autoSpaceDE w:val="0"/>
              <w:autoSpaceDN w:val="0"/>
              <w:adjustRightInd w:val="0"/>
              <w:spacing w:line="240" w:lineRule="auto"/>
              <w:ind w:left="0"/>
              <w:jc w:val="left"/>
              <w:rPr>
                <w:rFonts w:ascii="David" w:hAnsi="David" w:cs="David"/>
                <w:color w:val="000000"/>
                <w:sz w:val="22"/>
                <w:szCs w:val="22"/>
              </w:rPr>
            </w:pPr>
            <w:r>
              <w:rPr>
                <w:rFonts w:ascii="David" w:hAnsi="David" w:cs="David"/>
                <w:color w:val="000000"/>
                <w:sz w:val="22"/>
                <w:szCs w:val="22"/>
                <w:rtl/>
              </w:rPr>
              <w:t>היצוא</w:t>
            </w:r>
            <w:r w:rsidR="00666DB0">
              <w:rPr>
                <w:rFonts w:ascii="David" w:hAnsi="David" w:cs="David" w:hint="cs"/>
                <w:color w:val="000000"/>
                <w:sz w:val="22"/>
                <w:szCs w:val="22"/>
                <w:rtl/>
              </w:rPr>
              <w:t xml:space="preserve"> (</w:t>
            </w:r>
            <w:r>
              <w:rPr>
                <w:rFonts w:ascii="David" w:hAnsi="David" w:cs="David"/>
                <w:color w:val="000000"/>
                <w:sz w:val="22"/>
                <w:szCs w:val="22"/>
                <w:rtl/>
              </w:rPr>
              <w:t>ללא</w:t>
            </w:r>
            <w:r>
              <w:rPr>
                <w:rFonts w:ascii="David" w:hAnsi="David" w:cs="David"/>
                <w:color w:val="000000"/>
                <w:sz w:val="22"/>
                <w:szCs w:val="22"/>
              </w:rPr>
              <w:t xml:space="preserve"> </w:t>
            </w:r>
            <w:r>
              <w:rPr>
                <w:rFonts w:ascii="David" w:hAnsi="David" w:cs="David"/>
                <w:color w:val="000000"/>
                <w:sz w:val="22"/>
                <w:szCs w:val="22"/>
                <w:rtl/>
              </w:rPr>
              <w:t>יהלומים</w:t>
            </w:r>
            <w:r>
              <w:rPr>
                <w:rFonts w:ascii="David" w:hAnsi="David" w:cs="David"/>
                <w:color w:val="000000"/>
                <w:sz w:val="22"/>
                <w:szCs w:val="22"/>
              </w:rPr>
              <w:t xml:space="preserve"> </w:t>
            </w:r>
            <w:r>
              <w:rPr>
                <w:rFonts w:ascii="David" w:hAnsi="David" w:cs="David"/>
                <w:color w:val="000000"/>
                <w:sz w:val="22"/>
                <w:szCs w:val="22"/>
                <w:rtl/>
              </w:rPr>
              <w:t>והזנק</w:t>
            </w:r>
            <w:r w:rsidR="00666DB0">
              <w:rPr>
                <w:rFonts w:ascii="David" w:hAnsi="David" w:cs="David" w:hint="cs"/>
                <w:color w:val="000000"/>
                <w:sz w:val="22"/>
                <w:szCs w:val="22"/>
                <w:rtl/>
              </w:rPr>
              <w:t>)</w:t>
            </w:r>
          </w:p>
        </w:tc>
        <w:tc>
          <w:tcPr>
            <w:tcW w:w="709" w:type="dxa"/>
            <w:tcBorders>
              <w:top w:val="nil"/>
              <w:left w:val="single" w:sz="12" w:space="0" w:color="auto"/>
              <w:bottom w:val="nil"/>
              <w:right w:val="single" w:sz="12" w:space="0" w:color="auto"/>
            </w:tcBorders>
            <w:shd w:val="solid" w:color="C0C0C0" w:fill="auto"/>
          </w:tcPr>
          <w:p w:rsidR="0048462F" w:rsidRPr="0048462F" w:rsidRDefault="0048462F" w:rsidP="0048462F">
            <w:pPr>
              <w:autoSpaceDE w:val="0"/>
              <w:autoSpaceDN w:val="0"/>
              <w:adjustRightInd w:val="0"/>
              <w:spacing w:line="240" w:lineRule="auto"/>
              <w:ind w:left="0"/>
              <w:jc w:val="center"/>
              <w:rPr>
                <w:rFonts w:ascii="David" w:hAnsi="David" w:cs="David"/>
                <w:color w:val="000000"/>
                <w:sz w:val="20"/>
                <w:szCs w:val="20"/>
              </w:rPr>
            </w:pPr>
            <w:r w:rsidRPr="0048462F">
              <w:rPr>
                <w:rFonts w:ascii="David" w:hAnsi="David" w:cs="David"/>
                <w:color w:val="000000"/>
                <w:sz w:val="20"/>
                <w:szCs w:val="20"/>
              </w:rPr>
              <w:t>5.5</w:t>
            </w:r>
          </w:p>
        </w:tc>
        <w:tc>
          <w:tcPr>
            <w:tcW w:w="992" w:type="dxa"/>
            <w:tcBorders>
              <w:top w:val="nil"/>
              <w:left w:val="single" w:sz="12" w:space="0" w:color="auto"/>
              <w:bottom w:val="nil"/>
              <w:right w:val="nil"/>
            </w:tcBorders>
          </w:tcPr>
          <w:p w:rsidR="0048462F" w:rsidRPr="0048462F" w:rsidRDefault="0048462F" w:rsidP="0048462F">
            <w:pPr>
              <w:autoSpaceDE w:val="0"/>
              <w:autoSpaceDN w:val="0"/>
              <w:adjustRightInd w:val="0"/>
              <w:spacing w:line="240" w:lineRule="auto"/>
              <w:ind w:left="0"/>
              <w:jc w:val="center"/>
              <w:rPr>
                <w:rFonts w:ascii="David" w:hAnsi="David" w:cs="David"/>
                <w:color w:val="000000"/>
                <w:sz w:val="20"/>
                <w:szCs w:val="20"/>
              </w:rPr>
            </w:pPr>
            <w:r w:rsidRPr="0048462F">
              <w:rPr>
                <w:rFonts w:ascii="David" w:hAnsi="David" w:cs="David"/>
                <w:color w:val="000000"/>
                <w:sz w:val="20"/>
                <w:szCs w:val="20"/>
              </w:rPr>
              <w:t>-4.0</w:t>
            </w:r>
          </w:p>
        </w:tc>
        <w:tc>
          <w:tcPr>
            <w:tcW w:w="1054" w:type="dxa"/>
            <w:tcBorders>
              <w:top w:val="nil"/>
              <w:left w:val="nil"/>
              <w:bottom w:val="nil"/>
              <w:right w:val="single" w:sz="12" w:space="0" w:color="auto"/>
            </w:tcBorders>
          </w:tcPr>
          <w:p w:rsidR="0048462F" w:rsidRPr="0048462F" w:rsidRDefault="0048462F" w:rsidP="0048462F">
            <w:pPr>
              <w:autoSpaceDE w:val="0"/>
              <w:autoSpaceDN w:val="0"/>
              <w:adjustRightInd w:val="0"/>
              <w:spacing w:line="240" w:lineRule="auto"/>
              <w:ind w:left="0"/>
              <w:jc w:val="center"/>
              <w:rPr>
                <w:rFonts w:ascii="David" w:hAnsi="David" w:cs="David"/>
                <w:color w:val="000000"/>
                <w:sz w:val="20"/>
                <w:szCs w:val="20"/>
              </w:rPr>
            </w:pPr>
            <w:r w:rsidRPr="0048462F">
              <w:rPr>
                <w:rFonts w:ascii="David" w:hAnsi="David" w:cs="David"/>
                <w:color w:val="000000"/>
                <w:sz w:val="20"/>
                <w:szCs w:val="20"/>
              </w:rPr>
              <w:t>4.0</w:t>
            </w:r>
          </w:p>
        </w:tc>
        <w:tc>
          <w:tcPr>
            <w:tcW w:w="1102" w:type="dxa"/>
            <w:tcBorders>
              <w:top w:val="nil"/>
              <w:left w:val="single" w:sz="12" w:space="0" w:color="auto"/>
              <w:bottom w:val="nil"/>
              <w:right w:val="nil"/>
            </w:tcBorders>
          </w:tcPr>
          <w:p w:rsidR="0048462F" w:rsidRPr="0048462F" w:rsidRDefault="0048462F" w:rsidP="0048462F">
            <w:pPr>
              <w:autoSpaceDE w:val="0"/>
              <w:autoSpaceDN w:val="0"/>
              <w:adjustRightInd w:val="0"/>
              <w:spacing w:line="240" w:lineRule="auto"/>
              <w:ind w:left="0"/>
              <w:jc w:val="center"/>
              <w:rPr>
                <w:rFonts w:ascii="David" w:hAnsi="David" w:cs="David"/>
                <w:color w:val="000000"/>
                <w:sz w:val="20"/>
                <w:szCs w:val="20"/>
              </w:rPr>
            </w:pPr>
            <w:r w:rsidRPr="0048462F">
              <w:rPr>
                <w:rFonts w:ascii="David" w:hAnsi="David" w:cs="David"/>
                <w:color w:val="000000"/>
                <w:sz w:val="20"/>
                <w:szCs w:val="20"/>
              </w:rPr>
              <w:t>-6.5</w:t>
            </w:r>
          </w:p>
        </w:tc>
        <w:tc>
          <w:tcPr>
            <w:tcW w:w="1101" w:type="dxa"/>
            <w:tcBorders>
              <w:top w:val="nil"/>
              <w:left w:val="single" w:sz="12" w:space="0" w:color="auto"/>
              <w:bottom w:val="nil"/>
              <w:right w:val="single" w:sz="12" w:space="0" w:color="auto"/>
            </w:tcBorders>
          </w:tcPr>
          <w:p w:rsidR="0048462F" w:rsidRPr="0048462F" w:rsidRDefault="0048462F" w:rsidP="0048462F">
            <w:pPr>
              <w:autoSpaceDE w:val="0"/>
              <w:autoSpaceDN w:val="0"/>
              <w:adjustRightInd w:val="0"/>
              <w:spacing w:line="240" w:lineRule="auto"/>
              <w:ind w:left="0"/>
              <w:jc w:val="center"/>
              <w:rPr>
                <w:rFonts w:ascii="David" w:hAnsi="David" w:cs="David"/>
                <w:color w:val="000000"/>
                <w:sz w:val="20"/>
                <w:szCs w:val="20"/>
              </w:rPr>
            </w:pPr>
            <w:r w:rsidRPr="0048462F">
              <w:rPr>
                <w:rFonts w:ascii="David" w:hAnsi="David" w:cs="David"/>
                <w:color w:val="000000"/>
                <w:sz w:val="20"/>
                <w:szCs w:val="20"/>
              </w:rPr>
              <w:t>2.0</w:t>
            </w:r>
          </w:p>
        </w:tc>
      </w:tr>
      <w:tr w:rsidR="0048462F" w:rsidRPr="0048462F" w:rsidTr="00EB69E2">
        <w:trPr>
          <w:trHeight w:val="267"/>
        </w:trPr>
        <w:tc>
          <w:tcPr>
            <w:tcW w:w="4344" w:type="dxa"/>
            <w:tcBorders>
              <w:top w:val="nil"/>
              <w:left w:val="single" w:sz="12" w:space="0" w:color="auto"/>
              <w:bottom w:val="single" w:sz="12" w:space="0" w:color="auto"/>
              <w:right w:val="nil"/>
            </w:tcBorders>
          </w:tcPr>
          <w:p w:rsidR="0048462F" w:rsidRPr="0048462F" w:rsidRDefault="0048462F" w:rsidP="00666DB0">
            <w:pPr>
              <w:autoSpaceDE w:val="0"/>
              <w:autoSpaceDN w:val="0"/>
              <w:adjustRightInd w:val="0"/>
              <w:spacing w:line="240" w:lineRule="auto"/>
              <w:ind w:left="0"/>
              <w:jc w:val="left"/>
              <w:rPr>
                <w:rFonts w:ascii="David" w:hAnsi="David" w:cs="David"/>
                <w:color w:val="000000"/>
                <w:sz w:val="22"/>
                <w:szCs w:val="22"/>
              </w:rPr>
            </w:pPr>
            <w:r>
              <w:rPr>
                <w:rFonts w:ascii="David" w:hAnsi="David" w:cs="David"/>
                <w:color w:val="000000"/>
                <w:sz w:val="22"/>
                <w:szCs w:val="22"/>
                <w:rtl/>
              </w:rPr>
              <w:t>היבוא</w:t>
            </w:r>
            <w:r>
              <w:rPr>
                <w:rFonts w:ascii="David" w:hAnsi="David" w:cs="David"/>
                <w:color w:val="000000"/>
                <w:sz w:val="22"/>
                <w:szCs w:val="22"/>
              </w:rPr>
              <w:t xml:space="preserve"> </w:t>
            </w:r>
            <w:r>
              <w:rPr>
                <w:rFonts w:ascii="David" w:hAnsi="David" w:cs="David"/>
                <w:color w:val="000000"/>
                <w:sz w:val="22"/>
                <w:szCs w:val="22"/>
                <w:rtl/>
              </w:rPr>
              <w:t>האזרחי</w:t>
            </w:r>
            <w:r w:rsidR="00666DB0">
              <w:rPr>
                <w:rFonts w:ascii="David" w:hAnsi="David" w:cs="David" w:hint="cs"/>
                <w:color w:val="000000"/>
                <w:sz w:val="22"/>
                <w:szCs w:val="22"/>
                <w:rtl/>
              </w:rPr>
              <w:t xml:space="preserve"> (</w:t>
            </w:r>
            <w:r>
              <w:rPr>
                <w:rFonts w:ascii="David" w:hAnsi="David" w:cs="David"/>
                <w:color w:val="000000"/>
                <w:sz w:val="22"/>
                <w:szCs w:val="22"/>
                <w:rtl/>
              </w:rPr>
              <w:t>ללא</w:t>
            </w:r>
            <w:r>
              <w:rPr>
                <w:rFonts w:ascii="David" w:hAnsi="David" w:cs="David"/>
                <w:color w:val="000000"/>
                <w:sz w:val="22"/>
                <w:szCs w:val="22"/>
              </w:rPr>
              <w:t xml:space="preserve"> </w:t>
            </w:r>
            <w:r>
              <w:rPr>
                <w:rFonts w:ascii="David" w:hAnsi="David" w:cs="David"/>
                <w:color w:val="000000"/>
                <w:sz w:val="22"/>
                <w:szCs w:val="22"/>
                <w:rtl/>
              </w:rPr>
              <w:t>יהלומים</w:t>
            </w:r>
            <w:r w:rsidR="00666DB0">
              <w:rPr>
                <w:rFonts w:ascii="David" w:hAnsi="David" w:cs="David" w:hint="cs"/>
                <w:color w:val="000000"/>
                <w:sz w:val="22"/>
                <w:szCs w:val="22"/>
                <w:rtl/>
              </w:rPr>
              <w:t xml:space="preserve">, </w:t>
            </w:r>
            <w:proofErr w:type="spellStart"/>
            <w:r>
              <w:rPr>
                <w:rFonts w:ascii="David" w:hAnsi="David" w:cs="David"/>
                <w:color w:val="000000"/>
                <w:sz w:val="22"/>
                <w:szCs w:val="22"/>
                <w:rtl/>
              </w:rPr>
              <w:t>אוניות</w:t>
            </w:r>
            <w:proofErr w:type="spellEnd"/>
            <w:r>
              <w:rPr>
                <w:rFonts w:ascii="David" w:hAnsi="David" w:cs="David"/>
                <w:color w:val="000000"/>
                <w:sz w:val="22"/>
                <w:szCs w:val="22"/>
              </w:rPr>
              <w:t xml:space="preserve"> </w:t>
            </w:r>
            <w:r>
              <w:rPr>
                <w:rFonts w:ascii="David" w:hAnsi="David" w:cs="David"/>
                <w:color w:val="000000"/>
                <w:sz w:val="22"/>
                <w:szCs w:val="22"/>
                <w:rtl/>
              </w:rPr>
              <w:t>ומטוסים</w:t>
            </w:r>
            <w:r w:rsidR="00666DB0">
              <w:rPr>
                <w:rFonts w:ascii="David" w:hAnsi="David" w:cs="David"/>
                <w:color w:val="000000"/>
                <w:sz w:val="22"/>
                <w:szCs w:val="22"/>
              </w:rPr>
              <w:t>(</w:t>
            </w:r>
          </w:p>
        </w:tc>
        <w:tc>
          <w:tcPr>
            <w:tcW w:w="709" w:type="dxa"/>
            <w:tcBorders>
              <w:top w:val="nil"/>
              <w:left w:val="single" w:sz="12" w:space="0" w:color="auto"/>
              <w:bottom w:val="single" w:sz="12" w:space="0" w:color="auto"/>
              <w:right w:val="single" w:sz="12" w:space="0" w:color="auto"/>
            </w:tcBorders>
            <w:shd w:val="solid" w:color="C0C0C0" w:fill="auto"/>
          </w:tcPr>
          <w:p w:rsidR="0048462F" w:rsidRPr="0048462F" w:rsidRDefault="0048462F" w:rsidP="0048462F">
            <w:pPr>
              <w:autoSpaceDE w:val="0"/>
              <w:autoSpaceDN w:val="0"/>
              <w:adjustRightInd w:val="0"/>
              <w:spacing w:line="240" w:lineRule="auto"/>
              <w:ind w:left="0"/>
              <w:jc w:val="center"/>
              <w:rPr>
                <w:rFonts w:ascii="David" w:hAnsi="David" w:cs="David"/>
                <w:color w:val="000000"/>
                <w:sz w:val="20"/>
                <w:szCs w:val="20"/>
              </w:rPr>
            </w:pPr>
            <w:r w:rsidRPr="0048462F">
              <w:rPr>
                <w:rFonts w:ascii="David" w:hAnsi="David" w:cs="David"/>
                <w:color w:val="000000"/>
                <w:sz w:val="20"/>
                <w:szCs w:val="20"/>
              </w:rPr>
              <w:t>5.0</w:t>
            </w:r>
          </w:p>
        </w:tc>
        <w:tc>
          <w:tcPr>
            <w:tcW w:w="992" w:type="dxa"/>
            <w:tcBorders>
              <w:top w:val="nil"/>
              <w:left w:val="single" w:sz="12" w:space="0" w:color="auto"/>
              <w:bottom w:val="single" w:sz="12" w:space="0" w:color="auto"/>
              <w:right w:val="nil"/>
            </w:tcBorders>
          </w:tcPr>
          <w:p w:rsidR="0048462F" w:rsidRPr="0048462F" w:rsidRDefault="0048462F" w:rsidP="0048462F">
            <w:pPr>
              <w:autoSpaceDE w:val="0"/>
              <w:autoSpaceDN w:val="0"/>
              <w:adjustRightInd w:val="0"/>
              <w:spacing w:line="240" w:lineRule="auto"/>
              <w:ind w:left="0"/>
              <w:jc w:val="center"/>
              <w:rPr>
                <w:rFonts w:ascii="David" w:hAnsi="David" w:cs="David"/>
                <w:color w:val="000000"/>
                <w:sz w:val="20"/>
                <w:szCs w:val="20"/>
              </w:rPr>
            </w:pPr>
            <w:r w:rsidRPr="0048462F">
              <w:rPr>
                <w:rFonts w:ascii="David" w:hAnsi="David" w:cs="David"/>
                <w:color w:val="000000"/>
                <w:sz w:val="20"/>
                <w:szCs w:val="20"/>
              </w:rPr>
              <w:t>-7.5</w:t>
            </w:r>
          </w:p>
        </w:tc>
        <w:tc>
          <w:tcPr>
            <w:tcW w:w="1054" w:type="dxa"/>
            <w:tcBorders>
              <w:top w:val="nil"/>
              <w:left w:val="nil"/>
              <w:bottom w:val="single" w:sz="12" w:space="0" w:color="auto"/>
              <w:right w:val="single" w:sz="12" w:space="0" w:color="auto"/>
            </w:tcBorders>
          </w:tcPr>
          <w:p w:rsidR="0048462F" w:rsidRPr="0048462F" w:rsidRDefault="0048462F" w:rsidP="0048462F">
            <w:pPr>
              <w:autoSpaceDE w:val="0"/>
              <w:autoSpaceDN w:val="0"/>
              <w:adjustRightInd w:val="0"/>
              <w:spacing w:line="240" w:lineRule="auto"/>
              <w:ind w:left="0"/>
              <w:jc w:val="center"/>
              <w:rPr>
                <w:rFonts w:ascii="David" w:hAnsi="David" w:cs="David"/>
                <w:color w:val="000000"/>
                <w:sz w:val="20"/>
                <w:szCs w:val="20"/>
              </w:rPr>
            </w:pPr>
            <w:r w:rsidRPr="0048462F">
              <w:rPr>
                <w:rFonts w:ascii="David" w:hAnsi="David" w:cs="David"/>
                <w:color w:val="000000"/>
                <w:sz w:val="20"/>
                <w:szCs w:val="20"/>
              </w:rPr>
              <w:t>7.0</w:t>
            </w:r>
          </w:p>
        </w:tc>
        <w:tc>
          <w:tcPr>
            <w:tcW w:w="1102" w:type="dxa"/>
            <w:tcBorders>
              <w:top w:val="nil"/>
              <w:left w:val="single" w:sz="12" w:space="0" w:color="auto"/>
              <w:bottom w:val="single" w:sz="12" w:space="0" w:color="auto"/>
              <w:right w:val="nil"/>
            </w:tcBorders>
          </w:tcPr>
          <w:p w:rsidR="0048462F" w:rsidRPr="0048462F" w:rsidRDefault="0048462F" w:rsidP="0048462F">
            <w:pPr>
              <w:autoSpaceDE w:val="0"/>
              <w:autoSpaceDN w:val="0"/>
              <w:adjustRightInd w:val="0"/>
              <w:spacing w:line="240" w:lineRule="auto"/>
              <w:ind w:left="0"/>
              <w:jc w:val="center"/>
              <w:rPr>
                <w:rFonts w:ascii="David" w:hAnsi="David" w:cs="David"/>
                <w:color w:val="000000"/>
                <w:sz w:val="20"/>
                <w:szCs w:val="20"/>
              </w:rPr>
            </w:pPr>
            <w:r w:rsidRPr="0048462F">
              <w:rPr>
                <w:rFonts w:ascii="David" w:hAnsi="David" w:cs="David"/>
                <w:color w:val="000000"/>
                <w:sz w:val="20"/>
                <w:szCs w:val="20"/>
              </w:rPr>
              <w:t>-10.0</w:t>
            </w:r>
          </w:p>
        </w:tc>
        <w:tc>
          <w:tcPr>
            <w:tcW w:w="1101" w:type="dxa"/>
            <w:tcBorders>
              <w:top w:val="nil"/>
              <w:left w:val="single" w:sz="12" w:space="0" w:color="auto"/>
              <w:bottom w:val="single" w:sz="12" w:space="0" w:color="auto"/>
              <w:right w:val="single" w:sz="12" w:space="0" w:color="auto"/>
            </w:tcBorders>
          </w:tcPr>
          <w:p w:rsidR="0048462F" w:rsidRPr="0048462F" w:rsidRDefault="0048462F" w:rsidP="0048462F">
            <w:pPr>
              <w:autoSpaceDE w:val="0"/>
              <w:autoSpaceDN w:val="0"/>
              <w:adjustRightInd w:val="0"/>
              <w:spacing w:line="240" w:lineRule="auto"/>
              <w:ind w:left="0"/>
              <w:jc w:val="center"/>
              <w:rPr>
                <w:rFonts w:ascii="David" w:hAnsi="David" w:cs="David"/>
                <w:color w:val="000000"/>
                <w:sz w:val="20"/>
                <w:szCs w:val="20"/>
              </w:rPr>
            </w:pPr>
            <w:r w:rsidRPr="0048462F">
              <w:rPr>
                <w:rFonts w:ascii="David" w:hAnsi="David" w:cs="David"/>
                <w:color w:val="000000"/>
                <w:sz w:val="20"/>
                <w:szCs w:val="20"/>
              </w:rPr>
              <w:t>4.5</w:t>
            </w:r>
          </w:p>
        </w:tc>
      </w:tr>
      <w:tr w:rsidR="0048462F" w:rsidRPr="0048462F" w:rsidTr="00EB69E2">
        <w:trPr>
          <w:trHeight w:val="233"/>
        </w:trPr>
        <w:tc>
          <w:tcPr>
            <w:tcW w:w="4344" w:type="dxa"/>
            <w:tcBorders>
              <w:top w:val="nil"/>
              <w:left w:val="single" w:sz="12" w:space="0" w:color="auto"/>
              <w:bottom w:val="single" w:sz="12" w:space="0" w:color="auto"/>
              <w:right w:val="nil"/>
            </w:tcBorders>
          </w:tcPr>
          <w:p w:rsidR="0048462F" w:rsidRPr="0048462F" w:rsidRDefault="0048462F" w:rsidP="0048462F">
            <w:pPr>
              <w:autoSpaceDE w:val="0"/>
              <w:autoSpaceDN w:val="0"/>
              <w:adjustRightInd w:val="0"/>
              <w:spacing w:line="240" w:lineRule="auto"/>
              <w:ind w:left="0"/>
              <w:jc w:val="left"/>
              <w:rPr>
                <w:rFonts w:ascii="David" w:hAnsi="David" w:cs="David"/>
                <w:color w:val="000000"/>
                <w:sz w:val="22"/>
                <w:szCs w:val="22"/>
                <w:vertAlign w:val="superscript"/>
              </w:rPr>
            </w:pPr>
            <w:r>
              <w:rPr>
                <w:rFonts w:ascii="David" w:hAnsi="David" w:cs="David" w:hint="cs"/>
                <w:color w:val="000000"/>
                <w:sz w:val="22"/>
                <w:szCs w:val="22"/>
                <w:rtl/>
              </w:rPr>
              <w:t xml:space="preserve">שיעור </w:t>
            </w:r>
            <w:r>
              <w:rPr>
                <w:rFonts w:ascii="David" w:hAnsi="David" w:cs="David"/>
                <w:color w:val="000000"/>
                <w:sz w:val="22"/>
                <w:szCs w:val="22"/>
                <w:rtl/>
              </w:rPr>
              <w:t>אבטלה</w:t>
            </w:r>
            <w:r>
              <w:rPr>
                <w:rFonts w:ascii="David" w:hAnsi="David" w:cs="David"/>
                <w:color w:val="000000"/>
                <w:sz w:val="22"/>
                <w:szCs w:val="22"/>
              </w:rPr>
              <w:t xml:space="preserve"> </w:t>
            </w:r>
            <w:r>
              <w:rPr>
                <w:rFonts w:ascii="David" w:hAnsi="David" w:cs="David"/>
                <w:color w:val="000000"/>
                <w:sz w:val="22"/>
                <w:szCs w:val="22"/>
                <w:rtl/>
              </w:rPr>
              <w:t>רחב</w:t>
            </w:r>
            <w:r>
              <w:rPr>
                <w:rFonts w:ascii="David" w:hAnsi="David" w:cs="David"/>
                <w:color w:val="000000"/>
                <w:sz w:val="22"/>
                <w:szCs w:val="22"/>
                <w:vertAlign w:val="superscript"/>
              </w:rPr>
              <w:t>2</w:t>
            </w:r>
          </w:p>
        </w:tc>
        <w:tc>
          <w:tcPr>
            <w:tcW w:w="709" w:type="dxa"/>
            <w:tcBorders>
              <w:top w:val="nil"/>
              <w:left w:val="single" w:sz="12" w:space="0" w:color="auto"/>
              <w:bottom w:val="single" w:sz="12" w:space="0" w:color="auto"/>
              <w:right w:val="single" w:sz="12" w:space="0" w:color="auto"/>
            </w:tcBorders>
            <w:shd w:val="solid" w:color="C0C0C0" w:fill="auto"/>
          </w:tcPr>
          <w:p w:rsidR="0048462F" w:rsidRPr="0048462F" w:rsidRDefault="0048462F" w:rsidP="0048462F">
            <w:pPr>
              <w:autoSpaceDE w:val="0"/>
              <w:autoSpaceDN w:val="0"/>
              <w:adjustRightInd w:val="0"/>
              <w:spacing w:line="240" w:lineRule="auto"/>
              <w:ind w:left="0"/>
              <w:jc w:val="center"/>
              <w:rPr>
                <w:rFonts w:ascii="David" w:hAnsi="David" w:cs="David"/>
                <w:color w:val="000000"/>
                <w:sz w:val="20"/>
                <w:szCs w:val="20"/>
              </w:rPr>
            </w:pPr>
            <w:r w:rsidRPr="0048462F">
              <w:rPr>
                <w:rFonts w:ascii="David" w:hAnsi="David" w:cs="David"/>
                <w:color w:val="000000"/>
                <w:sz w:val="20"/>
                <w:szCs w:val="20"/>
              </w:rPr>
              <w:t>3.7</w:t>
            </w:r>
          </w:p>
        </w:tc>
        <w:tc>
          <w:tcPr>
            <w:tcW w:w="992" w:type="dxa"/>
            <w:tcBorders>
              <w:top w:val="nil"/>
              <w:left w:val="single" w:sz="12" w:space="0" w:color="auto"/>
              <w:bottom w:val="single" w:sz="12" w:space="0" w:color="auto"/>
              <w:right w:val="nil"/>
            </w:tcBorders>
          </w:tcPr>
          <w:p w:rsidR="0048462F" w:rsidRPr="0048462F" w:rsidRDefault="0048462F" w:rsidP="0048462F">
            <w:pPr>
              <w:autoSpaceDE w:val="0"/>
              <w:autoSpaceDN w:val="0"/>
              <w:adjustRightInd w:val="0"/>
              <w:spacing w:line="240" w:lineRule="auto"/>
              <w:ind w:left="0"/>
              <w:jc w:val="center"/>
              <w:rPr>
                <w:rFonts w:ascii="David" w:hAnsi="David" w:cs="David"/>
                <w:color w:val="000000"/>
                <w:sz w:val="20"/>
                <w:szCs w:val="20"/>
              </w:rPr>
            </w:pPr>
            <w:r w:rsidRPr="0048462F">
              <w:rPr>
                <w:rFonts w:ascii="David" w:hAnsi="David" w:cs="David"/>
                <w:color w:val="000000"/>
                <w:sz w:val="20"/>
                <w:szCs w:val="20"/>
              </w:rPr>
              <w:t>11.6</w:t>
            </w:r>
          </w:p>
        </w:tc>
        <w:tc>
          <w:tcPr>
            <w:tcW w:w="1054" w:type="dxa"/>
            <w:tcBorders>
              <w:top w:val="nil"/>
              <w:left w:val="nil"/>
              <w:bottom w:val="single" w:sz="12" w:space="0" w:color="auto"/>
              <w:right w:val="single" w:sz="12" w:space="0" w:color="auto"/>
            </w:tcBorders>
          </w:tcPr>
          <w:p w:rsidR="0048462F" w:rsidRPr="0048462F" w:rsidRDefault="0048462F" w:rsidP="0048462F">
            <w:pPr>
              <w:autoSpaceDE w:val="0"/>
              <w:autoSpaceDN w:val="0"/>
              <w:adjustRightInd w:val="0"/>
              <w:spacing w:line="240" w:lineRule="auto"/>
              <w:ind w:left="0"/>
              <w:jc w:val="center"/>
              <w:rPr>
                <w:rFonts w:ascii="David" w:hAnsi="David" w:cs="David"/>
                <w:color w:val="000000"/>
                <w:sz w:val="20"/>
                <w:szCs w:val="20"/>
              </w:rPr>
            </w:pPr>
            <w:r w:rsidRPr="0048462F">
              <w:rPr>
                <w:rFonts w:ascii="David" w:hAnsi="David" w:cs="David"/>
                <w:color w:val="000000"/>
                <w:sz w:val="20"/>
                <w:szCs w:val="20"/>
              </w:rPr>
              <w:t>7.7</w:t>
            </w:r>
          </w:p>
        </w:tc>
        <w:tc>
          <w:tcPr>
            <w:tcW w:w="1102" w:type="dxa"/>
            <w:tcBorders>
              <w:top w:val="nil"/>
              <w:left w:val="single" w:sz="12" w:space="0" w:color="auto"/>
              <w:bottom w:val="single" w:sz="12" w:space="0" w:color="auto"/>
              <w:right w:val="nil"/>
            </w:tcBorders>
          </w:tcPr>
          <w:p w:rsidR="0048462F" w:rsidRPr="0048462F" w:rsidRDefault="0048462F" w:rsidP="0048462F">
            <w:pPr>
              <w:autoSpaceDE w:val="0"/>
              <w:autoSpaceDN w:val="0"/>
              <w:adjustRightInd w:val="0"/>
              <w:spacing w:line="240" w:lineRule="auto"/>
              <w:ind w:left="0"/>
              <w:jc w:val="center"/>
              <w:rPr>
                <w:rFonts w:ascii="David" w:hAnsi="David" w:cs="David"/>
                <w:color w:val="000000"/>
                <w:sz w:val="20"/>
                <w:szCs w:val="20"/>
              </w:rPr>
            </w:pPr>
            <w:r w:rsidRPr="0048462F">
              <w:rPr>
                <w:rFonts w:ascii="David" w:hAnsi="David" w:cs="David"/>
                <w:color w:val="000000"/>
                <w:sz w:val="20"/>
                <w:szCs w:val="20"/>
              </w:rPr>
              <w:t>13.6</w:t>
            </w:r>
          </w:p>
        </w:tc>
        <w:tc>
          <w:tcPr>
            <w:tcW w:w="1101" w:type="dxa"/>
            <w:tcBorders>
              <w:top w:val="nil"/>
              <w:left w:val="single" w:sz="12" w:space="0" w:color="auto"/>
              <w:bottom w:val="single" w:sz="12" w:space="0" w:color="auto"/>
              <w:right w:val="single" w:sz="12" w:space="0" w:color="auto"/>
            </w:tcBorders>
          </w:tcPr>
          <w:p w:rsidR="0048462F" w:rsidRPr="0048462F" w:rsidRDefault="0048462F" w:rsidP="0048462F">
            <w:pPr>
              <w:autoSpaceDE w:val="0"/>
              <w:autoSpaceDN w:val="0"/>
              <w:adjustRightInd w:val="0"/>
              <w:spacing w:line="240" w:lineRule="auto"/>
              <w:ind w:left="0"/>
              <w:jc w:val="center"/>
              <w:rPr>
                <w:rFonts w:ascii="David" w:hAnsi="David" w:cs="David"/>
                <w:color w:val="000000"/>
                <w:sz w:val="20"/>
                <w:szCs w:val="20"/>
              </w:rPr>
            </w:pPr>
            <w:r w:rsidRPr="0048462F">
              <w:rPr>
                <w:rFonts w:ascii="David" w:hAnsi="David" w:cs="David"/>
                <w:color w:val="000000"/>
                <w:sz w:val="20"/>
                <w:szCs w:val="20"/>
              </w:rPr>
              <w:t>12.1</w:t>
            </w:r>
          </w:p>
        </w:tc>
      </w:tr>
      <w:tr w:rsidR="0048462F" w:rsidRPr="0048462F" w:rsidTr="00EB69E2">
        <w:trPr>
          <w:trHeight w:val="251"/>
        </w:trPr>
        <w:tc>
          <w:tcPr>
            <w:tcW w:w="4344" w:type="dxa"/>
            <w:tcBorders>
              <w:top w:val="nil"/>
              <w:left w:val="single" w:sz="12" w:space="0" w:color="auto"/>
              <w:bottom w:val="single" w:sz="12" w:space="0" w:color="auto"/>
              <w:right w:val="nil"/>
            </w:tcBorders>
          </w:tcPr>
          <w:p w:rsidR="0048462F" w:rsidRPr="0048462F" w:rsidRDefault="0048462F" w:rsidP="0048462F">
            <w:pPr>
              <w:autoSpaceDE w:val="0"/>
              <w:autoSpaceDN w:val="0"/>
              <w:adjustRightInd w:val="0"/>
              <w:spacing w:line="240" w:lineRule="auto"/>
              <w:ind w:left="0"/>
              <w:jc w:val="left"/>
              <w:rPr>
                <w:rFonts w:ascii="David" w:hAnsi="David" w:cs="David"/>
                <w:color w:val="000000"/>
                <w:sz w:val="22"/>
                <w:szCs w:val="22"/>
                <w:vertAlign w:val="superscript"/>
              </w:rPr>
            </w:pPr>
            <w:r>
              <w:rPr>
                <w:rFonts w:ascii="David" w:hAnsi="David" w:cs="David"/>
                <w:color w:val="000000"/>
                <w:sz w:val="22"/>
                <w:szCs w:val="22"/>
                <w:rtl/>
              </w:rPr>
              <w:t>האינפלציה</w:t>
            </w:r>
            <w:r>
              <w:rPr>
                <w:rFonts w:ascii="David" w:hAnsi="David" w:cs="David"/>
                <w:color w:val="000000"/>
                <w:sz w:val="22"/>
                <w:szCs w:val="22"/>
                <w:vertAlign w:val="superscript"/>
              </w:rPr>
              <w:t>3</w:t>
            </w:r>
          </w:p>
        </w:tc>
        <w:tc>
          <w:tcPr>
            <w:tcW w:w="709" w:type="dxa"/>
            <w:tcBorders>
              <w:top w:val="nil"/>
              <w:left w:val="single" w:sz="12" w:space="0" w:color="auto"/>
              <w:bottom w:val="single" w:sz="12" w:space="0" w:color="auto"/>
              <w:right w:val="single" w:sz="12" w:space="0" w:color="auto"/>
            </w:tcBorders>
            <w:shd w:val="solid" w:color="C0C0C0" w:fill="auto"/>
          </w:tcPr>
          <w:p w:rsidR="0048462F" w:rsidRPr="0048462F" w:rsidRDefault="0048462F" w:rsidP="0048462F">
            <w:pPr>
              <w:autoSpaceDE w:val="0"/>
              <w:autoSpaceDN w:val="0"/>
              <w:adjustRightInd w:val="0"/>
              <w:spacing w:line="240" w:lineRule="auto"/>
              <w:ind w:left="0"/>
              <w:jc w:val="center"/>
              <w:rPr>
                <w:rFonts w:ascii="David" w:hAnsi="David" w:cs="David"/>
                <w:color w:val="000000"/>
                <w:sz w:val="20"/>
                <w:szCs w:val="20"/>
              </w:rPr>
            </w:pPr>
            <w:r w:rsidRPr="0048462F">
              <w:rPr>
                <w:rFonts w:ascii="David" w:hAnsi="David" w:cs="David"/>
                <w:color w:val="000000"/>
                <w:sz w:val="20"/>
                <w:szCs w:val="20"/>
              </w:rPr>
              <w:t>0.4</w:t>
            </w:r>
          </w:p>
        </w:tc>
        <w:tc>
          <w:tcPr>
            <w:tcW w:w="992" w:type="dxa"/>
            <w:tcBorders>
              <w:top w:val="nil"/>
              <w:left w:val="single" w:sz="12" w:space="0" w:color="auto"/>
              <w:bottom w:val="single" w:sz="12" w:space="0" w:color="auto"/>
              <w:right w:val="nil"/>
            </w:tcBorders>
          </w:tcPr>
          <w:p w:rsidR="0048462F" w:rsidRPr="0048462F" w:rsidRDefault="0048462F" w:rsidP="0048462F">
            <w:pPr>
              <w:autoSpaceDE w:val="0"/>
              <w:autoSpaceDN w:val="0"/>
              <w:adjustRightInd w:val="0"/>
              <w:spacing w:line="240" w:lineRule="auto"/>
              <w:ind w:left="0"/>
              <w:jc w:val="center"/>
              <w:rPr>
                <w:rFonts w:ascii="David" w:hAnsi="David" w:cs="David"/>
                <w:color w:val="000000"/>
                <w:sz w:val="20"/>
                <w:szCs w:val="20"/>
              </w:rPr>
            </w:pPr>
            <w:r w:rsidRPr="0048462F">
              <w:rPr>
                <w:rFonts w:ascii="David" w:hAnsi="David" w:cs="David"/>
                <w:color w:val="000000"/>
                <w:sz w:val="20"/>
                <w:szCs w:val="20"/>
              </w:rPr>
              <w:t>-1.0</w:t>
            </w:r>
          </w:p>
        </w:tc>
        <w:tc>
          <w:tcPr>
            <w:tcW w:w="1054" w:type="dxa"/>
            <w:tcBorders>
              <w:top w:val="nil"/>
              <w:left w:val="nil"/>
              <w:bottom w:val="single" w:sz="12" w:space="0" w:color="auto"/>
              <w:right w:val="single" w:sz="12" w:space="0" w:color="auto"/>
            </w:tcBorders>
          </w:tcPr>
          <w:p w:rsidR="0048462F" w:rsidRPr="0048462F" w:rsidRDefault="0048462F" w:rsidP="0048462F">
            <w:pPr>
              <w:autoSpaceDE w:val="0"/>
              <w:autoSpaceDN w:val="0"/>
              <w:adjustRightInd w:val="0"/>
              <w:spacing w:line="240" w:lineRule="auto"/>
              <w:ind w:left="0"/>
              <w:jc w:val="center"/>
              <w:rPr>
                <w:rFonts w:ascii="David" w:hAnsi="David" w:cs="David"/>
                <w:color w:val="000000"/>
                <w:sz w:val="20"/>
                <w:szCs w:val="20"/>
              </w:rPr>
            </w:pPr>
            <w:r w:rsidRPr="0048462F">
              <w:rPr>
                <w:rFonts w:ascii="David" w:hAnsi="David" w:cs="David"/>
                <w:color w:val="000000"/>
                <w:sz w:val="20"/>
                <w:szCs w:val="20"/>
              </w:rPr>
              <w:t>0.4</w:t>
            </w:r>
          </w:p>
        </w:tc>
        <w:tc>
          <w:tcPr>
            <w:tcW w:w="1102" w:type="dxa"/>
            <w:tcBorders>
              <w:top w:val="nil"/>
              <w:left w:val="single" w:sz="12" w:space="0" w:color="auto"/>
              <w:bottom w:val="single" w:sz="12" w:space="0" w:color="auto"/>
              <w:right w:val="nil"/>
            </w:tcBorders>
          </w:tcPr>
          <w:p w:rsidR="0048462F" w:rsidRPr="0048462F" w:rsidRDefault="0048462F" w:rsidP="0048462F">
            <w:pPr>
              <w:autoSpaceDE w:val="0"/>
              <w:autoSpaceDN w:val="0"/>
              <w:adjustRightInd w:val="0"/>
              <w:spacing w:line="240" w:lineRule="auto"/>
              <w:ind w:left="0"/>
              <w:jc w:val="center"/>
              <w:rPr>
                <w:rFonts w:ascii="David" w:hAnsi="David" w:cs="David"/>
                <w:color w:val="000000"/>
                <w:sz w:val="20"/>
                <w:szCs w:val="20"/>
              </w:rPr>
            </w:pPr>
            <w:r w:rsidRPr="0048462F">
              <w:rPr>
                <w:rFonts w:ascii="David" w:hAnsi="David" w:cs="David"/>
                <w:color w:val="000000"/>
                <w:sz w:val="20"/>
                <w:szCs w:val="20"/>
              </w:rPr>
              <w:t>-1.5</w:t>
            </w:r>
          </w:p>
        </w:tc>
        <w:tc>
          <w:tcPr>
            <w:tcW w:w="1101" w:type="dxa"/>
            <w:tcBorders>
              <w:top w:val="nil"/>
              <w:left w:val="single" w:sz="12" w:space="0" w:color="auto"/>
              <w:bottom w:val="single" w:sz="12" w:space="0" w:color="auto"/>
              <w:right w:val="single" w:sz="12" w:space="0" w:color="auto"/>
            </w:tcBorders>
          </w:tcPr>
          <w:p w:rsidR="0048462F" w:rsidRPr="0048462F" w:rsidRDefault="0048462F" w:rsidP="0048462F">
            <w:pPr>
              <w:autoSpaceDE w:val="0"/>
              <w:autoSpaceDN w:val="0"/>
              <w:adjustRightInd w:val="0"/>
              <w:spacing w:line="240" w:lineRule="auto"/>
              <w:ind w:left="0"/>
              <w:jc w:val="center"/>
              <w:rPr>
                <w:rFonts w:ascii="David" w:hAnsi="David" w:cs="David"/>
                <w:color w:val="000000"/>
                <w:sz w:val="20"/>
                <w:szCs w:val="20"/>
              </w:rPr>
            </w:pPr>
            <w:r w:rsidRPr="0048462F">
              <w:rPr>
                <w:rFonts w:ascii="David" w:hAnsi="David" w:cs="David"/>
                <w:color w:val="000000"/>
                <w:sz w:val="20"/>
                <w:szCs w:val="20"/>
              </w:rPr>
              <w:t>0.9</w:t>
            </w:r>
          </w:p>
        </w:tc>
      </w:tr>
    </w:tbl>
    <w:p w:rsidR="00EB69E2" w:rsidRPr="00905BD1" w:rsidRDefault="00EB69E2" w:rsidP="00EB69E2">
      <w:pPr>
        <w:numPr>
          <w:ilvl w:val="0"/>
          <w:numId w:val="2"/>
        </w:numPr>
        <w:ind w:left="1105"/>
        <w:contextualSpacing/>
        <w:rPr>
          <w:rFonts w:ascii="David" w:hAnsi="David" w:cs="David"/>
          <w:sz w:val="18"/>
          <w:szCs w:val="18"/>
        </w:rPr>
      </w:pPr>
      <w:r>
        <w:rPr>
          <w:rFonts w:ascii="David" w:hAnsi="David" w:cs="David" w:hint="cs"/>
          <w:sz w:val="18"/>
          <w:szCs w:val="18"/>
          <w:rtl/>
        </w:rPr>
        <w:t>עפ"י אומד</w:t>
      </w:r>
      <w:r>
        <w:rPr>
          <w:rFonts w:ascii="David" w:hAnsi="David" w:cs="David" w:hint="eastAsia"/>
          <w:sz w:val="18"/>
          <w:szCs w:val="18"/>
          <w:rtl/>
        </w:rPr>
        <w:t>ן</w:t>
      </w:r>
      <w:r>
        <w:rPr>
          <w:rFonts w:ascii="David" w:hAnsi="David" w:cs="David" w:hint="cs"/>
          <w:sz w:val="18"/>
          <w:szCs w:val="18"/>
          <w:rtl/>
        </w:rPr>
        <w:t xml:space="preserve"> </w:t>
      </w:r>
      <w:proofErr w:type="spellStart"/>
      <w:r w:rsidRPr="00905BD1">
        <w:rPr>
          <w:rFonts w:ascii="David" w:hAnsi="David" w:cs="David" w:hint="cs"/>
          <w:sz w:val="18"/>
          <w:szCs w:val="18"/>
          <w:rtl/>
        </w:rPr>
        <w:t>הלמ"ס</w:t>
      </w:r>
      <w:proofErr w:type="spellEnd"/>
      <w:r w:rsidRPr="00905BD1">
        <w:rPr>
          <w:rFonts w:ascii="David" w:hAnsi="David" w:cs="David" w:hint="cs"/>
          <w:sz w:val="18"/>
          <w:szCs w:val="18"/>
          <w:rtl/>
        </w:rPr>
        <w:t>, נכון ל-</w:t>
      </w:r>
      <w:r>
        <w:rPr>
          <w:rFonts w:ascii="David" w:hAnsi="David" w:cs="David" w:hint="cs"/>
          <w:sz w:val="18"/>
          <w:szCs w:val="18"/>
          <w:rtl/>
        </w:rPr>
        <w:t>16</w:t>
      </w:r>
      <w:r w:rsidRPr="00905BD1">
        <w:rPr>
          <w:rFonts w:ascii="David" w:hAnsi="David" w:cs="David" w:hint="cs"/>
          <w:sz w:val="18"/>
          <w:szCs w:val="18"/>
          <w:rtl/>
        </w:rPr>
        <w:t xml:space="preserve"> </w:t>
      </w:r>
      <w:r>
        <w:rPr>
          <w:rFonts w:ascii="David" w:hAnsi="David" w:cs="David" w:hint="cs"/>
          <w:sz w:val="18"/>
          <w:szCs w:val="18"/>
          <w:rtl/>
        </w:rPr>
        <w:t>באוגוסט</w:t>
      </w:r>
      <w:r w:rsidRPr="00905BD1">
        <w:rPr>
          <w:rFonts w:ascii="David" w:hAnsi="David" w:cs="David" w:hint="cs"/>
          <w:sz w:val="18"/>
          <w:szCs w:val="18"/>
          <w:rtl/>
        </w:rPr>
        <w:t xml:space="preserve"> 2020.</w:t>
      </w:r>
    </w:p>
    <w:p w:rsidR="00EB69E2" w:rsidRPr="00905BD1" w:rsidRDefault="00EB69E2" w:rsidP="00EB69E2">
      <w:pPr>
        <w:numPr>
          <w:ilvl w:val="0"/>
          <w:numId w:val="2"/>
        </w:numPr>
        <w:ind w:left="1105"/>
        <w:contextualSpacing/>
        <w:rPr>
          <w:rFonts w:ascii="David" w:hAnsi="David" w:cs="David"/>
          <w:sz w:val="18"/>
          <w:szCs w:val="18"/>
        </w:rPr>
      </w:pPr>
      <w:r w:rsidRPr="00905BD1">
        <w:rPr>
          <w:rFonts w:ascii="David" w:hAnsi="David" w:cs="David"/>
          <w:sz w:val="18"/>
          <w:szCs w:val="18"/>
          <w:rtl/>
        </w:rPr>
        <w:t xml:space="preserve">האבטלה בגילי </w:t>
      </w:r>
      <w:r>
        <w:rPr>
          <w:rFonts w:ascii="David" w:hAnsi="David" w:cs="David" w:hint="cs"/>
          <w:sz w:val="18"/>
          <w:szCs w:val="18"/>
          <w:rtl/>
        </w:rPr>
        <w:t>15 ומעלה ברבעון האחרון של השנה.</w:t>
      </w:r>
    </w:p>
    <w:p w:rsidR="00EB69E2" w:rsidRPr="00905BD1" w:rsidRDefault="00EB69E2" w:rsidP="00EB69E2">
      <w:pPr>
        <w:numPr>
          <w:ilvl w:val="0"/>
          <w:numId w:val="2"/>
        </w:numPr>
        <w:ind w:left="1105"/>
        <w:contextualSpacing/>
        <w:rPr>
          <w:rFonts w:ascii="David" w:hAnsi="David" w:cs="David"/>
          <w:sz w:val="18"/>
          <w:szCs w:val="18"/>
        </w:rPr>
      </w:pPr>
      <w:r w:rsidRPr="00905BD1">
        <w:rPr>
          <w:rFonts w:ascii="David" w:hAnsi="David" w:cs="David"/>
          <w:sz w:val="18"/>
          <w:szCs w:val="18"/>
          <w:rtl/>
        </w:rPr>
        <w:t>הממוצע של מדד המחירים לצרכן ברבעון האחרון בשנה לעומת הממוצע ברבעון האחרון בשנה הקודמת.</w:t>
      </w:r>
    </w:p>
    <w:bookmarkEnd w:id="1"/>
    <w:p w:rsidR="007F7ACC" w:rsidRPr="007F7ACC" w:rsidRDefault="007F7ACC" w:rsidP="007F7ACC">
      <w:pPr>
        <w:pStyle w:val="aa"/>
        <w:ind w:left="113"/>
        <w:rPr>
          <w:rFonts w:ascii="David" w:hAnsi="David" w:cs="David"/>
          <w:rtl/>
        </w:rPr>
      </w:pPr>
      <w:r w:rsidRPr="007F7ACC">
        <w:rPr>
          <w:rFonts w:ascii="David" w:hAnsi="David" w:cs="David" w:hint="eastAsia"/>
          <w:rtl/>
        </w:rPr>
        <w:t>לוח</w:t>
      </w:r>
      <w:r w:rsidRPr="007F7ACC">
        <w:rPr>
          <w:rFonts w:ascii="David" w:hAnsi="David" w:cs="David"/>
          <w:rtl/>
        </w:rPr>
        <w:t xml:space="preserve"> 2</w:t>
      </w:r>
      <w:r w:rsidRPr="007F7ACC">
        <w:rPr>
          <w:rFonts w:ascii="David" w:hAnsi="David" w:cs="David" w:hint="cs"/>
          <w:rtl/>
        </w:rPr>
        <w:t xml:space="preserve"> </w:t>
      </w:r>
    </w:p>
    <w:p w:rsidR="007F7ACC" w:rsidRPr="007F7ACC" w:rsidRDefault="00002C59" w:rsidP="00002C59">
      <w:pPr>
        <w:pStyle w:val="aa"/>
        <w:ind w:left="113"/>
        <w:rPr>
          <w:rFonts w:ascii="David" w:hAnsi="David" w:cs="David"/>
        </w:rPr>
      </w:pPr>
      <w:r>
        <w:rPr>
          <w:rFonts w:ascii="David" w:hAnsi="David" w:cs="David" w:hint="cs"/>
          <w:rtl/>
        </w:rPr>
        <w:t>ה</w:t>
      </w:r>
      <w:r w:rsidR="007F7ACC" w:rsidRPr="007F7ACC">
        <w:rPr>
          <w:rFonts w:ascii="David" w:hAnsi="David" w:cs="David" w:hint="cs"/>
          <w:rtl/>
        </w:rPr>
        <w:t xml:space="preserve">תרחיש </w:t>
      </w:r>
      <w:r>
        <w:rPr>
          <w:rFonts w:ascii="David" w:hAnsi="David" w:cs="David" w:hint="cs"/>
          <w:rtl/>
        </w:rPr>
        <w:t>האופטימי</w:t>
      </w:r>
      <w:r w:rsidRPr="007F7ACC">
        <w:rPr>
          <w:rFonts w:ascii="David" w:hAnsi="David" w:cs="David" w:hint="cs"/>
          <w:rtl/>
        </w:rPr>
        <w:t xml:space="preserve"> </w:t>
      </w:r>
      <w:r w:rsidR="007F7ACC" w:rsidRPr="007F7ACC">
        <w:rPr>
          <w:rFonts w:ascii="David" w:hAnsi="David" w:cs="David" w:hint="cs"/>
          <w:rtl/>
        </w:rPr>
        <w:t xml:space="preserve">מול תרחיש </w:t>
      </w:r>
      <w:r>
        <w:rPr>
          <w:rFonts w:ascii="David" w:hAnsi="David" w:cs="David" w:hint="cs"/>
          <w:rtl/>
        </w:rPr>
        <w:t>ה</w:t>
      </w:r>
      <w:r w:rsidR="007F7ACC" w:rsidRPr="007F7ACC">
        <w:rPr>
          <w:rFonts w:ascii="David" w:hAnsi="David" w:cs="David" w:hint="cs"/>
          <w:rtl/>
        </w:rPr>
        <w:t>בסיס שפורסם ב-6/7/2020</w:t>
      </w:r>
    </w:p>
    <w:p w:rsidR="00BE6A4E" w:rsidRPr="00316615" w:rsidRDefault="007F7ACC" w:rsidP="007F7ACC">
      <w:pPr>
        <w:pStyle w:val="aa"/>
        <w:ind w:left="113"/>
        <w:rPr>
          <w:rFonts w:ascii="David" w:hAnsi="David" w:cs="David"/>
          <w:b w:val="0"/>
          <w:bCs w:val="0"/>
          <w:rtl/>
        </w:rPr>
      </w:pPr>
      <w:r w:rsidRPr="007F7ACC">
        <w:rPr>
          <w:rFonts w:ascii="David" w:hAnsi="David" w:cs="David"/>
          <w:rtl/>
        </w:rPr>
        <w:t xml:space="preserve"> </w:t>
      </w:r>
      <w:r w:rsidR="00BE6A4E" w:rsidRPr="00316615">
        <w:rPr>
          <w:rFonts w:ascii="David" w:hAnsi="David" w:cs="David"/>
          <w:b w:val="0"/>
          <w:bCs w:val="0"/>
          <w:rtl/>
        </w:rPr>
        <w:t>(שיעורי השינוי באחוזים, אלא אם צוין אחרת)</w:t>
      </w:r>
    </w:p>
    <w:tbl>
      <w:tblPr>
        <w:bidiVisual/>
        <w:tblW w:w="9498" w:type="dxa"/>
        <w:jc w:val="center"/>
        <w:tblLayout w:type="fixed"/>
        <w:tblLook w:val="04A0" w:firstRow="1" w:lastRow="0" w:firstColumn="1" w:lastColumn="0" w:noHBand="0" w:noVBand="1"/>
      </w:tblPr>
      <w:tblGrid>
        <w:gridCol w:w="4253"/>
        <w:gridCol w:w="992"/>
        <w:gridCol w:w="1013"/>
        <w:gridCol w:w="1078"/>
        <w:gridCol w:w="1032"/>
        <w:gridCol w:w="1130"/>
      </w:tblGrid>
      <w:tr w:rsidR="00BE6A4E" w:rsidRPr="0086400E" w:rsidTr="00C53A95">
        <w:trPr>
          <w:trHeight w:val="630"/>
          <w:jc w:val="center"/>
        </w:trPr>
        <w:tc>
          <w:tcPr>
            <w:tcW w:w="4253"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BE6A4E" w:rsidRPr="0086400E" w:rsidRDefault="00BE6A4E" w:rsidP="00BE6A4E">
            <w:pPr>
              <w:pStyle w:val="Tablenc"/>
              <w:bidi w:val="0"/>
              <w:rPr>
                <w:rFonts w:ascii="David" w:hAnsi="David" w:cs="David"/>
              </w:rPr>
            </w:pPr>
            <w:r w:rsidRPr="0086400E">
              <w:rPr>
                <w:rFonts w:ascii="David" w:hAnsi="David" w:cs="David"/>
              </w:rPr>
              <w:t> </w:t>
            </w:r>
          </w:p>
        </w:tc>
        <w:tc>
          <w:tcPr>
            <w:tcW w:w="992" w:type="dxa"/>
            <w:tcBorders>
              <w:top w:val="single" w:sz="8" w:space="0" w:color="auto"/>
              <w:left w:val="single" w:sz="4" w:space="0" w:color="auto"/>
              <w:bottom w:val="single" w:sz="4" w:space="0" w:color="auto"/>
            </w:tcBorders>
            <w:shd w:val="clear" w:color="auto" w:fill="D9D9D9" w:themeFill="background1" w:themeFillShade="D9"/>
            <w:noWrap/>
            <w:vAlign w:val="center"/>
            <w:hideMark/>
          </w:tcPr>
          <w:p w:rsidR="00BE6A4E" w:rsidRPr="0086400E" w:rsidRDefault="00BE6A4E" w:rsidP="00BE6A4E">
            <w:pPr>
              <w:pStyle w:val="Tablenc"/>
              <w:jc w:val="center"/>
              <w:rPr>
                <w:rFonts w:ascii="David" w:hAnsi="David" w:cs="David"/>
                <w:rtl/>
              </w:rPr>
            </w:pPr>
            <w:r w:rsidRPr="0086400E">
              <w:rPr>
                <w:rFonts w:ascii="David" w:hAnsi="David" w:cs="David"/>
                <w:rtl/>
              </w:rPr>
              <w:t xml:space="preserve">2019 </w:t>
            </w:r>
            <w:r w:rsidRPr="0086400E">
              <w:rPr>
                <w:rFonts w:ascii="David" w:hAnsi="David" w:cs="David"/>
                <w:sz w:val="22"/>
                <w:szCs w:val="22"/>
                <w:vertAlign w:val="superscript"/>
                <w:rtl/>
              </w:rPr>
              <w:t>1</w:t>
            </w:r>
          </w:p>
        </w:tc>
        <w:tc>
          <w:tcPr>
            <w:tcW w:w="1013" w:type="dxa"/>
            <w:tcBorders>
              <w:top w:val="single" w:sz="8" w:space="0" w:color="auto"/>
              <w:left w:val="single" w:sz="4" w:space="0" w:color="auto"/>
              <w:bottom w:val="single" w:sz="4" w:space="0" w:color="auto"/>
            </w:tcBorders>
            <w:shd w:val="clear" w:color="auto" w:fill="auto"/>
            <w:noWrap/>
            <w:vAlign w:val="center"/>
            <w:hideMark/>
          </w:tcPr>
          <w:p w:rsidR="00BE6A4E" w:rsidRPr="0086400E" w:rsidRDefault="00BE6A4E" w:rsidP="00BE6A4E">
            <w:pPr>
              <w:pStyle w:val="Tablenc"/>
              <w:jc w:val="center"/>
              <w:rPr>
                <w:rFonts w:ascii="David" w:hAnsi="David" w:cs="David"/>
                <w:rtl/>
              </w:rPr>
            </w:pPr>
            <w:r w:rsidRPr="0086400E">
              <w:rPr>
                <w:rFonts w:ascii="David" w:hAnsi="David" w:cs="David"/>
                <w:rtl/>
              </w:rPr>
              <w:t>התחזית ל-2020</w:t>
            </w:r>
          </w:p>
        </w:tc>
        <w:tc>
          <w:tcPr>
            <w:tcW w:w="1078" w:type="dxa"/>
            <w:tcBorders>
              <w:top w:val="single" w:sz="8" w:space="0" w:color="auto"/>
              <w:bottom w:val="single" w:sz="4" w:space="0" w:color="auto"/>
              <w:right w:val="single" w:sz="4" w:space="0" w:color="auto"/>
            </w:tcBorders>
            <w:shd w:val="clear" w:color="auto" w:fill="auto"/>
            <w:vAlign w:val="center"/>
            <w:hideMark/>
          </w:tcPr>
          <w:p w:rsidR="00BE6A4E" w:rsidRPr="0086400E" w:rsidRDefault="00BE6A4E" w:rsidP="00BE6A4E">
            <w:pPr>
              <w:pStyle w:val="Tablenc"/>
              <w:jc w:val="center"/>
              <w:rPr>
                <w:rFonts w:ascii="David" w:hAnsi="David" w:cs="David"/>
                <w:color w:val="4F81BD" w:themeColor="accent1"/>
              </w:rPr>
            </w:pPr>
            <w:r w:rsidRPr="0086400E">
              <w:rPr>
                <w:rFonts w:ascii="David" w:hAnsi="David" w:cs="David"/>
                <w:color w:val="4F81BD" w:themeColor="accent1"/>
                <w:rtl/>
              </w:rPr>
              <w:t>השינוי מהתחזית הקודמת</w:t>
            </w:r>
          </w:p>
        </w:tc>
        <w:tc>
          <w:tcPr>
            <w:tcW w:w="1032" w:type="dxa"/>
            <w:tcBorders>
              <w:top w:val="single" w:sz="8" w:space="0" w:color="auto"/>
              <w:left w:val="single" w:sz="4" w:space="0" w:color="auto"/>
              <w:bottom w:val="single" w:sz="4" w:space="0" w:color="auto"/>
              <w:right w:val="single" w:sz="4" w:space="0" w:color="FFFFFF" w:themeColor="background1"/>
            </w:tcBorders>
            <w:vAlign w:val="center"/>
          </w:tcPr>
          <w:p w:rsidR="00BE6A4E" w:rsidRPr="0086400E" w:rsidRDefault="00BE6A4E" w:rsidP="00BE6A4E">
            <w:pPr>
              <w:pStyle w:val="Tablenc"/>
              <w:jc w:val="center"/>
              <w:rPr>
                <w:rFonts w:ascii="David" w:hAnsi="David" w:cs="David"/>
                <w:color w:val="4F81BD" w:themeColor="accent1"/>
                <w:rtl/>
              </w:rPr>
            </w:pPr>
            <w:r w:rsidRPr="0086400E">
              <w:rPr>
                <w:rFonts w:ascii="David" w:hAnsi="David" w:cs="David"/>
                <w:rtl/>
              </w:rPr>
              <w:t>התחזית ל-2021</w:t>
            </w:r>
          </w:p>
        </w:tc>
        <w:tc>
          <w:tcPr>
            <w:tcW w:w="1130" w:type="dxa"/>
            <w:tcBorders>
              <w:top w:val="single" w:sz="8" w:space="0" w:color="auto"/>
              <w:left w:val="single" w:sz="4" w:space="0" w:color="auto"/>
              <w:bottom w:val="single" w:sz="4" w:space="0" w:color="auto"/>
              <w:right w:val="single" w:sz="8" w:space="0" w:color="auto"/>
            </w:tcBorders>
            <w:vAlign w:val="bottom"/>
          </w:tcPr>
          <w:p w:rsidR="00BE6A4E" w:rsidRPr="0086400E" w:rsidRDefault="00BE6A4E" w:rsidP="00BE6A4E">
            <w:pPr>
              <w:pStyle w:val="Tablenc"/>
              <w:jc w:val="center"/>
              <w:rPr>
                <w:rFonts w:ascii="David" w:hAnsi="David" w:cs="David"/>
                <w:rtl/>
              </w:rPr>
            </w:pPr>
            <w:r w:rsidRPr="00905BD1">
              <w:rPr>
                <w:rFonts w:ascii="David" w:hAnsi="David" w:cs="David" w:hint="eastAsia"/>
                <w:color w:val="4F81BD" w:themeColor="accent1"/>
                <w:rtl/>
              </w:rPr>
              <w:t>ה</w:t>
            </w:r>
            <w:r w:rsidRPr="00905BD1">
              <w:rPr>
                <w:rFonts w:ascii="David" w:hAnsi="David" w:cs="David"/>
                <w:color w:val="4F81BD" w:themeColor="accent1"/>
                <w:rtl/>
              </w:rPr>
              <w:t>שינוי מ</w:t>
            </w:r>
            <w:r w:rsidRPr="00905BD1">
              <w:rPr>
                <w:rFonts w:ascii="David" w:hAnsi="David" w:cs="David" w:hint="eastAsia"/>
                <w:color w:val="4F81BD" w:themeColor="accent1"/>
                <w:rtl/>
              </w:rPr>
              <w:t>ה</w:t>
            </w:r>
            <w:r w:rsidRPr="00905BD1">
              <w:rPr>
                <w:rFonts w:ascii="David" w:hAnsi="David" w:cs="David"/>
                <w:color w:val="4F81BD" w:themeColor="accent1"/>
                <w:rtl/>
              </w:rPr>
              <w:t xml:space="preserve">תחזית </w:t>
            </w:r>
            <w:r w:rsidRPr="00905BD1">
              <w:rPr>
                <w:rFonts w:ascii="David" w:hAnsi="David" w:cs="David" w:hint="eastAsia"/>
                <w:color w:val="4F81BD" w:themeColor="accent1"/>
                <w:rtl/>
              </w:rPr>
              <w:t>ה</w:t>
            </w:r>
            <w:r w:rsidRPr="00905BD1">
              <w:rPr>
                <w:rFonts w:ascii="David" w:hAnsi="David" w:cs="David"/>
                <w:color w:val="4F81BD" w:themeColor="accent1"/>
                <w:rtl/>
              </w:rPr>
              <w:t>קודמת</w:t>
            </w:r>
          </w:p>
        </w:tc>
      </w:tr>
      <w:tr w:rsidR="00725CDA" w:rsidRPr="0086400E" w:rsidTr="00C53A95">
        <w:trPr>
          <w:trHeight w:val="300"/>
          <w:jc w:val="center"/>
        </w:trPr>
        <w:tc>
          <w:tcPr>
            <w:tcW w:w="4253" w:type="dxa"/>
            <w:tcBorders>
              <w:top w:val="single" w:sz="4" w:space="0" w:color="auto"/>
              <w:left w:val="single" w:sz="8" w:space="0" w:color="auto"/>
              <w:right w:val="single" w:sz="4" w:space="0" w:color="auto"/>
            </w:tcBorders>
            <w:shd w:val="clear" w:color="auto" w:fill="auto"/>
            <w:hideMark/>
          </w:tcPr>
          <w:p w:rsidR="00725CDA" w:rsidRPr="00316615" w:rsidRDefault="00725CDA" w:rsidP="00725CDA">
            <w:pPr>
              <w:pStyle w:val="Tablenc"/>
              <w:jc w:val="left"/>
              <w:rPr>
                <w:rFonts w:ascii="David" w:hAnsi="David" w:cs="David"/>
                <w:sz w:val="22"/>
                <w:szCs w:val="22"/>
                <w:rtl/>
              </w:rPr>
            </w:pPr>
            <w:proofErr w:type="spellStart"/>
            <w:r>
              <w:rPr>
                <w:rFonts w:ascii="David" w:hAnsi="David" w:cs="David"/>
                <w:color w:val="000000"/>
                <w:sz w:val="22"/>
                <w:szCs w:val="22"/>
                <w:rtl/>
              </w:rPr>
              <w:t>התמ</w:t>
            </w:r>
            <w:proofErr w:type="spellEnd"/>
            <w:r>
              <w:rPr>
                <w:rFonts w:ascii="David" w:hAnsi="David" w:cs="David"/>
                <w:color w:val="000000"/>
                <w:sz w:val="22"/>
                <w:szCs w:val="22"/>
              </w:rPr>
              <w:t>"</w:t>
            </w:r>
            <w:r>
              <w:rPr>
                <w:rFonts w:ascii="David" w:hAnsi="David" w:cs="David"/>
                <w:color w:val="000000"/>
                <w:sz w:val="22"/>
                <w:szCs w:val="22"/>
                <w:rtl/>
              </w:rPr>
              <w:t>ג</w:t>
            </w:r>
          </w:p>
        </w:tc>
        <w:tc>
          <w:tcPr>
            <w:tcW w:w="992" w:type="dxa"/>
            <w:tcBorders>
              <w:top w:val="single" w:sz="4" w:space="0" w:color="auto"/>
              <w:left w:val="single" w:sz="4" w:space="0" w:color="auto"/>
            </w:tcBorders>
            <w:shd w:val="clear" w:color="auto" w:fill="D9D9D9" w:themeFill="background1" w:themeFillShade="D9"/>
            <w:noWrap/>
            <w:hideMark/>
          </w:tcPr>
          <w:p w:rsidR="00725CDA" w:rsidRPr="0086400E" w:rsidRDefault="00725CDA" w:rsidP="00725CDA">
            <w:pPr>
              <w:pStyle w:val="Tablenc"/>
              <w:bidi w:val="0"/>
              <w:ind w:right="340"/>
              <w:jc w:val="right"/>
              <w:rPr>
                <w:rFonts w:ascii="David" w:hAnsi="David" w:cs="David"/>
                <w:sz w:val="22"/>
                <w:szCs w:val="22"/>
              </w:rPr>
            </w:pPr>
            <w:r>
              <w:rPr>
                <w:rFonts w:ascii="David" w:hAnsi="David" w:cs="David"/>
                <w:color w:val="000000"/>
              </w:rPr>
              <w:t>3.5</w:t>
            </w:r>
          </w:p>
        </w:tc>
        <w:tc>
          <w:tcPr>
            <w:tcW w:w="1013" w:type="dxa"/>
            <w:tcBorders>
              <w:top w:val="single" w:sz="4" w:space="0" w:color="auto"/>
              <w:left w:val="single" w:sz="4" w:space="0" w:color="auto"/>
            </w:tcBorders>
            <w:shd w:val="clear" w:color="auto" w:fill="auto"/>
            <w:noWrap/>
            <w:hideMark/>
          </w:tcPr>
          <w:p w:rsidR="00725CDA" w:rsidRPr="00401ECF" w:rsidRDefault="00725CDA" w:rsidP="00725CDA">
            <w:pPr>
              <w:pStyle w:val="Tablenc"/>
              <w:bidi w:val="0"/>
              <w:ind w:right="340"/>
              <w:jc w:val="right"/>
              <w:rPr>
                <w:rFonts w:ascii="David" w:hAnsi="David" w:cs="David"/>
                <w:sz w:val="22"/>
                <w:szCs w:val="22"/>
                <w:highlight w:val="yellow"/>
              </w:rPr>
            </w:pPr>
            <w:r>
              <w:rPr>
                <w:rFonts w:ascii="David" w:hAnsi="David" w:cs="David"/>
                <w:color w:val="000000"/>
              </w:rPr>
              <w:t>-4.5</w:t>
            </w:r>
          </w:p>
        </w:tc>
        <w:tc>
          <w:tcPr>
            <w:tcW w:w="1078" w:type="dxa"/>
            <w:tcBorders>
              <w:top w:val="single" w:sz="4" w:space="0" w:color="auto"/>
              <w:right w:val="single" w:sz="4" w:space="0" w:color="auto"/>
            </w:tcBorders>
            <w:shd w:val="clear" w:color="auto" w:fill="auto"/>
            <w:noWrap/>
            <w:hideMark/>
          </w:tcPr>
          <w:p w:rsidR="00725CDA" w:rsidRPr="00401ECF" w:rsidRDefault="00725CDA" w:rsidP="00725CDA">
            <w:pPr>
              <w:pStyle w:val="Tablenc"/>
              <w:bidi w:val="0"/>
              <w:ind w:right="340"/>
              <w:jc w:val="right"/>
              <w:rPr>
                <w:rFonts w:ascii="David" w:hAnsi="David" w:cs="David"/>
                <w:color w:val="4F81BD" w:themeColor="accent1"/>
                <w:sz w:val="22"/>
                <w:szCs w:val="22"/>
                <w:highlight w:val="yellow"/>
              </w:rPr>
            </w:pPr>
            <w:r>
              <w:rPr>
                <w:rFonts w:ascii="David" w:hAnsi="David" w:cs="David"/>
                <w:color w:val="333399"/>
              </w:rPr>
              <w:t>1.5</w:t>
            </w:r>
          </w:p>
        </w:tc>
        <w:tc>
          <w:tcPr>
            <w:tcW w:w="1032" w:type="dxa"/>
            <w:tcBorders>
              <w:top w:val="single" w:sz="4" w:space="0" w:color="auto"/>
              <w:left w:val="single" w:sz="4" w:space="0" w:color="auto"/>
            </w:tcBorders>
          </w:tcPr>
          <w:p w:rsidR="00725CDA" w:rsidRPr="00401ECF" w:rsidRDefault="00725CDA" w:rsidP="00725CDA">
            <w:pPr>
              <w:pStyle w:val="Tablenc"/>
              <w:bidi w:val="0"/>
              <w:ind w:right="340"/>
              <w:jc w:val="right"/>
              <w:rPr>
                <w:rFonts w:ascii="David" w:hAnsi="David" w:cs="David"/>
                <w:sz w:val="22"/>
                <w:szCs w:val="22"/>
                <w:highlight w:val="yellow"/>
              </w:rPr>
            </w:pPr>
            <w:r>
              <w:rPr>
                <w:rFonts w:ascii="David" w:hAnsi="David" w:cs="David"/>
                <w:color w:val="000000"/>
              </w:rPr>
              <w:t>6.0</w:t>
            </w:r>
          </w:p>
        </w:tc>
        <w:tc>
          <w:tcPr>
            <w:tcW w:w="1130" w:type="dxa"/>
            <w:tcBorders>
              <w:top w:val="single" w:sz="4" w:space="0" w:color="auto"/>
              <w:left w:val="single" w:sz="4" w:space="0" w:color="auto"/>
              <w:right w:val="single" w:sz="8" w:space="0" w:color="auto"/>
            </w:tcBorders>
          </w:tcPr>
          <w:p w:rsidR="00725CDA" w:rsidRPr="00401ECF" w:rsidRDefault="00725CDA" w:rsidP="00725CDA">
            <w:pPr>
              <w:pStyle w:val="Tablenc"/>
              <w:bidi w:val="0"/>
              <w:ind w:right="340"/>
              <w:jc w:val="right"/>
              <w:rPr>
                <w:rFonts w:ascii="David" w:hAnsi="David" w:cs="David"/>
                <w:color w:val="000000"/>
                <w:highlight w:val="yellow"/>
              </w:rPr>
            </w:pPr>
            <w:r>
              <w:rPr>
                <w:rFonts w:ascii="David" w:hAnsi="David" w:cs="David"/>
                <w:color w:val="333399"/>
              </w:rPr>
              <w:t>-1.5</w:t>
            </w:r>
          </w:p>
        </w:tc>
      </w:tr>
      <w:tr w:rsidR="00725CDA" w:rsidRPr="0086400E" w:rsidTr="00C53A95">
        <w:trPr>
          <w:trHeight w:val="285"/>
          <w:jc w:val="center"/>
        </w:trPr>
        <w:tc>
          <w:tcPr>
            <w:tcW w:w="4253" w:type="dxa"/>
            <w:tcBorders>
              <w:left w:val="single" w:sz="8" w:space="0" w:color="auto"/>
              <w:right w:val="single" w:sz="4" w:space="0" w:color="auto"/>
            </w:tcBorders>
            <w:shd w:val="clear" w:color="auto" w:fill="auto"/>
            <w:hideMark/>
          </w:tcPr>
          <w:p w:rsidR="00725CDA" w:rsidRPr="00316615" w:rsidRDefault="00725CDA" w:rsidP="00725CDA">
            <w:pPr>
              <w:pStyle w:val="Tablenc"/>
              <w:jc w:val="left"/>
              <w:rPr>
                <w:rFonts w:ascii="David" w:hAnsi="David" w:cs="David"/>
                <w:sz w:val="22"/>
                <w:szCs w:val="22"/>
                <w:rtl/>
              </w:rPr>
            </w:pPr>
            <w:r>
              <w:rPr>
                <w:rFonts w:ascii="David" w:hAnsi="David" w:cs="David"/>
                <w:color w:val="000000"/>
                <w:sz w:val="22"/>
                <w:szCs w:val="22"/>
                <w:rtl/>
              </w:rPr>
              <w:t>הצריכה</w:t>
            </w:r>
            <w:r>
              <w:rPr>
                <w:rFonts w:ascii="David" w:hAnsi="David" w:cs="David"/>
                <w:color w:val="000000"/>
                <w:sz w:val="22"/>
                <w:szCs w:val="22"/>
              </w:rPr>
              <w:t xml:space="preserve"> </w:t>
            </w:r>
            <w:r>
              <w:rPr>
                <w:rFonts w:ascii="David" w:hAnsi="David" w:cs="David"/>
                <w:color w:val="000000"/>
                <w:sz w:val="22"/>
                <w:szCs w:val="22"/>
                <w:rtl/>
              </w:rPr>
              <w:t>הפרטית</w:t>
            </w:r>
          </w:p>
        </w:tc>
        <w:tc>
          <w:tcPr>
            <w:tcW w:w="992" w:type="dxa"/>
            <w:tcBorders>
              <w:left w:val="single" w:sz="4" w:space="0" w:color="auto"/>
            </w:tcBorders>
            <w:shd w:val="clear" w:color="auto" w:fill="D9D9D9" w:themeFill="background1" w:themeFillShade="D9"/>
            <w:noWrap/>
            <w:hideMark/>
          </w:tcPr>
          <w:p w:rsidR="00725CDA" w:rsidRPr="0086400E" w:rsidRDefault="00725CDA" w:rsidP="00725CDA">
            <w:pPr>
              <w:pStyle w:val="Tablenc"/>
              <w:bidi w:val="0"/>
              <w:ind w:right="340"/>
              <w:jc w:val="right"/>
              <w:rPr>
                <w:rFonts w:ascii="David" w:hAnsi="David" w:cs="David"/>
                <w:sz w:val="22"/>
                <w:szCs w:val="22"/>
              </w:rPr>
            </w:pPr>
            <w:r>
              <w:rPr>
                <w:rFonts w:ascii="David" w:hAnsi="David" w:cs="David"/>
                <w:color w:val="000000"/>
              </w:rPr>
              <w:t>3.8</w:t>
            </w:r>
          </w:p>
        </w:tc>
        <w:tc>
          <w:tcPr>
            <w:tcW w:w="1013" w:type="dxa"/>
            <w:tcBorders>
              <w:left w:val="single" w:sz="4" w:space="0" w:color="auto"/>
            </w:tcBorders>
            <w:shd w:val="clear" w:color="auto" w:fill="auto"/>
            <w:noWrap/>
            <w:hideMark/>
          </w:tcPr>
          <w:p w:rsidR="00725CDA" w:rsidRPr="00401ECF" w:rsidRDefault="00725CDA" w:rsidP="00725CDA">
            <w:pPr>
              <w:pStyle w:val="Tablenc"/>
              <w:bidi w:val="0"/>
              <w:ind w:right="340"/>
              <w:jc w:val="right"/>
              <w:rPr>
                <w:rFonts w:ascii="David" w:hAnsi="David" w:cs="David"/>
                <w:sz w:val="22"/>
                <w:szCs w:val="22"/>
                <w:highlight w:val="yellow"/>
                <w:rtl/>
              </w:rPr>
            </w:pPr>
            <w:r>
              <w:rPr>
                <w:rFonts w:ascii="David" w:hAnsi="David" w:cs="David"/>
                <w:color w:val="000000"/>
              </w:rPr>
              <w:t>-7.5</w:t>
            </w:r>
          </w:p>
        </w:tc>
        <w:tc>
          <w:tcPr>
            <w:tcW w:w="1078" w:type="dxa"/>
            <w:tcBorders>
              <w:right w:val="single" w:sz="4" w:space="0" w:color="auto"/>
            </w:tcBorders>
            <w:shd w:val="clear" w:color="auto" w:fill="auto"/>
            <w:noWrap/>
            <w:hideMark/>
          </w:tcPr>
          <w:p w:rsidR="00725CDA" w:rsidRPr="00401ECF" w:rsidRDefault="00725CDA" w:rsidP="00725CDA">
            <w:pPr>
              <w:pStyle w:val="Tablenc"/>
              <w:bidi w:val="0"/>
              <w:ind w:right="340"/>
              <w:jc w:val="right"/>
              <w:rPr>
                <w:rFonts w:ascii="David" w:hAnsi="David" w:cs="David"/>
                <w:color w:val="4F81BD" w:themeColor="accent1"/>
                <w:sz w:val="22"/>
                <w:szCs w:val="22"/>
                <w:highlight w:val="yellow"/>
                <w:rtl/>
              </w:rPr>
            </w:pPr>
            <w:r>
              <w:rPr>
                <w:rFonts w:ascii="David" w:hAnsi="David" w:cs="David"/>
                <w:color w:val="333399"/>
              </w:rPr>
              <w:t>-1.0</w:t>
            </w:r>
          </w:p>
        </w:tc>
        <w:tc>
          <w:tcPr>
            <w:tcW w:w="1032" w:type="dxa"/>
            <w:tcBorders>
              <w:left w:val="single" w:sz="4" w:space="0" w:color="auto"/>
            </w:tcBorders>
          </w:tcPr>
          <w:p w:rsidR="00725CDA" w:rsidRPr="00401ECF" w:rsidRDefault="00725CDA" w:rsidP="00725CDA">
            <w:pPr>
              <w:pStyle w:val="Tablenc"/>
              <w:bidi w:val="0"/>
              <w:ind w:right="340"/>
              <w:jc w:val="right"/>
              <w:rPr>
                <w:rFonts w:ascii="David" w:hAnsi="David" w:cs="David"/>
                <w:sz w:val="22"/>
                <w:szCs w:val="22"/>
                <w:highlight w:val="yellow"/>
                <w:rtl/>
              </w:rPr>
            </w:pPr>
            <w:r>
              <w:rPr>
                <w:rFonts w:ascii="David" w:hAnsi="David" w:cs="David"/>
                <w:color w:val="000000"/>
              </w:rPr>
              <w:t>9.0</w:t>
            </w:r>
          </w:p>
        </w:tc>
        <w:tc>
          <w:tcPr>
            <w:tcW w:w="1130" w:type="dxa"/>
            <w:tcBorders>
              <w:left w:val="single" w:sz="4" w:space="0" w:color="auto"/>
              <w:right w:val="single" w:sz="8" w:space="0" w:color="auto"/>
            </w:tcBorders>
          </w:tcPr>
          <w:p w:rsidR="00725CDA" w:rsidRPr="00401ECF" w:rsidRDefault="00725CDA" w:rsidP="00725CDA">
            <w:pPr>
              <w:pStyle w:val="Tablenc"/>
              <w:bidi w:val="0"/>
              <w:ind w:right="340"/>
              <w:jc w:val="right"/>
              <w:rPr>
                <w:rFonts w:ascii="David" w:hAnsi="David" w:cs="David"/>
                <w:color w:val="000000"/>
                <w:highlight w:val="yellow"/>
              </w:rPr>
            </w:pPr>
            <w:r>
              <w:rPr>
                <w:rFonts w:ascii="David" w:hAnsi="David" w:cs="David"/>
                <w:color w:val="333399"/>
              </w:rPr>
              <w:t>0.5</w:t>
            </w:r>
          </w:p>
        </w:tc>
      </w:tr>
      <w:tr w:rsidR="00725CDA" w:rsidRPr="0086400E" w:rsidTr="00C53A95">
        <w:trPr>
          <w:trHeight w:val="285"/>
          <w:jc w:val="center"/>
        </w:trPr>
        <w:tc>
          <w:tcPr>
            <w:tcW w:w="4253" w:type="dxa"/>
            <w:tcBorders>
              <w:left w:val="single" w:sz="8" w:space="0" w:color="auto"/>
              <w:right w:val="single" w:sz="4" w:space="0" w:color="auto"/>
            </w:tcBorders>
            <w:shd w:val="clear" w:color="auto" w:fill="auto"/>
            <w:hideMark/>
          </w:tcPr>
          <w:p w:rsidR="00725CDA" w:rsidRPr="0086400E" w:rsidRDefault="00725CDA" w:rsidP="00920B70">
            <w:pPr>
              <w:pStyle w:val="Tablenc"/>
              <w:jc w:val="left"/>
              <w:rPr>
                <w:rFonts w:ascii="David" w:hAnsi="David" w:cs="David"/>
                <w:sz w:val="22"/>
                <w:szCs w:val="22"/>
                <w:rtl/>
              </w:rPr>
            </w:pPr>
            <w:r>
              <w:rPr>
                <w:rFonts w:ascii="David" w:hAnsi="David" w:cs="David"/>
                <w:color w:val="000000"/>
                <w:sz w:val="22"/>
                <w:szCs w:val="22"/>
                <w:rtl/>
              </w:rPr>
              <w:t>ההשקעה</w:t>
            </w:r>
            <w:r>
              <w:rPr>
                <w:rFonts w:ascii="David" w:hAnsi="David" w:cs="David"/>
                <w:color w:val="000000"/>
                <w:sz w:val="22"/>
                <w:szCs w:val="22"/>
              </w:rPr>
              <w:t xml:space="preserve"> </w:t>
            </w:r>
            <w:r>
              <w:rPr>
                <w:rFonts w:ascii="David" w:hAnsi="David" w:cs="David"/>
                <w:color w:val="000000"/>
                <w:sz w:val="22"/>
                <w:szCs w:val="22"/>
                <w:rtl/>
              </w:rPr>
              <w:t>בנכסים</w:t>
            </w:r>
            <w:r>
              <w:rPr>
                <w:rFonts w:ascii="David" w:hAnsi="David" w:cs="David"/>
                <w:color w:val="000000"/>
                <w:sz w:val="22"/>
                <w:szCs w:val="22"/>
              </w:rPr>
              <w:t xml:space="preserve"> </w:t>
            </w:r>
            <w:r>
              <w:rPr>
                <w:rFonts w:ascii="David" w:hAnsi="David" w:cs="David"/>
                <w:color w:val="000000"/>
                <w:sz w:val="22"/>
                <w:szCs w:val="22"/>
                <w:rtl/>
              </w:rPr>
              <w:t>קבועים</w:t>
            </w:r>
            <w:r>
              <w:rPr>
                <w:rFonts w:ascii="David" w:hAnsi="David" w:cs="David"/>
                <w:color w:val="000000"/>
                <w:sz w:val="22"/>
                <w:szCs w:val="22"/>
              </w:rPr>
              <w:t xml:space="preserve"> (</w:t>
            </w:r>
            <w:r>
              <w:rPr>
                <w:rFonts w:ascii="David" w:hAnsi="David" w:cs="David"/>
                <w:color w:val="000000"/>
                <w:sz w:val="22"/>
                <w:szCs w:val="22"/>
                <w:rtl/>
              </w:rPr>
              <w:t>ללא</w:t>
            </w:r>
            <w:r>
              <w:rPr>
                <w:rFonts w:ascii="David" w:hAnsi="David" w:cs="David"/>
                <w:color w:val="000000"/>
                <w:sz w:val="22"/>
                <w:szCs w:val="22"/>
              </w:rPr>
              <w:t xml:space="preserve"> </w:t>
            </w:r>
            <w:proofErr w:type="spellStart"/>
            <w:r>
              <w:rPr>
                <w:rFonts w:ascii="David" w:hAnsi="David" w:cs="David"/>
                <w:color w:val="000000"/>
                <w:sz w:val="22"/>
                <w:szCs w:val="22"/>
                <w:rtl/>
              </w:rPr>
              <w:t>אוניות</w:t>
            </w:r>
            <w:proofErr w:type="spellEnd"/>
            <w:r>
              <w:rPr>
                <w:rFonts w:ascii="David" w:hAnsi="David" w:cs="David"/>
                <w:color w:val="000000"/>
                <w:sz w:val="22"/>
                <w:szCs w:val="22"/>
              </w:rPr>
              <w:t xml:space="preserve"> </w:t>
            </w:r>
            <w:r>
              <w:rPr>
                <w:rFonts w:ascii="David" w:hAnsi="David" w:cs="David"/>
                <w:color w:val="000000"/>
                <w:sz w:val="22"/>
                <w:szCs w:val="22"/>
                <w:rtl/>
              </w:rPr>
              <w:t>ומטוסים</w:t>
            </w:r>
            <w:r w:rsidR="00920B70">
              <w:rPr>
                <w:rFonts w:ascii="David" w:hAnsi="David" w:cs="David"/>
                <w:color w:val="000000"/>
                <w:sz w:val="22"/>
                <w:szCs w:val="22"/>
              </w:rPr>
              <w:t>(</w:t>
            </w:r>
          </w:p>
        </w:tc>
        <w:tc>
          <w:tcPr>
            <w:tcW w:w="992" w:type="dxa"/>
            <w:tcBorders>
              <w:left w:val="single" w:sz="4" w:space="0" w:color="auto"/>
            </w:tcBorders>
            <w:shd w:val="clear" w:color="auto" w:fill="D9D9D9" w:themeFill="background1" w:themeFillShade="D9"/>
            <w:noWrap/>
            <w:hideMark/>
          </w:tcPr>
          <w:p w:rsidR="00725CDA" w:rsidRPr="00437165" w:rsidRDefault="00725CDA" w:rsidP="00725CDA">
            <w:pPr>
              <w:pStyle w:val="Tablenc"/>
              <w:bidi w:val="0"/>
              <w:ind w:right="340"/>
              <w:jc w:val="right"/>
              <w:rPr>
                <w:rFonts w:ascii="David" w:hAnsi="David" w:cs="David"/>
                <w:sz w:val="22"/>
                <w:szCs w:val="22"/>
              </w:rPr>
            </w:pPr>
            <w:r>
              <w:rPr>
                <w:rFonts w:ascii="David" w:hAnsi="David" w:cs="David"/>
                <w:color w:val="000000"/>
              </w:rPr>
              <w:t>2.7</w:t>
            </w:r>
          </w:p>
        </w:tc>
        <w:tc>
          <w:tcPr>
            <w:tcW w:w="1013" w:type="dxa"/>
            <w:tcBorders>
              <w:left w:val="single" w:sz="4" w:space="0" w:color="auto"/>
            </w:tcBorders>
            <w:shd w:val="clear" w:color="auto" w:fill="auto"/>
            <w:noWrap/>
            <w:hideMark/>
          </w:tcPr>
          <w:p w:rsidR="00725CDA" w:rsidRPr="00401ECF" w:rsidRDefault="00725CDA" w:rsidP="00725CDA">
            <w:pPr>
              <w:pStyle w:val="Tablenc"/>
              <w:bidi w:val="0"/>
              <w:ind w:right="340"/>
              <w:jc w:val="right"/>
              <w:rPr>
                <w:rFonts w:ascii="David" w:hAnsi="David" w:cs="David"/>
                <w:sz w:val="22"/>
                <w:szCs w:val="22"/>
                <w:highlight w:val="yellow"/>
              </w:rPr>
            </w:pPr>
            <w:r>
              <w:rPr>
                <w:rFonts w:ascii="David" w:hAnsi="David" w:cs="David"/>
                <w:color w:val="000000"/>
              </w:rPr>
              <w:t>-7.5</w:t>
            </w:r>
          </w:p>
        </w:tc>
        <w:tc>
          <w:tcPr>
            <w:tcW w:w="1078" w:type="dxa"/>
            <w:tcBorders>
              <w:right w:val="single" w:sz="4" w:space="0" w:color="auto"/>
            </w:tcBorders>
            <w:shd w:val="clear" w:color="auto" w:fill="auto"/>
            <w:noWrap/>
            <w:hideMark/>
          </w:tcPr>
          <w:p w:rsidR="00725CDA" w:rsidRPr="00401ECF" w:rsidRDefault="00725CDA" w:rsidP="00725CDA">
            <w:pPr>
              <w:pStyle w:val="Tablenc"/>
              <w:bidi w:val="0"/>
              <w:ind w:right="340"/>
              <w:jc w:val="right"/>
              <w:rPr>
                <w:rFonts w:ascii="David" w:hAnsi="David" w:cs="David"/>
                <w:color w:val="4F81BD" w:themeColor="accent1"/>
                <w:sz w:val="22"/>
                <w:szCs w:val="22"/>
                <w:highlight w:val="yellow"/>
              </w:rPr>
            </w:pPr>
            <w:r>
              <w:rPr>
                <w:rFonts w:ascii="David" w:hAnsi="David" w:cs="David"/>
                <w:color w:val="333399"/>
              </w:rPr>
              <w:t>6.0</w:t>
            </w:r>
          </w:p>
        </w:tc>
        <w:tc>
          <w:tcPr>
            <w:tcW w:w="1032" w:type="dxa"/>
            <w:tcBorders>
              <w:left w:val="single" w:sz="4" w:space="0" w:color="auto"/>
            </w:tcBorders>
          </w:tcPr>
          <w:p w:rsidR="00725CDA" w:rsidRPr="00401ECF" w:rsidRDefault="00725CDA" w:rsidP="00725CDA">
            <w:pPr>
              <w:pStyle w:val="Tablenc"/>
              <w:bidi w:val="0"/>
              <w:ind w:right="340"/>
              <w:jc w:val="right"/>
              <w:rPr>
                <w:rFonts w:ascii="David" w:hAnsi="David" w:cs="David"/>
                <w:sz w:val="22"/>
                <w:szCs w:val="22"/>
                <w:highlight w:val="yellow"/>
                <w:rtl/>
              </w:rPr>
            </w:pPr>
            <w:r>
              <w:rPr>
                <w:rFonts w:ascii="David" w:hAnsi="David" w:cs="David"/>
                <w:color w:val="000000"/>
              </w:rPr>
              <w:t>4.5</w:t>
            </w:r>
          </w:p>
        </w:tc>
        <w:tc>
          <w:tcPr>
            <w:tcW w:w="1130" w:type="dxa"/>
            <w:tcBorders>
              <w:left w:val="single" w:sz="4" w:space="0" w:color="auto"/>
              <w:right w:val="single" w:sz="8" w:space="0" w:color="auto"/>
            </w:tcBorders>
          </w:tcPr>
          <w:p w:rsidR="00725CDA" w:rsidRPr="00401ECF" w:rsidRDefault="00725CDA" w:rsidP="00725CDA">
            <w:pPr>
              <w:pStyle w:val="Tablenc"/>
              <w:bidi w:val="0"/>
              <w:ind w:right="340"/>
              <w:jc w:val="right"/>
              <w:rPr>
                <w:rFonts w:ascii="David" w:hAnsi="David" w:cs="David"/>
                <w:color w:val="000000"/>
                <w:highlight w:val="yellow"/>
              </w:rPr>
            </w:pPr>
            <w:r>
              <w:rPr>
                <w:rFonts w:ascii="David" w:hAnsi="David" w:cs="David"/>
                <w:color w:val="333399"/>
              </w:rPr>
              <w:t>-1.0</w:t>
            </w:r>
          </w:p>
        </w:tc>
      </w:tr>
      <w:tr w:rsidR="00725CDA" w:rsidRPr="0086400E" w:rsidTr="00C53A95">
        <w:trPr>
          <w:trHeight w:val="300"/>
          <w:jc w:val="center"/>
        </w:trPr>
        <w:tc>
          <w:tcPr>
            <w:tcW w:w="4253" w:type="dxa"/>
            <w:tcBorders>
              <w:left w:val="single" w:sz="8" w:space="0" w:color="auto"/>
              <w:right w:val="single" w:sz="4" w:space="0" w:color="auto"/>
            </w:tcBorders>
            <w:shd w:val="clear" w:color="auto" w:fill="auto"/>
            <w:hideMark/>
          </w:tcPr>
          <w:p w:rsidR="00725CDA" w:rsidRPr="0086400E" w:rsidRDefault="00725CDA" w:rsidP="00920B70">
            <w:pPr>
              <w:pStyle w:val="Tablenc"/>
              <w:jc w:val="left"/>
              <w:rPr>
                <w:rFonts w:ascii="David" w:hAnsi="David" w:cs="David"/>
                <w:sz w:val="22"/>
                <w:szCs w:val="22"/>
                <w:rtl/>
              </w:rPr>
            </w:pPr>
            <w:r>
              <w:rPr>
                <w:rFonts w:ascii="David" w:hAnsi="David" w:cs="David"/>
                <w:color w:val="000000"/>
                <w:sz w:val="22"/>
                <w:szCs w:val="22"/>
                <w:rtl/>
              </w:rPr>
              <w:t>הצריכה</w:t>
            </w:r>
            <w:r>
              <w:rPr>
                <w:rFonts w:ascii="David" w:hAnsi="David" w:cs="David"/>
                <w:color w:val="000000"/>
                <w:sz w:val="22"/>
                <w:szCs w:val="22"/>
              </w:rPr>
              <w:t xml:space="preserve"> </w:t>
            </w:r>
            <w:r>
              <w:rPr>
                <w:rFonts w:ascii="David" w:hAnsi="David" w:cs="David"/>
                <w:color w:val="000000"/>
                <w:sz w:val="22"/>
                <w:szCs w:val="22"/>
                <w:rtl/>
              </w:rPr>
              <w:t>הציבורית</w:t>
            </w:r>
            <w:r>
              <w:rPr>
                <w:rFonts w:ascii="David" w:hAnsi="David" w:cs="David"/>
                <w:color w:val="000000"/>
                <w:sz w:val="22"/>
                <w:szCs w:val="22"/>
              </w:rPr>
              <w:t xml:space="preserve"> (</w:t>
            </w:r>
            <w:r>
              <w:rPr>
                <w:rFonts w:ascii="David" w:hAnsi="David" w:cs="David"/>
                <w:color w:val="000000"/>
                <w:sz w:val="22"/>
                <w:szCs w:val="22"/>
                <w:rtl/>
              </w:rPr>
              <w:t>ללא</w:t>
            </w:r>
            <w:r>
              <w:rPr>
                <w:rFonts w:ascii="David" w:hAnsi="David" w:cs="David"/>
                <w:color w:val="000000"/>
                <w:sz w:val="22"/>
                <w:szCs w:val="22"/>
              </w:rPr>
              <w:t xml:space="preserve"> </w:t>
            </w:r>
            <w:r>
              <w:rPr>
                <w:rFonts w:ascii="David" w:hAnsi="David" w:cs="David"/>
                <w:color w:val="000000"/>
                <w:sz w:val="22"/>
                <w:szCs w:val="22"/>
                <w:rtl/>
              </w:rPr>
              <w:t>יבוא</w:t>
            </w:r>
            <w:r>
              <w:rPr>
                <w:rFonts w:ascii="David" w:hAnsi="David" w:cs="David"/>
                <w:color w:val="000000"/>
                <w:sz w:val="22"/>
                <w:szCs w:val="22"/>
              </w:rPr>
              <w:t xml:space="preserve"> </w:t>
            </w:r>
            <w:r>
              <w:rPr>
                <w:rFonts w:ascii="David" w:hAnsi="David" w:cs="David"/>
                <w:color w:val="000000"/>
                <w:sz w:val="22"/>
                <w:szCs w:val="22"/>
                <w:rtl/>
              </w:rPr>
              <w:t>ביטחוני</w:t>
            </w:r>
            <w:r w:rsidR="00920B70">
              <w:rPr>
                <w:rFonts w:ascii="David" w:hAnsi="David" w:cs="David"/>
                <w:color w:val="000000"/>
                <w:sz w:val="22"/>
                <w:szCs w:val="22"/>
              </w:rPr>
              <w:t>(</w:t>
            </w:r>
          </w:p>
        </w:tc>
        <w:tc>
          <w:tcPr>
            <w:tcW w:w="992" w:type="dxa"/>
            <w:tcBorders>
              <w:left w:val="single" w:sz="4" w:space="0" w:color="auto"/>
            </w:tcBorders>
            <w:shd w:val="clear" w:color="auto" w:fill="D9D9D9" w:themeFill="background1" w:themeFillShade="D9"/>
            <w:noWrap/>
            <w:hideMark/>
          </w:tcPr>
          <w:p w:rsidR="00725CDA" w:rsidRPr="00437165" w:rsidRDefault="00725CDA" w:rsidP="00725CDA">
            <w:pPr>
              <w:pStyle w:val="Tablenc"/>
              <w:bidi w:val="0"/>
              <w:ind w:right="340"/>
              <w:jc w:val="right"/>
              <w:rPr>
                <w:rFonts w:ascii="David" w:hAnsi="David" w:cs="David"/>
                <w:sz w:val="22"/>
                <w:szCs w:val="22"/>
              </w:rPr>
            </w:pPr>
            <w:r>
              <w:rPr>
                <w:rFonts w:ascii="David" w:hAnsi="David" w:cs="David"/>
                <w:color w:val="000000"/>
              </w:rPr>
              <w:t>2.7</w:t>
            </w:r>
          </w:p>
        </w:tc>
        <w:tc>
          <w:tcPr>
            <w:tcW w:w="1013" w:type="dxa"/>
            <w:tcBorders>
              <w:left w:val="single" w:sz="4" w:space="0" w:color="auto"/>
            </w:tcBorders>
            <w:shd w:val="clear" w:color="auto" w:fill="auto"/>
            <w:noWrap/>
            <w:hideMark/>
          </w:tcPr>
          <w:p w:rsidR="00725CDA" w:rsidRPr="00401ECF" w:rsidRDefault="00725CDA" w:rsidP="00725CDA">
            <w:pPr>
              <w:pStyle w:val="Tablenc"/>
              <w:bidi w:val="0"/>
              <w:ind w:right="340"/>
              <w:jc w:val="right"/>
              <w:rPr>
                <w:rFonts w:ascii="David" w:hAnsi="David" w:cs="David"/>
                <w:sz w:val="22"/>
                <w:szCs w:val="22"/>
                <w:highlight w:val="yellow"/>
              </w:rPr>
            </w:pPr>
            <w:r>
              <w:rPr>
                <w:rFonts w:ascii="David" w:hAnsi="David" w:cs="David"/>
                <w:color w:val="000000"/>
              </w:rPr>
              <w:t>7.0</w:t>
            </w:r>
          </w:p>
        </w:tc>
        <w:tc>
          <w:tcPr>
            <w:tcW w:w="1078" w:type="dxa"/>
            <w:tcBorders>
              <w:right w:val="single" w:sz="4" w:space="0" w:color="auto"/>
            </w:tcBorders>
            <w:shd w:val="clear" w:color="auto" w:fill="auto"/>
            <w:noWrap/>
            <w:hideMark/>
          </w:tcPr>
          <w:p w:rsidR="00725CDA" w:rsidRPr="00401ECF" w:rsidRDefault="00725CDA" w:rsidP="00725CDA">
            <w:pPr>
              <w:pStyle w:val="Tablenc"/>
              <w:bidi w:val="0"/>
              <w:ind w:right="340"/>
              <w:jc w:val="right"/>
              <w:rPr>
                <w:rFonts w:ascii="David" w:hAnsi="David" w:cs="David"/>
                <w:color w:val="4F81BD" w:themeColor="accent1"/>
                <w:sz w:val="22"/>
                <w:szCs w:val="22"/>
                <w:highlight w:val="yellow"/>
              </w:rPr>
            </w:pPr>
            <w:r>
              <w:rPr>
                <w:rFonts w:ascii="David" w:hAnsi="David" w:cs="David"/>
                <w:color w:val="333399"/>
              </w:rPr>
              <w:t>2.5</w:t>
            </w:r>
          </w:p>
        </w:tc>
        <w:tc>
          <w:tcPr>
            <w:tcW w:w="1032" w:type="dxa"/>
            <w:tcBorders>
              <w:left w:val="single" w:sz="4" w:space="0" w:color="auto"/>
            </w:tcBorders>
          </w:tcPr>
          <w:p w:rsidR="00725CDA" w:rsidRPr="00401ECF" w:rsidRDefault="00725CDA" w:rsidP="00725CDA">
            <w:pPr>
              <w:pStyle w:val="Tablenc"/>
              <w:bidi w:val="0"/>
              <w:ind w:right="340"/>
              <w:jc w:val="right"/>
              <w:rPr>
                <w:rFonts w:ascii="David" w:hAnsi="David" w:cs="David"/>
                <w:sz w:val="22"/>
                <w:szCs w:val="22"/>
                <w:highlight w:val="yellow"/>
              </w:rPr>
            </w:pPr>
            <w:r>
              <w:rPr>
                <w:rFonts w:ascii="David" w:hAnsi="David" w:cs="David"/>
                <w:color w:val="000000"/>
              </w:rPr>
              <w:t>1.0</w:t>
            </w:r>
          </w:p>
        </w:tc>
        <w:tc>
          <w:tcPr>
            <w:tcW w:w="1130" w:type="dxa"/>
            <w:tcBorders>
              <w:left w:val="single" w:sz="4" w:space="0" w:color="auto"/>
              <w:right w:val="single" w:sz="8" w:space="0" w:color="auto"/>
            </w:tcBorders>
          </w:tcPr>
          <w:p w:rsidR="00725CDA" w:rsidRPr="00401ECF" w:rsidRDefault="00725CDA" w:rsidP="00725CDA">
            <w:pPr>
              <w:pStyle w:val="Tablenc"/>
              <w:bidi w:val="0"/>
              <w:ind w:right="340"/>
              <w:jc w:val="right"/>
              <w:rPr>
                <w:rFonts w:ascii="David" w:hAnsi="David" w:cs="David"/>
                <w:color w:val="000000"/>
                <w:highlight w:val="yellow"/>
              </w:rPr>
            </w:pPr>
            <w:r>
              <w:rPr>
                <w:rFonts w:ascii="David" w:hAnsi="David" w:cs="David"/>
                <w:color w:val="333399"/>
              </w:rPr>
              <w:t>-1.5</w:t>
            </w:r>
          </w:p>
        </w:tc>
      </w:tr>
      <w:tr w:rsidR="00725CDA" w:rsidRPr="0086400E" w:rsidTr="00C53A95">
        <w:trPr>
          <w:trHeight w:val="300"/>
          <w:jc w:val="center"/>
        </w:trPr>
        <w:tc>
          <w:tcPr>
            <w:tcW w:w="4253" w:type="dxa"/>
            <w:tcBorders>
              <w:left w:val="single" w:sz="8" w:space="0" w:color="auto"/>
              <w:right w:val="single" w:sz="4" w:space="0" w:color="auto"/>
            </w:tcBorders>
            <w:shd w:val="clear" w:color="auto" w:fill="auto"/>
            <w:hideMark/>
          </w:tcPr>
          <w:p w:rsidR="00725CDA" w:rsidRPr="0086400E" w:rsidRDefault="00725CDA" w:rsidP="00920B70">
            <w:pPr>
              <w:pStyle w:val="Tablenc"/>
              <w:jc w:val="left"/>
              <w:rPr>
                <w:rFonts w:ascii="David" w:hAnsi="David" w:cs="David"/>
                <w:sz w:val="22"/>
                <w:szCs w:val="22"/>
                <w:rtl/>
              </w:rPr>
            </w:pPr>
            <w:r>
              <w:rPr>
                <w:rFonts w:ascii="David" w:hAnsi="David" w:cs="David"/>
                <w:color w:val="000000"/>
                <w:sz w:val="22"/>
                <w:szCs w:val="22"/>
                <w:rtl/>
              </w:rPr>
              <w:t>היצוא</w:t>
            </w:r>
            <w:r>
              <w:rPr>
                <w:rFonts w:ascii="David" w:hAnsi="David" w:cs="David"/>
                <w:color w:val="000000"/>
                <w:sz w:val="22"/>
                <w:szCs w:val="22"/>
              </w:rPr>
              <w:t xml:space="preserve"> (</w:t>
            </w:r>
            <w:r>
              <w:rPr>
                <w:rFonts w:ascii="David" w:hAnsi="David" w:cs="David"/>
                <w:color w:val="000000"/>
                <w:sz w:val="22"/>
                <w:szCs w:val="22"/>
                <w:rtl/>
              </w:rPr>
              <w:t>ללא</w:t>
            </w:r>
            <w:r>
              <w:rPr>
                <w:rFonts w:ascii="David" w:hAnsi="David" w:cs="David"/>
                <w:color w:val="000000"/>
                <w:sz w:val="22"/>
                <w:szCs w:val="22"/>
              </w:rPr>
              <w:t xml:space="preserve"> </w:t>
            </w:r>
            <w:r>
              <w:rPr>
                <w:rFonts w:ascii="David" w:hAnsi="David" w:cs="David"/>
                <w:color w:val="000000"/>
                <w:sz w:val="22"/>
                <w:szCs w:val="22"/>
                <w:rtl/>
              </w:rPr>
              <w:t>יהלומים</w:t>
            </w:r>
            <w:r>
              <w:rPr>
                <w:rFonts w:ascii="David" w:hAnsi="David" w:cs="David"/>
                <w:color w:val="000000"/>
                <w:sz w:val="22"/>
                <w:szCs w:val="22"/>
              </w:rPr>
              <w:t xml:space="preserve"> </w:t>
            </w:r>
            <w:r>
              <w:rPr>
                <w:rFonts w:ascii="David" w:hAnsi="David" w:cs="David"/>
                <w:color w:val="000000"/>
                <w:sz w:val="22"/>
                <w:szCs w:val="22"/>
                <w:rtl/>
              </w:rPr>
              <w:t>והזנק</w:t>
            </w:r>
            <w:r w:rsidR="00920B70">
              <w:rPr>
                <w:rFonts w:ascii="David" w:hAnsi="David" w:cs="David"/>
                <w:color w:val="000000"/>
                <w:sz w:val="22"/>
                <w:szCs w:val="22"/>
              </w:rPr>
              <w:t>(</w:t>
            </w:r>
          </w:p>
        </w:tc>
        <w:tc>
          <w:tcPr>
            <w:tcW w:w="992" w:type="dxa"/>
            <w:tcBorders>
              <w:left w:val="single" w:sz="4" w:space="0" w:color="auto"/>
            </w:tcBorders>
            <w:shd w:val="clear" w:color="auto" w:fill="D9D9D9" w:themeFill="background1" w:themeFillShade="D9"/>
            <w:noWrap/>
            <w:hideMark/>
          </w:tcPr>
          <w:p w:rsidR="00725CDA" w:rsidRPr="00437165" w:rsidRDefault="00725CDA" w:rsidP="00725CDA">
            <w:pPr>
              <w:pStyle w:val="Tablenc"/>
              <w:bidi w:val="0"/>
              <w:ind w:right="340"/>
              <w:jc w:val="right"/>
              <w:rPr>
                <w:rFonts w:ascii="David" w:hAnsi="David" w:cs="David"/>
                <w:sz w:val="22"/>
                <w:szCs w:val="22"/>
              </w:rPr>
            </w:pPr>
            <w:r>
              <w:rPr>
                <w:rFonts w:ascii="David" w:hAnsi="David" w:cs="David"/>
                <w:color w:val="000000"/>
              </w:rPr>
              <w:t>5.5</w:t>
            </w:r>
          </w:p>
        </w:tc>
        <w:tc>
          <w:tcPr>
            <w:tcW w:w="1013" w:type="dxa"/>
            <w:tcBorders>
              <w:left w:val="single" w:sz="4" w:space="0" w:color="auto"/>
            </w:tcBorders>
            <w:shd w:val="clear" w:color="auto" w:fill="auto"/>
            <w:noWrap/>
            <w:hideMark/>
          </w:tcPr>
          <w:p w:rsidR="00725CDA" w:rsidRPr="00401ECF" w:rsidRDefault="00725CDA" w:rsidP="00725CDA">
            <w:pPr>
              <w:pStyle w:val="Tablenc"/>
              <w:bidi w:val="0"/>
              <w:ind w:right="340"/>
              <w:jc w:val="right"/>
              <w:rPr>
                <w:rFonts w:ascii="David" w:hAnsi="David" w:cs="David"/>
                <w:sz w:val="22"/>
                <w:szCs w:val="22"/>
                <w:highlight w:val="yellow"/>
              </w:rPr>
            </w:pPr>
            <w:r>
              <w:rPr>
                <w:rFonts w:ascii="David" w:hAnsi="David" w:cs="David"/>
                <w:color w:val="000000"/>
              </w:rPr>
              <w:t>-4.0</w:t>
            </w:r>
          </w:p>
        </w:tc>
        <w:tc>
          <w:tcPr>
            <w:tcW w:w="1078" w:type="dxa"/>
            <w:tcBorders>
              <w:right w:val="single" w:sz="4" w:space="0" w:color="auto"/>
            </w:tcBorders>
            <w:shd w:val="clear" w:color="auto" w:fill="auto"/>
            <w:noWrap/>
          </w:tcPr>
          <w:p w:rsidR="00725CDA" w:rsidRPr="00401ECF" w:rsidRDefault="00725CDA" w:rsidP="00725CDA">
            <w:pPr>
              <w:pStyle w:val="Tablenc"/>
              <w:bidi w:val="0"/>
              <w:ind w:right="340"/>
              <w:jc w:val="right"/>
              <w:rPr>
                <w:rFonts w:ascii="David" w:hAnsi="David" w:cs="David"/>
                <w:color w:val="4F81BD" w:themeColor="accent1"/>
                <w:sz w:val="22"/>
                <w:szCs w:val="22"/>
                <w:highlight w:val="yellow"/>
              </w:rPr>
            </w:pPr>
            <w:r>
              <w:rPr>
                <w:rFonts w:ascii="David" w:hAnsi="David" w:cs="David"/>
                <w:color w:val="333399"/>
              </w:rPr>
              <w:t>9.0</w:t>
            </w:r>
          </w:p>
        </w:tc>
        <w:tc>
          <w:tcPr>
            <w:tcW w:w="1032" w:type="dxa"/>
            <w:tcBorders>
              <w:left w:val="single" w:sz="4" w:space="0" w:color="auto"/>
            </w:tcBorders>
          </w:tcPr>
          <w:p w:rsidR="00725CDA" w:rsidRPr="00401ECF" w:rsidRDefault="00725CDA" w:rsidP="00725CDA">
            <w:pPr>
              <w:pStyle w:val="Tablenc"/>
              <w:bidi w:val="0"/>
              <w:ind w:right="340"/>
              <w:jc w:val="right"/>
              <w:rPr>
                <w:rFonts w:ascii="David" w:hAnsi="David" w:cs="David"/>
                <w:sz w:val="22"/>
                <w:szCs w:val="22"/>
                <w:highlight w:val="yellow"/>
              </w:rPr>
            </w:pPr>
            <w:r>
              <w:rPr>
                <w:rFonts w:ascii="David" w:hAnsi="David" w:cs="David"/>
                <w:color w:val="000000"/>
              </w:rPr>
              <w:t>4.0</w:t>
            </w:r>
          </w:p>
        </w:tc>
        <w:tc>
          <w:tcPr>
            <w:tcW w:w="1130" w:type="dxa"/>
            <w:tcBorders>
              <w:left w:val="single" w:sz="4" w:space="0" w:color="auto"/>
              <w:right w:val="single" w:sz="8" w:space="0" w:color="auto"/>
            </w:tcBorders>
          </w:tcPr>
          <w:p w:rsidR="00725CDA" w:rsidRPr="00401ECF" w:rsidRDefault="00725CDA" w:rsidP="00725CDA">
            <w:pPr>
              <w:pStyle w:val="Tablenc"/>
              <w:bidi w:val="0"/>
              <w:ind w:right="340"/>
              <w:jc w:val="right"/>
              <w:rPr>
                <w:rFonts w:ascii="David" w:hAnsi="David" w:cs="David"/>
                <w:color w:val="000000"/>
                <w:highlight w:val="yellow"/>
              </w:rPr>
            </w:pPr>
            <w:r>
              <w:rPr>
                <w:rFonts w:ascii="David" w:hAnsi="David" w:cs="David"/>
                <w:color w:val="333399"/>
              </w:rPr>
              <w:t>-3.5</w:t>
            </w:r>
          </w:p>
        </w:tc>
      </w:tr>
      <w:tr w:rsidR="00725CDA" w:rsidRPr="0086400E" w:rsidTr="00C53A95">
        <w:trPr>
          <w:trHeight w:val="300"/>
          <w:jc w:val="center"/>
        </w:trPr>
        <w:tc>
          <w:tcPr>
            <w:tcW w:w="4253" w:type="dxa"/>
            <w:tcBorders>
              <w:left w:val="single" w:sz="8" w:space="0" w:color="auto"/>
              <w:bottom w:val="single" w:sz="4" w:space="0" w:color="auto"/>
              <w:right w:val="single" w:sz="4" w:space="0" w:color="auto"/>
            </w:tcBorders>
            <w:shd w:val="clear" w:color="auto" w:fill="auto"/>
            <w:hideMark/>
          </w:tcPr>
          <w:p w:rsidR="00725CDA" w:rsidRPr="0086400E" w:rsidRDefault="00725CDA" w:rsidP="00920B70">
            <w:pPr>
              <w:pStyle w:val="Tablenc"/>
              <w:jc w:val="left"/>
              <w:rPr>
                <w:rFonts w:ascii="David" w:hAnsi="David" w:cs="David"/>
                <w:sz w:val="22"/>
                <w:szCs w:val="22"/>
                <w:rtl/>
              </w:rPr>
            </w:pPr>
            <w:r>
              <w:rPr>
                <w:rFonts w:ascii="David" w:hAnsi="David" w:cs="David"/>
                <w:color w:val="000000"/>
                <w:sz w:val="22"/>
                <w:szCs w:val="22"/>
                <w:rtl/>
              </w:rPr>
              <w:t>היבוא</w:t>
            </w:r>
            <w:r>
              <w:rPr>
                <w:rFonts w:ascii="David" w:hAnsi="David" w:cs="David"/>
                <w:color w:val="000000"/>
                <w:sz w:val="22"/>
                <w:szCs w:val="22"/>
              </w:rPr>
              <w:t xml:space="preserve"> </w:t>
            </w:r>
            <w:r>
              <w:rPr>
                <w:rFonts w:ascii="David" w:hAnsi="David" w:cs="David"/>
                <w:color w:val="000000"/>
                <w:sz w:val="22"/>
                <w:szCs w:val="22"/>
                <w:rtl/>
              </w:rPr>
              <w:t>האזרחי</w:t>
            </w:r>
            <w:r>
              <w:rPr>
                <w:rFonts w:ascii="David" w:hAnsi="David" w:cs="David"/>
                <w:color w:val="000000"/>
                <w:sz w:val="22"/>
                <w:szCs w:val="22"/>
              </w:rPr>
              <w:t xml:space="preserve"> (</w:t>
            </w:r>
            <w:r>
              <w:rPr>
                <w:rFonts w:ascii="David" w:hAnsi="David" w:cs="David"/>
                <w:color w:val="000000"/>
                <w:sz w:val="22"/>
                <w:szCs w:val="22"/>
                <w:rtl/>
              </w:rPr>
              <w:t>ללא</w:t>
            </w:r>
            <w:r>
              <w:rPr>
                <w:rFonts w:ascii="David" w:hAnsi="David" w:cs="David"/>
                <w:color w:val="000000"/>
                <w:sz w:val="22"/>
                <w:szCs w:val="22"/>
              </w:rPr>
              <w:t xml:space="preserve"> </w:t>
            </w:r>
            <w:r>
              <w:rPr>
                <w:rFonts w:ascii="David" w:hAnsi="David" w:cs="David"/>
                <w:color w:val="000000"/>
                <w:sz w:val="22"/>
                <w:szCs w:val="22"/>
                <w:rtl/>
              </w:rPr>
              <w:t>יהלומים</w:t>
            </w:r>
            <w:r>
              <w:rPr>
                <w:rFonts w:ascii="David" w:hAnsi="David" w:cs="David"/>
                <w:color w:val="000000"/>
                <w:sz w:val="22"/>
                <w:szCs w:val="22"/>
              </w:rPr>
              <w:t xml:space="preserve">, </w:t>
            </w:r>
            <w:proofErr w:type="spellStart"/>
            <w:r>
              <w:rPr>
                <w:rFonts w:ascii="David" w:hAnsi="David" w:cs="David"/>
                <w:color w:val="000000"/>
                <w:sz w:val="22"/>
                <w:szCs w:val="22"/>
                <w:rtl/>
              </w:rPr>
              <w:t>אוניות</w:t>
            </w:r>
            <w:proofErr w:type="spellEnd"/>
            <w:r>
              <w:rPr>
                <w:rFonts w:ascii="David" w:hAnsi="David" w:cs="David"/>
                <w:color w:val="000000"/>
                <w:sz w:val="22"/>
                <w:szCs w:val="22"/>
              </w:rPr>
              <w:t xml:space="preserve"> </w:t>
            </w:r>
            <w:r>
              <w:rPr>
                <w:rFonts w:ascii="David" w:hAnsi="David" w:cs="David"/>
                <w:color w:val="000000"/>
                <w:sz w:val="22"/>
                <w:szCs w:val="22"/>
                <w:rtl/>
              </w:rPr>
              <w:t>ומטוסים</w:t>
            </w:r>
            <w:r w:rsidR="00920B70">
              <w:rPr>
                <w:rFonts w:ascii="David" w:hAnsi="David" w:cs="David"/>
                <w:color w:val="000000"/>
                <w:sz w:val="22"/>
                <w:szCs w:val="22"/>
              </w:rPr>
              <w:t>(</w:t>
            </w:r>
          </w:p>
        </w:tc>
        <w:tc>
          <w:tcPr>
            <w:tcW w:w="992" w:type="dxa"/>
            <w:tcBorders>
              <w:left w:val="single" w:sz="4" w:space="0" w:color="auto"/>
              <w:bottom w:val="single" w:sz="4" w:space="0" w:color="auto"/>
            </w:tcBorders>
            <w:shd w:val="clear" w:color="auto" w:fill="D9D9D9" w:themeFill="background1" w:themeFillShade="D9"/>
            <w:noWrap/>
            <w:hideMark/>
          </w:tcPr>
          <w:p w:rsidR="00725CDA" w:rsidRPr="00437165" w:rsidRDefault="00725CDA" w:rsidP="00725CDA">
            <w:pPr>
              <w:pStyle w:val="Tablenc"/>
              <w:bidi w:val="0"/>
              <w:ind w:right="340"/>
              <w:jc w:val="right"/>
              <w:rPr>
                <w:rFonts w:ascii="David" w:hAnsi="David" w:cs="David"/>
                <w:sz w:val="22"/>
                <w:szCs w:val="22"/>
              </w:rPr>
            </w:pPr>
            <w:r>
              <w:rPr>
                <w:rFonts w:ascii="David" w:hAnsi="David" w:cs="David"/>
                <w:color w:val="000000"/>
              </w:rPr>
              <w:t>5.0</w:t>
            </w:r>
          </w:p>
        </w:tc>
        <w:tc>
          <w:tcPr>
            <w:tcW w:w="1013" w:type="dxa"/>
            <w:tcBorders>
              <w:left w:val="single" w:sz="4" w:space="0" w:color="auto"/>
              <w:bottom w:val="single" w:sz="4" w:space="0" w:color="auto"/>
            </w:tcBorders>
            <w:shd w:val="clear" w:color="auto" w:fill="auto"/>
            <w:noWrap/>
            <w:hideMark/>
          </w:tcPr>
          <w:p w:rsidR="00725CDA" w:rsidRPr="00401ECF" w:rsidRDefault="00725CDA" w:rsidP="00725CDA">
            <w:pPr>
              <w:pStyle w:val="Tablenc"/>
              <w:bidi w:val="0"/>
              <w:ind w:right="340"/>
              <w:jc w:val="right"/>
              <w:rPr>
                <w:rFonts w:ascii="David" w:hAnsi="David" w:cs="David"/>
                <w:sz w:val="22"/>
                <w:szCs w:val="22"/>
                <w:highlight w:val="yellow"/>
              </w:rPr>
            </w:pPr>
            <w:r>
              <w:rPr>
                <w:rFonts w:ascii="David" w:hAnsi="David" w:cs="David"/>
                <w:color w:val="000000"/>
              </w:rPr>
              <w:t>-7.5</w:t>
            </w:r>
          </w:p>
        </w:tc>
        <w:tc>
          <w:tcPr>
            <w:tcW w:w="1078" w:type="dxa"/>
            <w:tcBorders>
              <w:bottom w:val="single" w:sz="4" w:space="0" w:color="auto"/>
              <w:right w:val="single" w:sz="4" w:space="0" w:color="auto"/>
            </w:tcBorders>
            <w:shd w:val="clear" w:color="auto" w:fill="auto"/>
            <w:noWrap/>
            <w:hideMark/>
          </w:tcPr>
          <w:p w:rsidR="00725CDA" w:rsidRPr="00401ECF" w:rsidRDefault="00725CDA" w:rsidP="00725CDA">
            <w:pPr>
              <w:pStyle w:val="Tablenc"/>
              <w:bidi w:val="0"/>
              <w:ind w:right="340"/>
              <w:jc w:val="right"/>
              <w:rPr>
                <w:rFonts w:ascii="David" w:hAnsi="David" w:cs="David"/>
                <w:color w:val="4F81BD" w:themeColor="accent1"/>
                <w:sz w:val="22"/>
                <w:szCs w:val="22"/>
                <w:highlight w:val="yellow"/>
                <w:rtl/>
              </w:rPr>
            </w:pPr>
            <w:r>
              <w:rPr>
                <w:rFonts w:ascii="David" w:hAnsi="David" w:cs="David"/>
                <w:color w:val="333399"/>
              </w:rPr>
              <w:t>6.5</w:t>
            </w:r>
          </w:p>
        </w:tc>
        <w:tc>
          <w:tcPr>
            <w:tcW w:w="1032" w:type="dxa"/>
            <w:tcBorders>
              <w:left w:val="single" w:sz="4" w:space="0" w:color="auto"/>
              <w:bottom w:val="single" w:sz="4" w:space="0" w:color="auto"/>
            </w:tcBorders>
          </w:tcPr>
          <w:p w:rsidR="00725CDA" w:rsidRPr="00401ECF" w:rsidRDefault="00725CDA" w:rsidP="00725CDA">
            <w:pPr>
              <w:pStyle w:val="Tablenc"/>
              <w:bidi w:val="0"/>
              <w:ind w:right="340"/>
              <w:jc w:val="right"/>
              <w:rPr>
                <w:rFonts w:ascii="David" w:hAnsi="David" w:cs="David"/>
                <w:sz w:val="22"/>
                <w:szCs w:val="22"/>
                <w:highlight w:val="yellow"/>
                <w:rtl/>
              </w:rPr>
            </w:pPr>
            <w:r>
              <w:rPr>
                <w:rFonts w:ascii="David" w:hAnsi="David" w:cs="David"/>
                <w:color w:val="000000"/>
              </w:rPr>
              <w:t>7.0</w:t>
            </w:r>
          </w:p>
        </w:tc>
        <w:tc>
          <w:tcPr>
            <w:tcW w:w="1130" w:type="dxa"/>
            <w:tcBorders>
              <w:left w:val="single" w:sz="4" w:space="0" w:color="auto"/>
              <w:bottom w:val="single" w:sz="4" w:space="0" w:color="auto"/>
              <w:right w:val="single" w:sz="8" w:space="0" w:color="auto"/>
            </w:tcBorders>
          </w:tcPr>
          <w:p w:rsidR="00725CDA" w:rsidRPr="00401ECF" w:rsidRDefault="00725CDA" w:rsidP="00725CDA">
            <w:pPr>
              <w:pStyle w:val="Tablenc"/>
              <w:bidi w:val="0"/>
              <w:ind w:right="340"/>
              <w:jc w:val="right"/>
              <w:rPr>
                <w:rFonts w:ascii="David" w:hAnsi="David" w:cs="David"/>
                <w:color w:val="000000"/>
                <w:highlight w:val="yellow"/>
              </w:rPr>
            </w:pPr>
            <w:r>
              <w:rPr>
                <w:rFonts w:ascii="David" w:hAnsi="David" w:cs="David"/>
                <w:color w:val="333399"/>
              </w:rPr>
              <w:t>0.5</w:t>
            </w:r>
          </w:p>
        </w:tc>
      </w:tr>
      <w:tr w:rsidR="00725CDA" w:rsidRPr="0086400E" w:rsidTr="00C53A95">
        <w:trPr>
          <w:trHeight w:val="315"/>
          <w:jc w:val="center"/>
        </w:trPr>
        <w:tc>
          <w:tcPr>
            <w:tcW w:w="4253" w:type="dxa"/>
            <w:tcBorders>
              <w:top w:val="single" w:sz="4" w:space="0" w:color="auto"/>
              <w:left w:val="single" w:sz="8" w:space="0" w:color="auto"/>
              <w:bottom w:val="single" w:sz="4" w:space="0" w:color="auto"/>
              <w:right w:val="single" w:sz="4" w:space="0" w:color="auto"/>
            </w:tcBorders>
            <w:shd w:val="clear" w:color="auto" w:fill="auto"/>
            <w:hideMark/>
          </w:tcPr>
          <w:p w:rsidR="00725CDA" w:rsidRPr="0086400E" w:rsidRDefault="00725CDA" w:rsidP="00725CDA">
            <w:pPr>
              <w:pStyle w:val="Tablenc"/>
              <w:jc w:val="left"/>
              <w:rPr>
                <w:rFonts w:ascii="David" w:hAnsi="David" w:cs="David"/>
                <w:sz w:val="22"/>
                <w:szCs w:val="22"/>
                <w:rtl/>
              </w:rPr>
            </w:pPr>
            <w:r>
              <w:rPr>
                <w:rFonts w:ascii="David" w:hAnsi="David" w:cs="David" w:hint="cs"/>
                <w:color w:val="000000"/>
                <w:sz w:val="22"/>
                <w:szCs w:val="22"/>
                <w:rtl/>
              </w:rPr>
              <w:t xml:space="preserve">שיעור </w:t>
            </w:r>
            <w:r>
              <w:rPr>
                <w:rFonts w:ascii="David" w:hAnsi="David" w:cs="David"/>
                <w:color w:val="000000"/>
                <w:sz w:val="22"/>
                <w:szCs w:val="22"/>
                <w:rtl/>
              </w:rPr>
              <w:t>אבטלה</w:t>
            </w:r>
            <w:r>
              <w:rPr>
                <w:rFonts w:ascii="David" w:hAnsi="David" w:cs="David"/>
                <w:color w:val="000000"/>
                <w:sz w:val="22"/>
                <w:szCs w:val="22"/>
              </w:rPr>
              <w:t xml:space="preserve"> </w:t>
            </w:r>
            <w:r>
              <w:rPr>
                <w:rFonts w:ascii="David" w:hAnsi="David" w:cs="David"/>
                <w:color w:val="000000"/>
                <w:sz w:val="22"/>
                <w:szCs w:val="22"/>
                <w:rtl/>
              </w:rPr>
              <w:t>רחב</w:t>
            </w:r>
            <w:r>
              <w:rPr>
                <w:rFonts w:ascii="David" w:hAnsi="David" w:cs="David"/>
                <w:color w:val="000000"/>
                <w:sz w:val="22"/>
                <w:szCs w:val="22"/>
                <w:vertAlign w:val="superscript"/>
              </w:rPr>
              <w:t>2</w:t>
            </w:r>
          </w:p>
        </w:tc>
        <w:tc>
          <w:tcPr>
            <w:tcW w:w="992" w:type="dxa"/>
            <w:tcBorders>
              <w:top w:val="single" w:sz="4" w:space="0" w:color="auto"/>
              <w:left w:val="single" w:sz="4" w:space="0" w:color="auto"/>
              <w:bottom w:val="single" w:sz="4" w:space="0" w:color="auto"/>
            </w:tcBorders>
            <w:shd w:val="clear" w:color="auto" w:fill="D9D9D9" w:themeFill="background1" w:themeFillShade="D9"/>
            <w:noWrap/>
            <w:hideMark/>
          </w:tcPr>
          <w:p w:rsidR="00725CDA" w:rsidRPr="0086400E" w:rsidRDefault="00725CDA" w:rsidP="00725CDA">
            <w:pPr>
              <w:pStyle w:val="Tablenc"/>
              <w:bidi w:val="0"/>
              <w:ind w:right="340"/>
              <w:jc w:val="right"/>
              <w:rPr>
                <w:rFonts w:ascii="David" w:hAnsi="David" w:cs="David"/>
                <w:sz w:val="22"/>
                <w:szCs w:val="22"/>
                <w:rtl/>
              </w:rPr>
            </w:pPr>
            <w:r>
              <w:rPr>
                <w:rFonts w:ascii="David" w:hAnsi="David" w:cs="David"/>
                <w:color w:val="000000"/>
              </w:rPr>
              <w:t>3.7</w:t>
            </w:r>
          </w:p>
        </w:tc>
        <w:tc>
          <w:tcPr>
            <w:tcW w:w="1013" w:type="dxa"/>
            <w:tcBorders>
              <w:top w:val="single" w:sz="4" w:space="0" w:color="auto"/>
              <w:left w:val="single" w:sz="4" w:space="0" w:color="auto"/>
              <w:bottom w:val="single" w:sz="4" w:space="0" w:color="auto"/>
            </w:tcBorders>
            <w:shd w:val="clear" w:color="auto" w:fill="auto"/>
            <w:noWrap/>
            <w:hideMark/>
          </w:tcPr>
          <w:p w:rsidR="00725CDA" w:rsidRPr="00401ECF" w:rsidRDefault="00725CDA" w:rsidP="00725CDA">
            <w:pPr>
              <w:pStyle w:val="Tablenc"/>
              <w:bidi w:val="0"/>
              <w:ind w:right="340"/>
              <w:jc w:val="right"/>
              <w:rPr>
                <w:rFonts w:ascii="David" w:hAnsi="David" w:cs="David"/>
                <w:sz w:val="22"/>
                <w:szCs w:val="22"/>
                <w:highlight w:val="yellow"/>
              </w:rPr>
            </w:pPr>
            <w:r>
              <w:rPr>
                <w:rFonts w:ascii="David" w:hAnsi="David" w:cs="David" w:hint="cs"/>
                <w:color w:val="000000"/>
                <w:rtl/>
              </w:rPr>
              <w:t>11.6</w:t>
            </w:r>
          </w:p>
        </w:tc>
        <w:tc>
          <w:tcPr>
            <w:tcW w:w="1078" w:type="dxa"/>
            <w:tcBorders>
              <w:top w:val="single" w:sz="4" w:space="0" w:color="auto"/>
              <w:bottom w:val="single" w:sz="4" w:space="0" w:color="auto"/>
              <w:right w:val="single" w:sz="4" w:space="0" w:color="auto"/>
            </w:tcBorders>
            <w:shd w:val="clear" w:color="auto" w:fill="auto"/>
            <w:noWrap/>
            <w:hideMark/>
          </w:tcPr>
          <w:p w:rsidR="00725CDA" w:rsidRPr="00401ECF" w:rsidRDefault="00725CDA" w:rsidP="00725CDA">
            <w:pPr>
              <w:pStyle w:val="Tablenc"/>
              <w:bidi w:val="0"/>
              <w:ind w:right="340"/>
              <w:jc w:val="right"/>
              <w:rPr>
                <w:rFonts w:ascii="David" w:hAnsi="David" w:cs="David"/>
                <w:color w:val="4F81BD" w:themeColor="accent1"/>
                <w:sz w:val="22"/>
                <w:szCs w:val="22"/>
                <w:highlight w:val="yellow"/>
              </w:rPr>
            </w:pPr>
            <w:r>
              <w:rPr>
                <w:rFonts w:ascii="David" w:hAnsi="David" w:cs="David"/>
                <w:color w:val="333399"/>
              </w:rPr>
              <w:t>1.1</w:t>
            </w:r>
          </w:p>
        </w:tc>
        <w:tc>
          <w:tcPr>
            <w:tcW w:w="1032" w:type="dxa"/>
            <w:tcBorders>
              <w:top w:val="single" w:sz="4" w:space="0" w:color="auto"/>
              <w:left w:val="single" w:sz="4" w:space="0" w:color="auto"/>
              <w:bottom w:val="single" w:sz="4" w:space="0" w:color="auto"/>
            </w:tcBorders>
          </w:tcPr>
          <w:p w:rsidR="00725CDA" w:rsidRPr="00401ECF" w:rsidRDefault="00725CDA" w:rsidP="00725CDA">
            <w:pPr>
              <w:pStyle w:val="Tablenc"/>
              <w:bidi w:val="0"/>
              <w:ind w:right="340"/>
              <w:jc w:val="right"/>
              <w:rPr>
                <w:rFonts w:ascii="David" w:hAnsi="David" w:cs="David"/>
                <w:sz w:val="22"/>
                <w:szCs w:val="22"/>
                <w:highlight w:val="yellow"/>
              </w:rPr>
            </w:pPr>
            <w:r>
              <w:rPr>
                <w:rFonts w:ascii="David" w:hAnsi="David" w:cs="David"/>
                <w:color w:val="000000"/>
              </w:rPr>
              <w:t>7.</w:t>
            </w:r>
            <w:r>
              <w:rPr>
                <w:rFonts w:ascii="David" w:hAnsi="David" w:cs="David" w:hint="cs"/>
                <w:color w:val="000000"/>
                <w:rtl/>
              </w:rPr>
              <w:t>7</w:t>
            </w:r>
          </w:p>
        </w:tc>
        <w:tc>
          <w:tcPr>
            <w:tcW w:w="1130" w:type="dxa"/>
            <w:tcBorders>
              <w:top w:val="single" w:sz="4" w:space="0" w:color="auto"/>
              <w:left w:val="single" w:sz="4" w:space="0" w:color="auto"/>
              <w:bottom w:val="single" w:sz="4" w:space="0" w:color="auto"/>
              <w:right w:val="single" w:sz="8" w:space="0" w:color="auto"/>
            </w:tcBorders>
          </w:tcPr>
          <w:p w:rsidR="00725CDA" w:rsidRPr="00401ECF" w:rsidRDefault="002B6351" w:rsidP="00725CDA">
            <w:pPr>
              <w:pStyle w:val="Tablenc"/>
              <w:bidi w:val="0"/>
              <w:ind w:right="340"/>
              <w:jc w:val="right"/>
              <w:rPr>
                <w:rFonts w:ascii="David" w:hAnsi="David" w:cs="David"/>
                <w:color w:val="000000"/>
                <w:highlight w:val="yellow"/>
              </w:rPr>
            </w:pPr>
            <w:r>
              <w:rPr>
                <w:rFonts w:ascii="David" w:hAnsi="David" w:cs="David"/>
                <w:color w:val="333399"/>
              </w:rPr>
              <w:t>1.1</w:t>
            </w:r>
          </w:p>
        </w:tc>
      </w:tr>
      <w:tr w:rsidR="00725CDA" w:rsidRPr="0086400E" w:rsidTr="00C53A95">
        <w:trPr>
          <w:trHeight w:val="315"/>
          <w:jc w:val="center"/>
        </w:trPr>
        <w:tc>
          <w:tcPr>
            <w:tcW w:w="4253" w:type="dxa"/>
            <w:tcBorders>
              <w:left w:val="single" w:sz="8" w:space="0" w:color="auto"/>
              <w:bottom w:val="single" w:sz="8" w:space="0" w:color="auto"/>
              <w:right w:val="single" w:sz="4" w:space="0" w:color="auto"/>
            </w:tcBorders>
            <w:shd w:val="clear" w:color="auto" w:fill="auto"/>
          </w:tcPr>
          <w:p w:rsidR="00725CDA" w:rsidRPr="0086400E" w:rsidRDefault="00725CDA" w:rsidP="00725CDA">
            <w:pPr>
              <w:pStyle w:val="Tablenc"/>
              <w:rPr>
                <w:rFonts w:ascii="David" w:hAnsi="David" w:cs="David"/>
                <w:sz w:val="22"/>
                <w:szCs w:val="22"/>
                <w:rtl/>
              </w:rPr>
            </w:pPr>
            <w:r>
              <w:rPr>
                <w:rFonts w:ascii="David" w:hAnsi="David" w:cs="David"/>
                <w:color w:val="000000"/>
                <w:sz w:val="22"/>
                <w:szCs w:val="22"/>
                <w:rtl/>
              </w:rPr>
              <w:t>האינפלציה</w:t>
            </w:r>
            <w:r>
              <w:rPr>
                <w:rFonts w:ascii="David" w:hAnsi="David" w:cs="David"/>
                <w:color w:val="000000"/>
                <w:sz w:val="22"/>
                <w:szCs w:val="22"/>
                <w:vertAlign w:val="superscript"/>
              </w:rPr>
              <w:t>3</w:t>
            </w:r>
          </w:p>
        </w:tc>
        <w:tc>
          <w:tcPr>
            <w:tcW w:w="992" w:type="dxa"/>
            <w:tcBorders>
              <w:top w:val="single" w:sz="4" w:space="0" w:color="auto"/>
              <w:left w:val="single" w:sz="4" w:space="0" w:color="auto"/>
              <w:bottom w:val="single" w:sz="8" w:space="0" w:color="auto"/>
            </w:tcBorders>
            <w:shd w:val="clear" w:color="auto" w:fill="D9D9D9" w:themeFill="background1" w:themeFillShade="D9"/>
            <w:noWrap/>
          </w:tcPr>
          <w:p w:rsidR="00725CDA" w:rsidRPr="0086400E" w:rsidRDefault="00725CDA" w:rsidP="00725CDA">
            <w:pPr>
              <w:pStyle w:val="Tablenc"/>
              <w:bidi w:val="0"/>
              <w:ind w:right="340"/>
              <w:jc w:val="right"/>
              <w:rPr>
                <w:rFonts w:ascii="David" w:hAnsi="David" w:cs="David"/>
                <w:sz w:val="22"/>
                <w:szCs w:val="22"/>
              </w:rPr>
            </w:pPr>
            <w:r>
              <w:rPr>
                <w:rFonts w:ascii="David" w:hAnsi="David" w:cs="David"/>
                <w:color w:val="000000"/>
              </w:rPr>
              <w:t>0.4</w:t>
            </w:r>
          </w:p>
        </w:tc>
        <w:tc>
          <w:tcPr>
            <w:tcW w:w="1013" w:type="dxa"/>
            <w:tcBorders>
              <w:top w:val="single" w:sz="4" w:space="0" w:color="auto"/>
              <w:left w:val="single" w:sz="4" w:space="0" w:color="auto"/>
              <w:bottom w:val="single" w:sz="8" w:space="0" w:color="auto"/>
            </w:tcBorders>
            <w:shd w:val="clear" w:color="auto" w:fill="auto"/>
            <w:noWrap/>
          </w:tcPr>
          <w:p w:rsidR="00725CDA" w:rsidRPr="0086400E" w:rsidRDefault="00725CDA" w:rsidP="00725CDA">
            <w:pPr>
              <w:pStyle w:val="Tablenc"/>
              <w:bidi w:val="0"/>
              <w:ind w:right="340"/>
              <w:jc w:val="right"/>
              <w:rPr>
                <w:rFonts w:ascii="David" w:hAnsi="David" w:cs="David"/>
                <w:sz w:val="22"/>
                <w:szCs w:val="22"/>
                <w:rtl/>
              </w:rPr>
            </w:pPr>
            <w:r>
              <w:rPr>
                <w:rFonts w:ascii="David" w:hAnsi="David" w:cs="David"/>
                <w:color w:val="000000"/>
              </w:rPr>
              <w:t>-1.0</w:t>
            </w:r>
          </w:p>
        </w:tc>
        <w:tc>
          <w:tcPr>
            <w:tcW w:w="1078" w:type="dxa"/>
            <w:tcBorders>
              <w:top w:val="single" w:sz="4" w:space="0" w:color="auto"/>
              <w:bottom w:val="single" w:sz="8" w:space="0" w:color="auto"/>
              <w:right w:val="single" w:sz="4" w:space="0" w:color="auto"/>
            </w:tcBorders>
            <w:shd w:val="clear" w:color="auto" w:fill="auto"/>
            <w:noWrap/>
          </w:tcPr>
          <w:p w:rsidR="00725CDA" w:rsidRPr="0086400E" w:rsidRDefault="00725CDA" w:rsidP="00725CDA">
            <w:pPr>
              <w:pStyle w:val="Tablenc"/>
              <w:bidi w:val="0"/>
              <w:ind w:right="340"/>
              <w:jc w:val="right"/>
              <w:rPr>
                <w:rFonts w:ascii="David" w:hAnsi="David" w:cs="David"/>
                <w:color w:val="4F81BD" w:themeColor="accent1"/>
                <w:sz w:val="22"/>
                <w:szCs w:val="22"/>
              </w:rPr>
            </w:pPr>
            <w:r>
              <w:rPr>
                <w:rFonts w:ascii="David" w:hAnsi="David" w:cs="David"/>
                <w:color w:val="333399"/>
              </w:rPr>
              <w:t>0.1</w:t>
            </w:r>
          </w:p>
        </w:tc>
        <w:tc>
          <w:tcPr>
            <w:tcW w:w="1032" w:type="dxa"/>
            <w:tcBorders>
              <w:top w:val="single" w:sz="4" w:space="0" w:color="auto"/>
              <w:left w:val="single" w:sz="4" w:space="0" w:color="auto"/>
              <w:bottom w:val="single" w:sz="8" w:space="0" w:color="auto"/>
            </w:tcBorders>
          </w:tcPr>
          <w:p w:rsidR="00725CDA" w:rsidRPr="0086400E" w:rsidRDefault="00725CDA" w:rsidP="00725CDA">
            <w:pPr>
              <w:pStyle w:val="Tablenc"/>
              <w:bidi w:val="0"/>
              <w:ind w:right="340"/>
              <w:jc w:val="right"/>
              <w:rPr>
                <w:rFonts w:ascii="David" w:hAnsi="David" w:cs="David"/>
                <w:sz w:val="22"/>
                <w:szCs w:val="22"/>
                <w:rtl/>
              </w:rPr>
            </w:pPr>
            <w:r>
              <w:rPr>
                <w:rFonts w:ascii="David" w:hAnsi="David" w:cs="David"/>
                <w:color w:val="000000"/>
              </w:rPr>
              <w:t>0.4</w:t>
            </w:r>
          </w:p>
        </w:tc>
        <w:tc>
          <w:tcPr>
            <w:tcW w:w="1130" w:type="dxa"/>
            <w:tcBorders>
              <w:top w:val="single" w:sz="4" w:space="0" w:color="auto"/>
              <w:left w:val="single" w:sz="4" w:space="0" w:color="auto"/>
              <w:bottom w:val="single" w:sz="8" w:space="0" w:color="auto"/>
              <w:right w:val="single" w:sz="8" w:space="0" w:color="auto"/>
            </w:tcBorders>
          </w:tcPr>
          <w:p w:rsidR="00725CDA" w:rsidRDefault="00725CDA" w:rsidP="00725CDA">
            <w:pPr>
              <w:pStyle w:val="Tablenc"/>
              <w:bidi w:val="0"/>
              <w:ind w:right="340"/>
              <w:jc w:val="right"/>
              <w:rPr>
                <w:rFonts w:ascii="David" w:hAnsi="David" w:cs="David"/>
                <w:color w:val="000000"/>
              </w:rPr>
            </w:pPr>
            <w:r>
              <w:rPr>
                <w:rFonts w:ascii="David" w:hAnsi="David" w:cs="David"/>
                <w:color w:val="333399"/>
              </w:rPr>
              <w:t>-0.3</w:t>
            </w:r>
          </w:p>
        </w:tc>
      </w:tr>
    </w:tbl>
    <w:p w:rsidR="00EB69E2" w:rsidRPr="00905BD1" w:rsidRDefault="00EB69E2" w:rsidP="00920B70">
      <w:pPr>
        <w:numPr>
          <w:ilvl w:val="0"/>
          <w:numId w:val="4"/>
        </w:numPr>
        <w:contextualSpacing/>
        <w:rPr>
          <w:rFonts w:ascii="David" w:hAnsi="David" w:cs="David"/>
          <w:sz w:val="18"/>
          <w:szCs w:val="18"/>
        </w:rPr>
      </w:pPr>
      <w:r>
        <w:rPr>
          <w:rFonts w:ascii="David" w:hAnsi="David" w:cs="David" w:hint="cs"/>
          <w:sz w:val="18"/>
          <w:szCs w:val="18"/>
          <w:rtl/>
        </w:rPr>
        <w:t>עפ"י אומד</w:t>
      </w:r>
      <w:r>
        <w:rPr>
          <w:rFonts w:ascii="David" w:hAnsi="David" w:cs="David" w:hint="eastAsia"/>
          <w:sz w:val="18"/>
          <w:szCs w:val="18"/>
          <w:rtl/>
        </w:rPr>
        <w:t>ן</w:t>
      </w:r>
      <w:r>
        <w:rPr>
          <w:rFonts w:ascii="David" w:hAnsi="David" w:cs="David" w:hint="cs"/>
          <w:sz w:val="18"/>
          <w:szCs w:val="18"/>
          <w:rtl/>
        </w:rPr>
        <w:t xml:space="preserve"> </w:t>
      </w:r>
      <w:proofErr w:type="spellStart"/>
      <w:r w:rsidRPr="00905BD1">
        <w:rPr>
          <w:rFonts w:ascii="David" w:hAnsi="David" w:cs="David" w:hint="cs"/>
          <w:sz w:val="18"/>
          <w:szCs w:val="18"/>
          <w:rtl/>
        </w:rPr>
        <w:t>הלמ"ס</w:t>
      </w:r>
      <w:proofErr w:type="spellEnd"/>
      <w:r w:rsidRPr="00905BD1">
        <w:rPr>
          <w:rFonts w:ascii="David" w:hAnsi="David" w:cs="David" w:hint="cs"/>
          <w:sz w:val="18"/>
          <w:szCs w:val="18"/>
          <w:rtl/>
        </w:rPr>
        <w:t>, נכון ל-</w:t>
      </w:r>
      <w:r>
        <w:rPr>
          <w:rFonts w:ascii="David" w:hAnsi="David" w:cs="David" w:hint="cs"/>
          <w:sz w:val="18"/>
          <w:szCs w:val="18"/>
          <w:rtl/>
        </w:rPr>
        <w:t>16</w:t>
      </w:r>
      <w:r w:rsidRPr="00905BD1">
        <w:rPr>
          <w:rFonts w:ascii="David" w:hAnsi="David" w:cs="David" w:hint="cs"/>
          <w:sz w:val="18"/>
          <w:szCs w:val="18"/>
          <w:rtl/>
        </w:rPr>
        <w:t xml:space="preserve"> </w:t>
      </w:r>
      <w:r>
        <w:rPr>
          <w:rFonts w:ascii="David" w:hAnsi="David" w:cs="David" w:hint="cs"/>
          <w:sz w:val="18"/>
          <w:szCs w:val="18"/>
          <w:rtl/>
        </w:rPr>
        <w:t>באוגוסט</w:t>
      </w:r>
      <w:r w:rsidRPr="00905BD1">
        <w:rPr>
          <w:rFonts w:ascii="David" w:hAnsi="David" w:cs="David" w:hint="cs"/>
          <w:sz w:val="18"/>
          <w:szCs w:val="18"/>
          <w:rtl/>
        </w:rPr>
        <w:t xml:space="preserve"> 2020.</w:t>
      </w:r>
    </w:p>
    <w:p w:rsidR="00EB69E2" w:rsidRPr="00905BD1" w:rsidRDefault="00EB69E2" w:rsidP="00920B70">
      <w:pPr>
        <w:numPr>
          <w:ilvl w:val="0"/>
          <w:numId w:val="4"/>
        </w:numPr>
        <w:contextualSpacing/>
        <w:rPr>
          <w:rFonts w:ascii="David" w:hAnsi="David" w:cs="David"/>
          <w:sz w:val="18"/>
          <w:szCs w:val="18"/>
        </w:rPr>
      </w:pPr>
      <w:r w:rsidRPr="00905BD1">
        <w:rPr>
          <w:rFonts w:ascii="David" w:hAnsi="David" w:cs="David"/>
          <w:sz w:val="18"/>
          <w:szCs w:val="18"/>
          <w:rtl/>
        </w:rPr>
        <w:t xml:space="preserve">האבטלה בגילי </w:t>
      </w:r>
      <w:r>
        <w:rPr>
          <w:rFonts w:ascii="David" w:hAnsi="David" w:cs="David" w:hint="cs"/>
          <w:sz w:val="18"/>
          <w:szCs w:val="18"/>
          <w:rtl/>
        </w:rPr>
        <w:t>15 ומעלה ברבעון האחרון של השנה</w:t>
      </w:r>
      <w:r w:rsidR="00920B70">
        <w:rPr>
          <w:rFonts w:ascii="David" w:hAnsi="David" w:cs="David" w:hint="cs"/>
          <w:sz w:val="18"/>
          <w:szCs w:val="18"/>
          <w:rtl/>
        </w:rPr>
        <w:t xml:space="preserve"> (ראו הערה 3 לעיל)</w:t>
      </w:r>
      <w:r>
        <w:rPr>
          <w:rFonts w:ascii="David" w:hAnsi="David" w:cs="David" w:hint="cs"/>
          <w:sz w:val="18"/>
          <w:szCs w:val="18"/>
          <w:rtl/>
        </w:rPr>
        <w:t>.</w:t>
      </w:r>
    </w:p>
    <w:p w:rsidR="00EB69E2" w:rsidRPr="00905BD1" w:rsidRDefault="00EB69E2" w:rsidP="00920B70">
      <w:pPr>
        <w:numPr>
          <w:ilvl w:val="0"/>
          <w:numId w:val="4"/>
        </w:numPr>
        <w:contextualSpacing/>
        <w:rPr>
          <w:rFonts w:ascii="David" w:hAnsi="David" w:cs="David"/>
          <w:sz w:val="18"/>
          <w:szCs w:val="18"/>
        </w:rPr>
      </w:pPr>
      <w:r w:rsidRPr="00905BD1">
        <w:rPr>
          <w:rFonts w:ascii="David" w:hAnsi="David" w:cs="David"/>
          <w:sz w:val="18"/>
          <w:szCs w:val="18"/>
          <w:rtl/>
        </w:rPr>
        <w:t>הממוצע של מדד המחירים לצרכן ברבעון האחרון בשנה לעומת הממוצע ברבעון האחרון בשנה הקודמת.</w:t>
      </w:r>
    </w:p>
    <w:p w:rsidR="000A6CB9" w:rsidRDefault="000A6CB9" w:rsidP="000A6CB9">
      <w:pPr>
        <w:spacing w:after="120"/>
        <w:ind w:left="113"/>
        <w:rPr>
          <w:rFonts w:ascii="David" w:hAnsi="David" w:cs="David"/>
          <w:rtl/>
        </w:rPr>
      </w:pPr>
    </w:p>
    <w:p w:rsidR="000A6CB9" w:rsidRPr="000D4C79" w:rsidRDefault="000A6CB9" w:rsidP="00ED7988">
      <w:pPr>
        <w:spacing w:after="120"/>
        <w:ind w:left="113"/>
        <w:rPr>
          <w:rFonts w:ascii="David" w:hAnsi="David" w:cs="David"/>
          <w:rtl/>
        </w:rPr>
      </w:pPr>
      <w:r w:rsidRPr="000D4C79">
        <w:rPr>
          <w:rFonts w:ascii="David" w:hAnsi="David" w:cs="David" w:hint="cs"/>
          <w:rtl/>
        </w:rPr>
        <w:lastRenderedPageBreak/>
        <w:t>הצריכה הפרטית צפויה לרדת ב-7.</w:t>
      </w:r>
      <w:r w:rsidR="00C53A95" w:rsidRPr="000D4C79">
        <w:rPr>
          <w:rFonts w:ascii="David" w:hAnsi="David" w:cs="David" w:hint="cs"/>
          <w:rtl/>
        </w:rPr>
        <w:t>5</w:t>
      </w:r>
      <w:r w:rsidRPr="000D4C79">
        <w:rPr>
          <w:rFonts w:ascii="David" w:hAnsi="David" w:cs="David" w:hint="cs"/>
          <w:rtl/>
        </w:rPr>
        <w:t xml:space="preserve">% ב-2020, על אף התאוששותה הצפויה החל מהרבעון השלישי. זאת, על רקע פגיעה צפויה בתעסוקה ובהכנסות, עלייה באי-הוודאות ומגבלות התו הסגול, אשר ימתנו את </w:t>
      </w:r>
      <w:proofErr w:type="spellStart"/>
      <w:r w:rsidRPr="000D4C79">
        <w:rPr>
          <w:rFonts w:ascii="David" w:hAnsi="David" w:cs="David" w:hint="cs"/>
          <w:rtl/>
        </w:rPr>
        <w:t>הביקושים</w:t>
      </w:r>
      <w:proofErr w:type="spellEnd"/>
      <w:r w:rsidRPr="000D4C79">
        <w:rPr>
          <w:rFonts w:ascii="David" w:hAnsi="David" w:cs="David" w:hint="cs"/>
          <w:rtl/>
        </w:rPr>
        <w:t>. ב-2021 צפויה הצריכה הפרטית להתאושש ולצמוח ב-</w:t>
      </w:r>
      <w:r w:rsidR="00C53A95" w:rsidRPr="000D4C79">
        <w:rPr>
          <w:rFonts w:ascii="David" w:hAnsi="David" w:cs="David" w:hint="cs"/>
          <w:rtl/>
        </w:rPr>
        <w:t>9</w:t>
      </w:r>
      <w:r w:rsidRPr="000D4C79">
        <w:rPr>
          <w:rFonts w:ascii="David" w:hAnsi="David" w:cs="David" w:hint="cs"/>
          <w:rtl/>
        </w:rPr>
        <w:t>% אולם עדיין רמתה תהיה נמוכה ביחס לרמה הנגזרת מהמגמה טרם המשבר.</w:t>
      </w:r>
    </w:p>
    <w:p w:rsidR="000A6CB9" w:rsidRPr="000D4C79" w:rsidRDefault="000A6CB9" w:rsidP="001001BA">
      <w:pPr>
        <w:spacing w:after="120"/>
        <w:ind w:left="113"/>
        <w:rPr>
          <w:rFonts w:ascii="David" w:hAnsi="David" w:cs="David"/>
          <w:rtl/>
        </w:rPr>
      </w:pPr>
      <w:r w:rsidRPr="000D4C79">
        <w:rPr>
          <w:rFonts w:ascii="David" w:hAnsi="David" w:cs="David" w:hint="cs"/>
          <w:rtl/>
        </w:rPr>
        <w:t>ההשקעות צפויות לרדת ב-2020 ב-7.5% על רקע העלייה באי-הוודאות והצפי לירידה בפעילות, ולעלות ב-2021 ב-4.</w:t>
      </w:r>
      <w:r w:rsidR="00C53A95" w:rsidRPr="000D4C79">
        <w:rPr>
          <w:rFonts w:ascii="David" w:hAnsi="David" w:cs="David" w:hint="cs"/>
          <w:rtl/>
        </w:rPr>
        <w:t>5</w:t>
      </w:r>
      <w:r w:rsidRPr="000D4C79">
        <w:rPr>
          <w:rFonts w:ascii="David" w:hAnsi="David" w:cs="David" w:hint="cs"/>
          <w:rtl/>
        </w:rPr>
        <w:t>%. היצוא צפוי לרדת ב-2020 ב-4.</w:t>
      </w:r>
      <w:r w:rsidR="00C53A95" w:rsidRPr="000D4C79">
        <w:rPr>
          <w:rFonts w:ascii="David" w:hAnsi="David" w:cs="David" w:hint="cs"/>
          <w:rtl/>
        </w:rPr>
        <w:t>0</w:t>
      </w:r>
      <w:r w:rsidRPr="000D4C79">
        <w:rPr>
          <w:rFonts w:ascii="David" w:hAnsi="David" w:cs="David" w:hint="cs"/>
          <w:rtl/>
        </w:rPr>
        <w:t xml:space="preserve">%, </w:t>
      </w:r>
      <w:r w:rsidR="001001BA">
        <w:rPr>
          <w:rFonts w:ascii="David" w:hAnsi="David" w:cs="David" w:hint="cs"/>
          <w:rtl/>
        </w:rPr>
        <w:t xml:space="preserve">והתכווצותו עודכנה כלפי מטה </w:t>
      </w:r>
      <w:r w:rsidRPr="000D4C79">
        <w:rPr>
          <w:rFonts w:ascii="David" w:hAnsi="David" w:cs="David" w:hint="cs"/>
          <w:rtl/>
        </w:rPr>
        <w:t xml:space="preserve">על רקע נתונים טובים יחסית ברבעון הראשון והשני, ביחס לירידה הגדולה </w:t>
      </w:r>
      <w:r w:rsidR="001001BA">
        <w:rPr>
          <w:rFonts w:ascii="David" w:hAnsi="David" w:cs="David" w:hint="cs"/>
          <w:rtl/>
        </w:rPr>
        <w:t>המוערכת</w:t>
      </w:r>
      <w:r w:rsidR="001001BA" w:rsidRPr="000D4C79">
        <w:rPr>
          <w:rFonts w:ascii="David" w:hAnsi="David" w:cs="David" w:hint="cs"/>
          <w:rtl/>
        </w:rPr>
        <w:t xml:space="preserve"> </w:t>
      </w:r>
      <w:r w:rsidRPr="000D4C79">
        <w:rPr>
          <w:rFonts w:ascii="David" w:hAnsi="David" w:cs="David" w:hint="cs"/>
          <w:rtl/>
        </w:rPr>
        <w:t>בסחר העולמי. ב-2021 אנו מעריכים כי היצוא יצמח ב-</w:t>
      </w:r>
      <w:r w:rsidR="00895BBF">
        <w:rPr>
          <w:rFonts w:ascii="David" w:hAnsi="David" w:cs="David" w:hint="cs"/>
          <w:rtl/>
        </w:rPr>
        <w:t>4.0</w:t>
      </w:r>
      <w:r w:rsidRPr="000D4C79">
        <w:rPr>
          <w:rFonts w:ascii="David" w:hAnsi="David" w:cs="David" w:hint="cs"/>
          <w:rtl/>
        </w:rPr>
        <w:t xml:space="preserve">%. </w:t>
      </w:r>
    </w:p>
    <w:p w:rsidR="000A6CB9" w:rsidRPr="000D4C79" w:rsidRDefault="000A6CB9" w:rsidP="00A05D5C">
      <w:pPr>
        <w:spacing w:after="120"/>
        <w:ind w:left="113"/>
        <w:rPr>
          <w:rFonts w:ascii="David" w:hAnsi="David" w:cs="David"/>
          <w:rtl/>
        </w:rPr>
      </w:pPr>
      <w:r w:rsidRPr="000D4C79">
        <w:rPr>
          <w:rFonts w:ascii="David" w:hAnsi="David" w:cs="David" w:hint="cs"/>
          <w:rtl/>
        </w:rPr>
        <w:t>לעומת אלו צפויה הצריכה הציבורית לעלות ב-2020 ב-7.</w:t>
      </w:r>
      <w:r w:rsidR="00C53A95" w:rsidRPr="000D4C79">
        <w:rPr>
          <w:rFonts w:ascii="David" w:hAnsi="David" w:cs="David" w:hint="cs"/>
          <w:rtl/>
        </w:rPr>
        <w:t>0</w:t>
      </w:r>
      <w:r w:rsidRPr="000D4C79">
        <w:rPr>
          <w:rFonts w:ascii="David" w:hAnsi="David" w:cs="David" w:hint="cs"/>
          <w:rtl/>
        </w:rPr>
        <w:t xml:space="preserve">% </w:t>
      </w:r>
      <w:r w:rsidRPr="000D4C79">
        <w:rPr>
          <w:rFonts w:ascii="David" w:hAnsi="David" w:cs="David"/>
          <w:rtl/>
        </w:rPr>
        <w:t>–</w:t>
      </w:r>
      <w:r w:rsidRPr="000D4C79">
        <w:rPr>
          <w:rFonts w:ascii="David" w:hAnsi="David" w:cs="David" w:hint="cs"/>
          <w:rtl/>
        </w:rPr>
        <w:t xml:space="preserve"> בעיקר בשל תרומת חבילות הסיוע הפיסקאליות שאישרה הממשלה לתמיכה בפעילות הכלכלית ובתעסוקה. גרעון הממשלה צפוי לעמוד ב-2020 על כ-13.2 אחוזי תוצר ויחס החוב לתוצר צפוי לעלות ל-</w:t>
      </w:r>
      <w:r w:rsidR="00ED7988">
        <w:rPr>
          <w:rFonts w:ascii="David" w:hAnsi="David" w:cs="David" w:hint="cs"/>
          <w:rtl/>
        </w:rPr>
        <w:t>75</w:t>
      </w:r>
      <w:r w:rsidRPr="000D4C79">
        <w:rPr>
          <w:rFonts w:ascii="David" w:hAnsi="David" w:cs="David" w:hint="cs"/>
          <w:rtl/>
        </w:rPr>
        <w:t>% (בדומה לתחזית יולי). ב-2021 צפוי הגרעון לעמוד על 8.2</w:t>
      </w:r>
      <w:r w:rsidR="00A05D5C">
        <w:rPr>
          <w:rFonts w:ascii="David" w:hAnsi="David" w:cs="David" w:hint="cs"/>
          <w:rtl/>
        </w:rPr>
        <w:t xml:space="preserve"> אחוזי</w:t>
      </w:r>
      <w:r w:rsidR="00A05D5C" w:rsidRPr="000D4C79">
        <w:rPr>
          <w:rFonts w:ascii="David" w:hAnsi="David" w:cs="David" w:hint="cs"/>
          <w:rtl/>
        </w:rPr>
        <w:t xml:space="preserve"> </w:t>
      </w:r>
      <w:r w:rsidRPr="000D4C79">
        <w:rPr>
          <w:rFonts w:ascii="David" w:hAnsi="David" w:cs="David" w:hint="cs"/>
          <w:rtl/>
        </w:rPr>
        <w:t xml:space="preserve">תוצר ויחס החוב-תוצר על </w:t>
      </w:r>
      <w:r w:rsidR="00CB10E3">
        <w:rPr>
          <w:rFonts w:ascii="David" w:hAnsi="David" w:cs="David" w:hint="cs"/>
          <w:rtl/>
        </w:rPr>
        <w:t>78</w:t>
      </w:r>
      <w:r w:rsidRPr="000D4C79">
        <w:rPr>
          <w:rFonts w:ascii="David" w:hAnsi="David" w:cs="David" w:hint="cs"/>
          <w:rtl/>
        </w:rPr>
        <w:t xml:space="preserve">%. </w:t>
      </w:r>
    </w:p>
    <w:p w:rsidR="000A6CB9" w:rsidRPr="00C51340" w:rsidRDefault="000A6CB9" w:rsidP="00C53A95">
      <w:pPr>
        <w:spacing w:after="120"/>
        <w:ind w:left="113"/>
        <w:rPr>
          <w:rFonts w:ascii="David" w:hAnsi="David" w:cs="David"/>
          <w:rtl/>
        </w:rPr>
      </w:pPr>
      <w:r w:rsidRPr="000D4C79">
        <w:rPr>
          <w:rFonts w:ascii="David" w:hAnsi="David" w:cs="David" w:hint="cs"/>
          <w:rtl/>
        </w:rPr>
        <w:t>בצד המקורות, היבוא צפוי להתכווץ אף הוא ב-2020, בשיעור של 7.5%, ולצמוח ב-7.</w:t>
      </w:r>
      <w:r w:rsidR="00C53A95" w:rsidRPr="000D4C79">
        <w:rPr>
          <w:rFonts w:ascii="David" w:hAnsi="David" w:cs="David" w:hint="cs"/>
          <w:rtl/>
        </w:rPr>
        <w:t>0</w:t>
      </w:r>
      <w:r w:rsidRPr="000D4C79">
        <w:rPr>
          <w:rFonts w:ascii="David" w:hAnsi="David" w:cs="David" w:hint="cs"/>
          <w:rtl/>
        </w:rPr>
        <w:t>% ב-2021, על רקע התפתחות הצריכה הפרטית וההשקעות בשנים אלו.</w:t>
      </w:r>
    </w:p>
    <w:p w:rsidR="000A6CB9" w:rsidRDefault="000A6CB9" w:rsidP="000A6CB9">
      <w:pPr>
        <w:spacing w:after="120"/>
        <w:ind w:left="113"/>
        <w:rPr>
          <w:rFonts w:ascii="David" w:hAnsi="David" w:cs="David"/>
          <w:rtl/>
        </w:rPr>
      </w:pPr>
      <w:r w:rsidRPr="00C51340">
        <w:rPr>
          <w:rFonts w:ascii="David" w:hAnsi="David" w:cs="David" w:hint="cs"/>
          <w:rtl/>
        </w:rPr>
        <w:t xml:space="preserve">בהתאם להערכתנו המעודכנת, ועל בסיס ניתוח הענפים שצפויים בסבירות גבוהה להישאר במצב פגיע (תיירות ואירוח, בידור ותרבות), אנו צופים כי </w:t>
      </w:r>
      <w:r>
        <w:rPr>
          <w:rFonts w:ascii="David" w:hAnsi="David" w:cs="David" w:hint="cs"/>
          <w:rtl/>
        </w:rPr>
        <w:t xml:space="preserve">שיעור </w:t>
      </w:r>
      <w:r w:rsidRPr="00C51340">
        <w:rPr>
          <w:rFonts w:ascii="David" w:hAnsi="David" w:cs="David" w:hint="cs"/>
          <w:rtl/>
        </w:rPr>
        <w:t>האבטלה</w:t>
      </w:r>
      <w:r>
        <w:rPr>
          <w:rFonts w:ascii="David" w:hAnsi="David" w:cs="David" w:hint="cs"/>
          <w:rtl/>
        </w:rPr>
        <w:t xml:space="preserve"> הרחב</w:t>
      </w:r>
      <w:r w:rsidRPr="00C51340">
        <w:rPr>
          <w:rFonts w:ascii="David" w:hAnsi="David" w:cs="David" w:hint="cs"/>
          <w:rtl/>
        </w:rPr>
        <w:t xml:space="preserve"> בגילאי 15 ומעלה </w:t>
      </w:r>
      <w:r>
        <w:rPr>
          <w:rFonts w:ascii="David" w:hAnsi="David" w:cs="David" w:hint="cs"/>
          <w:rtl/>
        </w:rPr>
        <w:t>ברבעון האחרון של 2020 י</w:t>
      </w:r>
      <w:r w:rsidRPr="00C51340">
        <w:rPr>
          <w:rFonts w:ascii="David" w:hAnsi="David" w:cs="David" w:hint="cs"/>
          <w:rtl/>
        </w:rPr>
        <w:t xml:space="preserve">עלה ל-11.6% (לעומת 10% בתחזית הקודמת), ובמהלך 2021 תחול ירידה, כך שברבעון האחרון של השנה, </w:t>
      </w:r>
      <w:r>
        <w:rPr>
          <w:rFonts w:ascii="David" w:hAnsi="David" w:cs="David" w:hint="cs"/>
          <w:rtl/>
        </w:rPr>
        <w:t xml:space="preserve">שיעור </w:t>
      </w:r>
      <w:r w:rsidRPr="00C51340">
        <w:rPr>
          <w:rFonts w:ascii="David" w:hAnsi="David" w:cs="David" w:hint="cs"/>
          <w:rtl/>
        </w:rPr>
        <w:t xml:space="preserve">האבטלה </w:t>
      </w:r>
      <w:r>
        <w:rPr>
          <w:rFonts w:ascii="David" w:hAnsi="David" w:cs="David" w:hint="cs"/>
          <w:rtl/>
        </w:rPr>
        <w:t>י</w:t>
      </w:r>
      <w:r w:rsidRPr="00C51340">
        <w:rPr>
          <w:rFonts w:ascii="David" w:hAnsi="David" w:cs="David" w:hint="cs"/>
          <w:rtl/>
        </w:rPr>
        <w:t>עמוד על 7.7% (לעומת 6.6%). כלומר, גם בסוף 2021 המשק לא צפוי לחזור לתעסוקה מלאה.</w:t>
      </w:r>
    </w:p>
    <w:p w:rsidR="000A6CB9" w:rsidRPr="00950EF7" w:rsidRDefault="000A6CB9" w:rsidP="00002C59">
      <w:pPr>
        <w:spacing w:after="120"/>
        <w:ind w:left="113"/>
        <w:rPr>
          <w:rFonts w:ascii="David" w:hAnsi="David" w:cs="David"/>
          <w:rtl/>
        </w:rPr>
      </w:pPr>
      <w:r>
        <w:rPr>
          <w:rFonts w:ascii="David" w:hAnsi="David" w:cs="David" w:hint="cs"/>
          <w:b/>
          <w:bCs/>
          <w:rtl/>
        </w:rPr>
        <w:t xml:space="preserve">בתרחיש </w:t>
      </w:r>
      <w:r w:rsidR="00216CEE">
        <w:rPr>
          <w:rFonts w:ascii="David" w:hAnsi="David" w:cs="David" w:hint="cs"/>
          <w:b/>
          <w:bCs/>
          <w:rtl/>
        </w:rPr>
        <w:t>הפסימי</w:t>
      </w:r>
      <w:r w:rsidRPr="00950EF7">
        <w:rPr>
          <w:rFonts w:ascii="David" w:hAnsi="David" w:cs="David" w:hint="cs"/>
          <w:b/>
          <w:bCs/>
          <w:rtl/>
        </w:rPr>
        <w:t xml:space="preserve"> </w:t>
      </w:r>
      <w:r w:rsidRPr="00F659B2">
        <w:rPr>
          <w:rFonts w:ascii="David" w:hAnsi="David" w:cs="David" w:hint="cs"/>
          <w:b/>
          <w:bCs/>
          <w:rtl/>
        </w:rPr>
        <w:t>התוצר צפוי להתכווץ בשיעור של</w:t>
      </w:r>
      <w:r w:rsidRPr="00F659B2">
        <w:rPr>
          <w:rFonts w:ascii="David" w:hAnsi="David" w:cs="David"/>
          <w:b/>
          <w:bCs/>
          <w:rtl/>
        </w:rPr>
        <w:t xml:space="preserve"> </w:t>
      </w:r>
      <w:r>
        <w:rPr>
          <w:rFonts w:ascii="David" w:hAnsi="David" w:cs="David" w:hint="cs"/>
          <w:b/>
          <w:bCs/>
          <w:rtl/>
        </w:rPr>
        <w:t>7</w:t>
      </w:r>
      <w:r w:rsidRPr="00F659B2">
        <w:rPr>
          <w:rFonts w:ascii="David" w:hAnsi="David" w:cs="David" w:hint="cs"/>
          <w:b/>
          <w:bCs/>
          <w:rtl/>
        </w:rPr>
        <w:t>% בשנת 2020</w:t>
      </w:r>
      <w:r w:rsidRPr="00F659B2">
        <w:rPr>
          <w:rFonts w:ascii="David" w:hAnsi="David" w:cs="David"/>
          <w:b/>
          <w:bCs/>
          <w:rtl/>
        </w:rPr>
        <w:t>,</w:t>
      </w:r>
      <w:r w:rsidRPr="00F659B2">
        <w:rPr>
          <w:rFonts w:ascii="David" w:hAnsi="David" w:cs="David" w:hint="cs"/>
          <w:b/>
          <w:bCs/>
          <w:rtl/>
        </w:rPr>
        <w:t xml:space="preserve"> </w:t>
      </w:r>
      <w:r>
        <w:rPr>
          <w:rFonts w:ascii="David" w:hAnsi="David" w:cs="David" w:hint="cs"/>
          <w:b/>
          <w:bCs/>
          <w:rtl/>
        </w:rPr>
        <w:t>ו</w:t>
      </w:r>
      <w:r w:rsidR="008D563D">
        <w:rPr>
          <w:rFonts w:ascii="David" w:hAnsi="David" w:cs="David" w:hint="cs"/>
          <w:b/>
          <w:bCs/>
          <w:rtl/>
        </w:rPr>
        <w:t xml:space="preserve">לצמוח </w:t>
      </w:r>
      <w:r w:rsidRPr="00F659B2">
        <w:rPr>
          <w:rFonts w:ascii="David" w:hAnsi="David" w:cs="David" w:hint="cs"/>
          <w:b/>
          <w:bCs/>
          <w:rtl/>
        </w:rPr>
        <w:t xml:space="preserve">בשיעור של </w:t>
      </w:r>
      <w:r>
        <w:rPr>
          <w:rFonts w:ascii="David" w:hAnsi="David" w:cs="David" w:hint="cs"/>
          <w:b/>
          <w:bCs/>
          <w:rtl/>
        </w:rPr>
        <w:t>3</w:t>
      </w:r>
      <w:r w:rsidRPr="00F659B2">
        <w:rPr>
          <w:rFonts w:ascii="David" w:hAnsi="David" w:cs="David" w:hint="cs"/>
          <w:b/>
          <w:bCs/>
          <w:rtl/>
        </w:rPr>
        <w:t>% בשנת 2021</w:t>
      </w:r>
      <w:r>
        <w:rPr>
          <w:rFonts w:ascii="David" w:hAnsi="David" w:cs="David" w:hint="cs"/>
          <w:b/>
          <w:bCs/>
          <w:rtl/>
        </w:rPr>
        <w:t xml:space="preserve">. </w:t>
      </w:r>
      <w:r>
        <w:rPr>
          <w:rFonts w:ascii="David" w:hAnsi="David" w:cs="David" w:hint="cs"/>
          <w:rtl/>
        </w:rPr>
        <w:t xml:space="preserve">בתרחיש זה צפויים כל השימושים והמקורות להתכווץ ב-2020 בשיעור גבוה יותר ביחס לתרחיש </w:t>
      </w:r>
      <w:r w:rsidR="00002C59">
        <w:rPr>
          <w:rFonts w:ascii="David" w:hAnsi="David" w:cs="David" w:hint="cs"/>
          <w:rtl/>
        </w:rPr>
        <w:t>האופטימי</w:t>
      </w:r>
      <w:r>
        <w:rPr>
          <w:rFonts w:ascii="David" w:hAnsi="David" w:cs="David" w:hint="cs"/>
          <w:rtl/>
        </w:rPr>
        <w:t xml:space="preserve">, למעט הצריכה הציבורית, על רקע המגבלות החמורות יותר שישררו במשק בתרחיש זה. במקביל הצמיחה ב-2021 צפויה להיות מתונה יותר לעומת </w:t>
      </w:r>
      <w:r w:rsidR="00216CEE">
        <w:rPr>
          <w:rFonts w:ascii="David" w:hAnsi="David" w:cs="David" w:hint="cs"/>
          <w:rtl/>
        </w:rPr>
        <w:t>ה</w:t>
      </w:r>
      <w:r>
        <w:rPr>
          <w:rFonts w:ascii="David" w:hAnsi="David" w:cs="David" w:hint="cs"/>
          <w:rtl/>
        </w:rPr>
        <w:t xml:space="preserve">תרחיש </w:t>
      </w:r>
      <w:r w:rsidR="00216CEE">
        <w:rPr>
          <w:rFonts w:ascii="David" w:hAnsi="David" w:cs="David" w:hint="cs"/>
          <w:rtl/>
        </w:rPr>
        <w:t>האופטימי</w:t>
      </w:r>
      <w:r w:rsidRPr="00626B7A">
        <w:rPr>
          <w:rFonts w:ascii="David" w:hAnsi="David" w:cs="David" w:hint="cs"/>
          <w:rtl/>
        </w:rPr>
        <w:t xml:space="preserve">. בתרחיש </w:t>
      </w:r>
      <w:r w:rsidR="00216CEE">
        <w:rPr>
          <w:rFonts w:ascii="David" w:hAnsi="David" w:cs="David" w:hint="cs"/>
          <w:rtl/>
        </w:rPr>
        <w:t>הפסימי</w:t>
      </w:r>
      <w:r w:rsidRPr="00626B7A">
        <w:rPr>
          <w:rFonts w:ascii="David" w:hAnsi="David" w:cs="David" w:hint="cs"/>
          <w:rtl/>
        </w:rPr>
        <w:t xml:space="preserve"> שיעור האבטלה</w:t>
      </w:r>
      <w:r>
        <w:rPr>
          <w:rFonts w:ascii="David" w:hAnsi="David" w:cs="David" w:hint="cs"/>
          <w:rtl/>
        </w:rPr>
        <w:t xml:space="preserve"> הרחב</w:t>
      </w:r>
      <w:r w:rsidRPr="00626B7A">
        <w:rPr>
          <w:rFonts w:ascii="David" w:hAnsi="David" w:cs="David" w:hint="cs"/>
          <w:rtl/>
        </w:rPr>
        <w:t xml:space="preserve"> </w:t>
      </w:r>
      <w:r w:rsidR="00216CEE">
        <w:rPr>
          <w:rFonts w:ascii="David" w:hAnsi="David" w:cs="David" w:hint="cs"/>
          <w:rtl/>
        </w:rPr>
        <w:t>ברבעון</w:t>
      </w:r>
      <w:r w:rsidR="00216CEE" w:rsidRPr="00626B7A">
        <w:rPr>
          <w:rFonts w:ascii="David" w:hAnsi="David" w:cs="David" w:hint="cs"/>
          <w:rtl/>
        </w:rPr>
        <w:t xml:space="preserve"> </w:t>
      </w:r>
      <w:r w:rsidRPr="00626B7A">
        <w:rPr>
          <w:rFonts w:ascii="David" w:hAnsi="David" w:cs="David" w:hint="cs"/>
          <w:rtl/>
        </w:rPr>
        <w:t>האחרון של 2020 מגיע ל-13.6% ויורד באופן מתון בלבד ל-12% בסוף 2021.</w:t>
      </w:r>
      <w:r>
        <w:rPr>
          <w:rFonts w:ascii="David" w:hAnsi="David" w:cs="David" w:hint="cs"/>
          <w:rtl/>
        </w:rPr>
        <w:t xml:space="preserve"> </w:t>
      </w:r>
      <w:r w:rsidRPr="00FA03CE">
        <w:rPr>
          <w:rFonts w:ascii="David" w:hAnsi="David" w:cs="David" w:hint="cs"/>
          <w:rtl/>
        </w:rPr>
        <w:t>גרעון הממשלה צפוי לעמוד ב-2020 על כ-</w:t>
      </w:r>
      <w:r>
        <w:rPr>
          <w:rFonts w:ascii="David" w:hAnsi="David" w:cs="David" w:hint="cs"/>
          <w:rtl/>
        </w:rPr>
        <w:t>14.6</w:t>
      </w:r>
      <w:r w:rsidRPr="00FA03CE">
        <w:rPr>
          <w:rFonts w:ascii="David" w:hAnsi="David" w:cs="David" w:hint="cs"/>
          <w:rtl/>
        </w:rPr>
        <w:t xml:space="preserve"> אחוזי תוצר ויחס החוב לתוצר צפוי לעלות ל-</w:t>
      </w:r>
      <w:r w:rsidR="00CB10E3">
        <w:rPr>
          <w:rFonts w:ascii="David" w:hAnsi="David" w:cs="David" w:hint="cs"/>
          <w:rtl/>
        </w:rPr>
        <w:t>78</w:t>
      </w:r>
      <w:r w:rsidRPr="00FA03CE">
        <w:rPr>
          <w:rFonts w:ascii="David" w:hAnsi="David" w:cs="David" w:hint="cs"/>
          <w:rtl/>
        </w:rPr>
        <w:t xml:space="preserve">%. ב-2021 צפוי הגרעון לעמוד על </w:t>
      </w:r>
      <w:r>
        <w:rPr>
          <w:rFonts w:ascii="David" w:hAnsi="David" w:cs="David" w:hint="cs"/>
          <w:rtl/>
        </w:rPr>
        <w:t>12</w:t>
      </w:r>
      <w:r w:rsidRPr="00FA03CE">
        <w:rPr>
          <w:rFonts w:ascii="David" w:hAnsi="David" w:cs="David" w:hint="cs"/>
          <w:rtl/>
        </w:rPr>
        <w:t xml:space="preserve"> </w:t>
      </w:r>
      <w:r w:rsidR="00A05D5C">
        <w:rPr>
          <w:rFonts w:ascii="David" w:hAnsi="David" w:cs="David" w:hint="cs"/>
          <w:rtl/>
        </w:rPr>
        <w:t xml:space="preserve">אחוזי </w:t>
      </w:r>
      <w:r w:rsidRPr="00FA03CE">
        <w:rPr>
          <w:rFonts w:ascii="David" w:hAnsi="David" w:cs="David" w:hint="cs"/>
          <w:rtl/>
        </w:rPr>
        <w:t xml:space="preserve">תוצר ויחס החוב-תוצר על </w:t>
      </w:r>
      <w:r w:rsidR="00CB10E3">
        <w:rPr>
          <w:rFonts w:ascii="David" w:hAnsi="David" w:cs="David" w:hint="cs"/>
          <w:rtl/>
        </w:rPr>
        <w:t>87</w:t>
      </w:r>
      <w:r w:rsidRPr="00FA03CE">
        <w:rPr>
          <w:rFonts w:ascii="David" w:hAnsi="David" w:cs="David" w:hint="cs"/>
          <w:rtl/>
        </w:rPr>
        <w:t>%.</w:t>
      </w:r>
    </w:p>
    <w:p w:rsidR="00917C6D" w:rsidRPr="0086400E" w:rsidRDefault="00917C6D" w:rsidP="00917C6D">
      <w:pPr>
        <w:pStyle w:val="2"/>
        <w:ind w:left="113"/>
        <w:rPr>
          <w:rFonts w:ascii="David" w:hAnsi="David" w:cs="David"/>
        </w:rPr>
      </w:pPr>
      <w:r w:rsidRPr="0086400E">
        <w:rPr>
          <w:rFonts w:ascii="David" w:hAnsi="David" w:cs="David"/>
          <w:rtl/>
        </w:rPr>
        <w:t>האינפלציה והריבית</w:t>
      </w:r>
    </w:p>
    <w:p w:rsidR="004B5554" w:rsidRDefault="004B5554" w:rsidP="00216CEE">
      <w:pPr>
        <w:spacing w:after="120"/>
        <w:ind w:left="107"/>
        <w:rPr>
          <w:rFonts w:ascii="David" w:hAnsi="David" w:cs="David"/>
          <w:rtl/>
        </w:rPr>
      </w:pPr>
      <w:r w:rsidRPr="00166515">
        <w:rPr>
          <w:rFonts w:ascii="David" w:hAnsi="David" w:cs="David"/>
          <w:rtl/>
        </w:rPr>
        <w:t>להערכתנו</w:t>
      </w:r>
      <w:r w:rsidRPr="00967256">
        <w:rPr>
          <w:rFonts w:ascii="David" w:hAnsi="David" w:cs="David"/>
          <w:rtl/>
        </w:rPr>
        <w:t>,</w:t>
      </w:r>
      <w:r w:rsidRPr="00967256">
        <w:rPr>
          <w:rFonts w:ascii="David" w:hAnsi="David" w:cs="David"/>
          <w:b/>
          <w:bCs/>
          <w:rtl/>
        </w:rPr>
        <w:t xml:space="preserve"> </w:t>
      </w:r>
      <w:r w:rsidRPr="00967256">
        <w:rPr>
          <w:rFonts w:ascii="David" w:hAnsi="David" w:cs="David" w:hint="cs"/>
          <w:b/>
          <w:bCs/>
          <w:rtl/>
        </w:rPr>
        <w:t xml:space="preserve">בתרחיש </w:t>
      </w:r>
      <w:r w:rsidR="00216CEE">
        <w:rPr>
          <w:rFonts w:ascii="David" w:hAnsi="David" w:cs="David" w:hint="cs"/>
          <w:b/>
          <w:bCs/>
          <w:rtl/>
        </w:rPr>
        <w:t>האופטימי</w:t>
      </w:r>
      <w:r w:rsidR="00216CEE" w:rsidRPr="00967256">
        <w:rPr>
          <w:rFonts w:ascii="David" w:hAnsi="David" w:cs="David" w:hint="cs"/>
          <w:b/>
          <w:bCs/>
          <w:rtl/>
        </w:rPr>
        <w:t xml:space="preserve"> </w:t>
      </w:r>
      <w:r w:rsidRPr="00967256">
        <w:rPr>
          <w:rFonts w:ascii="David" w:hAnsi="David" w:cs="David" w:hint="cs"/>
          <w:b/>
          <w:bCs/>
          <w:rtl/>
        </w:rPr>
        <w:t xml:space="preserve">שיעור </w:t>
      </w:r>
      <w:r w:rsidRPr="00967256">
        <w:rPr>
          <w:rFonts w:ascii="David" w:hAnsi="David" w:cs="David"/>
          <w:b/>
          <w:bCs/>
          <w:rtl/>
        </w:rPr>
        <w:t xml:space="preserve">האינפלציה בארבעת הרבעונים הקרובים </w:t>
      </w:r>
      <w:r>
        <w:rPr>
          <w:rFonts w:ascii="David" w:hAnsi="David" w:cs="David" w:hint="cs"/>
          <w:b/>
          <w:bCs/>
          <w:rtl/>
        </w:rPr>
        <w:t>צפוי לעמוד</w:t>
      </w:r>
      <w:r w:rsidRPr="00967256">
        <w:rPr>
          <w:rFonts w:ascii="David" w:hAnsi="David" w:cs="David"/>
          <w:b/>
          <w:bCs/>
          <w:rtl/>
        </w:rPr>
        <w:t xml:space="preserve"> על </w:t>
      </w:r>
      <w:r w:rsidRPr="00967256">
        <w:rPr>
          <w:rFonts w:ascii="David" w:hAnsi="David" w:cs="David"/>
          <w:b/>
          <w:bCs/>
        </w:rPr>
        <w:t>0%</w:t>
      </w:r>
      <w:r w:rsidRPr="00967256">
        <w:rPr>
          <w:rFonts w:ascii="David" w:hAnsi="David" w:cs="David" w:hint="cs"/>
          <w:b/>
          <w:bCs/>
          <w:rtl/>
        </w:rPr>
        <w:t xml:space="preserve"> (לוח </w:t>
      </w:r>
      <w:r w:rsidR="00410FDD">
        <w:rPr>
          <w:rFonts w:ascii="David" w:hAnsi="David" w:cs="David" w:hint="cs"/>
          <w:b/>
          <w:bCs/>
          <w:rtl/>
        </w:rPr>
        <w:t>3</w:t>
      </w:r>
      <w:r w:rsidRPr="00967256">
        <w:rPr>
          <w:rFonts w:ascii="David" w:hAnsi="David" w:cs="David" w:hint="cs"/>
          <w:b/>
          <w:bCs/>
          <w:rtl/>
        </w:rPr>
        <w:t>), ו</w:t>
      </w:r>
      <w:r w:rsidRPr="00967256">
        <w:rPr>
          <w:rFonts w:ascii="David" w:hAnsi="David" w:cs="David"/>
          <w:b/>
          <w:bCs/>
          <w:rtl/>
        </w:rPr>
        <w:t xml:space="preserve">בסוף 2021 </w:t>
      </w:r>
      <w:r w:rsidRPr="00967256">
        <w:rPr>
          <w:rFonts w:ascii="David" w:hAnsi="David" w:cs="David" w:hint="cs"/>
          <w:b/>
          <w:bCs/>
          <w:rtl/>
        </w:rPr>
        <w:t>היא תסתכם</w:t>
      </w:r>
      <w:r w:rsidRPr="00967256">
        <w:rPr>
          <w:rFonts w:ascii="David" w:hAnsi="David" w:cs="David"/>
          <w:b/>
          <w:bCs/>
          <w:rtl/>
        </w:rPr>
        <w:t xml:space="preserve"> ב-</w:t>
      </w:r>
      <w:r w:rsidRPr="00967256">
        <w:rPr>
          <w:rFonts w:ascii="David" w:hAnsi="David" w:cs="David"/>
          <w:b/>
          <w:bCs/>
        </w:rPr>
        <w:t>0.4%</w:t>
      </w:r>
      <w:r w:rsidR="001001BA">
        <w:rPr>
          <w:rFonts w:ascii="David" w:hAnsi="David" w:cs="David" w:hint="cs"/>
          <w:b/>
          <w:bCs/>
          <w:rtl/>
        </w:rPr>
        <w:t xml:space="preserve"> (לוח 1)</w:t>
      </w:r>
      <w:r w:rsidRPr="00967256">
        <w:rPr>
          <w:rFonts w:ascii="David" w:hAnsi="David" w:cs="David"/>
          <w:b/>
          <w:bCs/>
          <w:rtl/>
        </w:rPr>
        <w:t>.</w:t>
      </w:r>
      <w:r w:rsidRPr="00967256">
        <w:rPr>
          <w:rFonts w:ascii="David" w:hAnsi="David" w:cs="David"/>
          <w:rtl/>
        </w:rPr>
        <w:t xml:space="preserve"> </w:t>
      </w:r>
      <w:r w:rsidRPr="00967256">
        <w:rPr>
          <w:rFonts w:ascii="David" w:hAnsi="David" w:cs="David" w:hint="cs"/>
          <w:b/>
          <w:bCs/>
          <w:rtl/>
        </w:rPr>
        <w:t>בתרחיש ה</w:t>
      </w:r>
      <w:r w:rsidR="00216CEE">
        <w:rPr>
          <w:rFonts w:ascii="David" w:hAnsi="David" w:cs="David" w:hint="cs"/>
          <w:b/>
          <w:bCs/>
          <w:rtl/>
        </w:rPr>
        <w:t>פסימי</w:t>
      </w:r>
      <w:r w:rsidRPr="00967256">
        <w:rPr>
          <w:rFonts w:ascii="David" w:hAnsi="David" w:cs="David" w:hint="cs"/>
          <w:b/>
          <w:bCs/>
          <w:rtl/>
        </w:rPr>
        <w:t xml:space="preserve"> שיעור </w:t>
      </w:r>
      <w:r w:rsidRPr="00967256">
        <w:rPr>
          <w:rFonts w:ascii="David" w:hAnsi="David" w:cs="David"/>
          <w:b/>
          <w:bCs/>
          <w:rtl/>
        </w:rPr>
        <w:t xml:space="preserve">האינפלציה בארבעת הרבעונים הקרובים </w:t>
      </w:r>
      <w:r>
        <w:rPr>
          <w:rFonts w:ascii="David" w:hAnsi="David" w:cs="David" w:hint="cs"/>
          <w:b/>
          <w:bCs/>
          <w:rtl/>
        </w:rPr>
        <w:t>צפוי לעמוד</w:t>
      </w:r>
      <w:r w:rsidRPr="00967256">
        <w:rPr>
          <w:rFonts w:ascii="David" w:hAnsi="David" w:cs="David"/>
          <w:b/>
          <w:bCs/>
          <w:rtl/>
        </w:rPr>
        <w:t xml:space="preserve"> על </w:t>
      </w:r>
      <w:r w:rsidRPr="00967256">
        <w:rPr>
          <w:rFonts w:ascii="David" w:hAnsi="David" w:cs="David"/>
          <w:b/>
          <w:bCs/>
        </w:rPr>
        <w:t>-0.6%</w:t>
      </w:r>
      <w:r w:rsidRPr="00967256">
        <w:rPr>
          <w:rFonts w:ascii="David" w:hAnsi="David" w:cs="David" w:hint="cs"/>
          <w:b/>
          <w:bCs/>
          <w:rtl/>
        </w:rPr>
        <w:t xml:space="preserve"> (לוח </w:t>
      </w:r>
      <w:r w:rsidR="00410FDD">
        <w:rPr>
          <w:rFonts w:ascii="David" w:hAnsi="David" w:cs="David" w:hint="cs"/>
          <w:b/>
          <w:bCs/>
          <w:rtl/>
        </w:rPr>
        <w:t>3</w:t>
      </w:r>
      <w:r w:rsidRPr="00967256">
        <w:rPr>
          <w:rFonts w:ascii="David" w:hAnsi="David" w:cs="David" w:hint="cs"/>
          <w:b/>
          <w:bCs/>
          <w:rtl/>
        </w:rPr>
        <w:t>), ו</w:t>
      </w:r>
      <w:r w:rsidRPr="00967256">
        <w:rPr>
          <w:rFonts w:ascii="David" w:hAnsi="David" w:cs="David"/>
          <w:b/>
          <w:bCs/>
          <w:rtl/>
        </w:rPr>
        <w:t xml:space="preserve">בסוף 2021 </w:t>
      </w:r>
      <w:r w:rsidRPr="00967256">
        <w:rPr>
          <w:rFonts w:ascii="David" w:hAnsi="David" w:cs="David" w:hint="cs"/>
          <w:b/>
          <w:bCs/>
          <w:rtl/>
        </w:rPr>
        <w:t>היא תסתכם</w:t>
      </w:r>
      <w:r w:rsidRPr="00967256">
        <w:rPr>
          <w:rFonts w:ascii="David" w:hAnsi="David" w:cs="David"/>
          <w:b/>
          <w:bCs/>
          <w:rtl/>
        </w:rPr>
        <w:t xml:space="preserve"> ב-</w:t>
      </w:r>
      <w:r w:rsidRPr="00967256">
        <w:rPr>
          <w:rFonts w:ascii="David" w:hAnsi="David" w:cs="David"/>
          <w:b/>
          <w:bCs/>
        </w:rPr>
        <w:t>0.9%</w:t>
      </w:r>
      <w:r w:rsidR="001001BA">
        <w:rPr>
          <w:rFonts w:ascii="David" w:hAnsi="David" w:cs="David" w:hint="cs"/>
          <w:b/>
          <w:bCs/>
          <w:rtl/>
        </w:rPr>
        <w:t xml:space="preserve"> (לוח 1)</w:t>
      </w:r>
      <w:r w:rsidRPr="00967256">
        <w:rPr>
          <w:rFonts w:ascii="David" w:hAnsi="David" w:cs="David"/>
          <w:b/>
          <w:bCs/>
          <w:rtl/>
        </w:rPr>
        <w:t>.</w:t>
      </w:r>
      <w:r w:rsidRPr="00BD1F26">
        <w:rPr>
          <w:rFonts w:ascii="David" w:hAnsi="David" w:cs="David"/>
          <w:rtl/>
        </w:rPr>
        <w:t xml:space="preserve"> </w:t>
      </w:r>
    </w:p>
    <w:p w:rsidR="00316615" w:rsidRDefault="004B5554" w:rsidP="004B5554">
      <w:pPr>
        <w:spacing w:before="120" w:after="120"/>
        <w:ind w:left="113"/>
        <w:rPr>
          <w:rFonts w:ascii="David" w:hAnsi="David" w:cs="David"/>
          <w:rtl/>
        </w:rPr>
      </w:pPr>
      <w:r>
        <w:rPr>
          <w:rFonts w:ascii="David" w:hAnsi="David" w:cs="David" w:hint="cs"/>
          <w:rtl/>
        </w:rPr>
        <w:t xml:space="preserve">הערכת תוואי האינפלציה בתקופת התחזית אינה פשוטה בתקופה זו של אי-ודאות. בפרט, מעבר להערכת הפגיעה הן בצד ההיצע והן בצד הביקוש כתוצאה ממשבר הקורונה נדרשת גם הערכה היכן הפגיעה גבוהה יותר </w:t>
      </w:r>
      <w:r>
        <w:rPr>
          <w:rFonts w:ascii="David" w:hAnsi="David" w:cs="David"/>
          <w:rtl/>
        </w:rPr>
        <w:t>–</w:t>
      </w:r>
      <w:r>
        <w:rPr>
          <w:rFonts w:ascii="David" w:hAnsi="David" w:cs="David" w:hint="cs"/>
          <w:rtl/>
        </w:rPr>
        <w:t xml:space="preserve"> בהיצע או בביקוש </w:t>
      </w:r>
      <w:r>
        <w:rPr>
          <w:rFonts w:ascii="David" w:hAnsi="David" w:cs="David"/>
          <w:rtl/>
        </w:rPr>
        <w:t>–</w:t>
      </w:r>
      <w:r>
        <w:rPr>
          <w:rFonts w:ascii="David" w:hAnsi="David" w:cs="David" w:hint="cs"/>
          <w:rtl/>
        </w:rPr>
        <w:t xml:space="preserve"> על מנת להעריך את השפעת המשבר על המחירים</w:t>
      </w:r>
      <w:r w:rsidR="00316615">
        <w:rPr>
          <w:rFonts w:ascii="David" w:hAnsi="David" w:cs="David" w:hint="cs"/>
          <w:rtl/>
        </w:rPr>
        <w:t>.</w:t>
      </w:r>
    </w:p>
    <w:p w:rsidR="004B5554" w:rsidRDefault="004B5554" w:rsidP="00216CEE">
      <w:pPr>
        <w:spacing w:after="120"/>
        <w:ind w:left="121"/>
        <w:rPr>
          <w:rFonts w:ascii="David" w:hAnsi="David" w:cs="David"/>
          <w:rtl/>
        </w:rPr>
      </w:pPr>
      <w:r>
        <w:rPr>
          <w:rFonts w:ascii="David" w:hAnsi="David" w:cs="David" w:hint="cs"/>
          <w:rtl/>
        </w:rPr>
        <w:t xml:space="preserve">בתרחיש </w:t>
      </w:r>
      <w:r w:rsidR="00216CEE">
        <w:rPr>
          <w:rFonts w:ascii="David" w:hAnsi="David" w:cs="David" w:hint="cs"/>
          <w:rtl/>
        </w:rPr>
        <w:t xml:space="preserve">האופטימי </w:t>
      </w:r>
      <w:r>
        <w:rPr>
          <w:rFonts w:ascii="David" w:hAnsi="David" w:cs="David" w:hint="cs"/>
          <w:rtl/>
        </w:rPr>
        <w:t xml:space="preserve">אנו מעריכים כי האינפלציה הצפויה בארבעת הרביעים הבאים המסתיימים ברבעון השני של 2021 תעמוד על 0%, לעומת 0.1%- בתחזית יולי. העדכון נובע בין היתר ממדד יולי שהיה גבוה ביחס לתחזיות עבורו וכן מעדכון התחזיות קצרות הטווח לאוגוסט וספטמבר. ב-2021 האינפלציה צפויה להסתכם ב-0.4%, לעומת 0.7% בתחזית יולי. </w:t>
      </w:r>
    </w:p>
    <w:p w:rsidR="004B5554" w:rsidRPr="00166515" w:rsidRDefault="004B5554" w:rsidP="00216CEE">
      <w:pPr>
        <w:spacing w:before="120" w:after="120"/>
        <w:ind w:left="113"/>
        <w:rPr>
          <w:rFonts w:ascii="David" w:hAnsi="David" w:cs="David"/>
          <w:rtl/>
        </w:rPr>
      </w:pPr>
      <w:r>
        <w:rPr>
          <w:rFonts w:ascii="David" w:hAnsi="David" w:cs="David" w:hint="cs"/>
          <w:rtl/>
        </w:rPr>
        <w:t xml:space="preserve">בתרחיש </w:t>
      </w:r>
      <w:r w:rsidR="00216CEE">
        <w:rPr>
          <w:rFonts w:ascii="David" w:hAnsi="David" w:cs="David" w:hint="cs"/>
          <w:rtl/>
        </w:rPr>
        <w:t>הפסימי</w:t>
      </w:r>
      <w:r>
        <w:rPr>
          <w:rFonts w:ascii="David" w:hAnsi="David" w:cs="David" w:hint="cs"/>
          <w:rtl/>
        </w:rPr>
        <w:t xml:space="preserve">, </w:t>
      </w:r>
      <w:r w:rsidR="001001BA">
        <w:rPr>
          <w:rFonts w:ascii="David" w:hAnsi="David" w:cs="David" w:hint="cs"/>
          <w:rtl/>
        </w:rPr>
        <w:t xml:space="preserve">תוואי </w:t>
      </w:r>
      <w:r>
        <w:rPr>
          <w:rFonts w:ascii="David" w:hAnsi="David" w:cs="David" w:hint="cs"/>
          <w:rtl/>
        </w:rPr>
        <w:t xml:space="preserve">האינפלציה הצפויה </w:t>
      </w:r>
      <w:r w:rsidR="001001BA">
        <w:rPr>
          <w:rFonts w:ascii="David" w:hAnsi="David" w:cs="David" w:hint="cs"/>
          <w:rtl/>
        </w:rPr>
        <w:t>בשנה הקרובה נמוך</w:t>
      </w:r>
      <w:r>
        <w:rPr>
          <w:rFonts w:ascii="David" w:hAnsi="David" w:cs="David" w:hint="cs"/>
          <w:rtl/>
        </w:rPr>
        <w:t xml:space="preserve"> יותר ביחס </w:t>
      </w:r>
      <w:r w:rsidR="001001BA">
        <w:rPr>
          <w:rFonts w:ascii="David" w:hAnsi="David" w:cs="David" w:hint="cs"/>
          <w:rtl/>
        </w:rPr>
        <w:t>ל</w:t>
      </w:r>
      <w:r>
        <w:rPr>
          <w:rFonts w:ascii="David" w:hAnsi="David" w:cs="David" w:hint="cs"/>
          <w:rtl/>
        </w:rPr>
        <w:t xml:space="preserve">תרחיש </w:t>
      </w:r>
      <w:r w:rsidR="00216CEE">
        <w:rPr>
          <w:rFonts w:ascii="David" w:hAnsi="David" w:cs="David" w:hint="cs"/>
          <w:rtl/>
        </w:rPr>
        <w:t>האופט</w:t>
      </w:r>
      <w:r w:rsidR="00A468BC">
        <w:rPr>
          <w:rFonts w:ascii="David" w:hAnsi="David" w:cs="David" w:hint="cs"/>
          <w:rtl/>
        </w:rPr>
        <w:t>י</w:t>
      </w:r>
      <w:r w:rsidR="00216CEE">
        <w:rPr>
          <w:rFonts w:ascii="David" w:hAnsi="David" w:cs="David" w:hint="cs"/>
          <w:rtl/>
        </w:rPr>
        <w:t>מי</w:t>
      </w:r>
      <w:r>
        <w:rPr>
          <w:rFonts w:ascii="David" w:hAnsi="David" w:cs="David" w:hint="cs"/>
          <w:rtl/>
        </w:rPr>
        <w:t xml:space="preserve">. בארבעת </w:t>
      </w:r>
      <w:r w:rsidR="00216CEE">
        <w:rPr>
          <w:rFonts w:ascii="David" w:hAnsi="David" w:cs="David" w:hint="cs"/>
          <w:rtl/>
        </w:rPr>
        <w:t xml:space="preserve">הרבעונים </w:t>
      </w:r>
      <w:r>
        <w:rPr>
          <w:rFonts w:ascii="David" w:hAnsi="David" w:cs="David" w:hint="cs"/>
          <w:rtl/>
        </w:rPr>
        <w:t xml:space="preserve">הקרובים המסתיימים </w:t>
      </w:r>
      <w:r w:rsidR="00216CEE">
        <w:rPr>
          <w:rFonts w:ascii="David" w:hAnsi="David" w:cs="David" w:hint="cs"/>
          <w:rtl/>
        </w:rPr>
        <w:t xml:space="preserve">ברבעון </w:t>
      </w:r>
      <w:r>
        <w:rPr>
          <w:rFonts w:ascii="David" w:hAnsi="David" w:cs="David" w:hint="cs"/>
          <w:rtl/>
        </w:rPr>
        <w:t xml:space="preserve">השני של 2021 האינפלציה צפויה לעמוד על 0.6%-. יחד עם זאת, בסוף </w:t>
      </w:r>
      <w:r>
        <w:rPr>
          <w:rFonts w:ascii="David" w:hAnsi="David" w:cs="David" w:hint="cs"/>
          <w:rtl/>
        </w:rPr>
        <w:lastRenderedPageBreak/>
        <w:t xml:space="preserve">2021 האינפלציה בארבעת </w:t>
      </w:r>
      <w:r w:rsidR="00216CEE">
        <w:rPr>
          <w:rFonts w:ascii="David" w:hAnsi="David" w:cs="David" w:hint="cs"/>
          <w:rtl/>
        </w:rPr>
        <w:t xml:space="preserve">הרבעונים </w:t>
      </w:r>
      <w:r>
        <w:rPr>
          <w:rFonts w:ascii="David" w:hAnsi="David" w:cs="David" w:hint="cs"/>
          <w:rtl/>
        </w:rPr>
        <w:t xml:space="preserve">האחרונים עולה בחדות ל-0.9% והיא אף גבוהה ביחס לקצב האינפלציה בסוף 2021 בתרחיש </w:t>
      </w:r>
      <w:r w:rsidR="00216CEE">
        <w:rPr>
          <w:rFonts w:ascii="David" w:hAnsi="David" w:cs="David" w:hint="cs"/>
          <w:rtl/>
        </w:rPr>
        <w:t>האופטימי</w:t>
      </w:r>
      <w:r>
        <w:rPr>
          <w:rFonts w:ascii="David" w:hAnsi="David" w:cs="David" w:hint="cs"/>
          <w:rtl/>
        </w:rPr>
        <w:t>.</w:t>
      </w:r>
      <w:r w:rsidR="006856EF">
        <w:rPr>
          <w:rFonts w:ascii="David" w:hAnsi="David" w:cs="David" w:hint="cs"/>
          <w:rtl/>
        </w:rPr>
        <w:t xml:space="preserve"> ה</w:t>
      </w:r>
      <w:r w:rsidR="00F87EA6">
        <w:rPr>
          <w:rFonts w:ascii="David" w:hAnsi="David" w:cs="David" w:hint="cs"/>
          <w:rtl/>
        </w:rPr>
        <w:t>ה</w:t>
      </w:r>
      <w:r w:rsidR="006856EF">
        <w:rPr>
          <w:rFonts w:ascii="David" w:hAnsi="David" w:cs="David" w:hint="cs"/>
          <w:rtl/>
        </w:rPr>
        <w:t>סבר לעלייה בקצב האינפלציה בתרחיש זה בסוף 2021 הוא מגבלות בצד ההיצע בעקבות המיתון החריף יותר שצפוי בתקופה שעד למציאת החיסון.</w:t>
      </w:r>
    </w:p>
    <w:p w:rsidR="00316615" w:rsidRPr="001D5746" w:rsidRDefault="00421192" w:rsidP="00002C59">
      <w:pPr>
        <w:spacing w:after="120"/>
        <w:ind w:left="113"/>
        <w:rPr>
          <w:rFonts w:ascii="David" w:hAnsi="David" w:cs="David"/>
          <w:rtl/>
        </w:rPr>
      </w:pPr>
      <w:r w:rsidRPr="00421192">
        <w:rPr>
          <w:rFonts w:ascii="David" w:hAnsi="David" w:cs="David" w:hint="cs"/>
          <w:b/>
          <w:bCs/>
          <w:rtl/>
        </w:rPr>
        <w:t>בשני התרחישים</w:t>
      </w:r>
      <w:r>
        <w:rPr>
          <w:rFonts w:ascii="David" w:hAnsi="David" w:cs="David" w:hint="cs"/>
          <w:rtl/>
        </w:rPr>
        <w:t xml:space="preserve">, </w:t>
      </w:r>
      <w:r w:rsidR="00002C59">
        <w:rPr>
          <w:rFonts w:ascii="David" w:hAnsi="David" w:cs="David" w:hint="cs"/>
          <w:rtl/>
        </w:rPr>
        <w:t>חטיבת המחקר מעריכה</w:t>
      </w:r>
      <w:r w:rsidR="004B5554" w:rsidRPr="004B5554">
        <w:rPr>
          <w:rFonts w:ascii="David" w:hAnsi="David" w:cs="David"/>
          <w:rtl/>
        </w:rPr>
        <w:t xml:space="preserve"> כי</w:t>
      </w:r>
      <w:r w:rsidR="004B5554" w:rsidRPr="004B5554">
        <w:rPr>
          <w:rFonts w:ascii="David" w:hAnsi="David" w:cs="David"/>
          <w:b/>
          <w:bCs/>
          <w:rtl/>
        </w:rPr>
        <w:t xml:space="preserve"> </w:t>
      </w:r>
      <w:r w:rsidR="004B5554" w:rsidRPr="004B5554">
        <w:rPr>
          <w:rFonts w:ascii="David" w:hAnsi="David" w:cs="David" w:hint="cs"/>
          <w:rtl/>
        </w:rPr>
        <w:t xml:space="preserve">בעוד שנה </w:t>
      </w:r>
      <w:r w:rsidR="004B5554" w:rsidRPr="004B5554">
        <w:rPr>
          <w:rFonts w:ascii="David" w:hAnsi="David" w:cs="David"/>
          <w:b/>
          <w:bCs/>
          <w:rtl/>
        </w:rPr>
        <w:t xml:space="preserve">ריבית </w:t>
      </w:r>
      <w:r w:rsidR="004B5554" w:rsidRPr="004B5554">
        <w:rPr>
          <w:rFonts w:ascii="David" w:hAnsi="David" w:cs="David" w:hint="cs"/>
          <w:b/>
          <w:bCs/>
          <w:rtl/>
        </w:rPr>
        <w:t>בנק ישראל תעמוד ברמה של 0</w:t>
      </w:r>
      <w:r w:rsidR="001001BA">
        <w:rPr>
          <w:rFonts w:ascii="David" w:hAnsi="David" w:cs="David" w:hint="cs"/>
          <w:b/>
          <w:bCs/>
          <w:rtl/>
        </w:rPr>
        <w:t>%</w:t>
      </w:r>
      <w:r w:rsidR="004B5554" w:rsidRPr="004B5554">
        <w:rPr>
          <w:rFonts w:ascii="David" w:hAnsi="David" w:cs="David" w:hint="cs"/>
          <w:b/>
          <w:bCs/>
          <w:rtl/>
        </w:rPr>
        <w:t xml:space="preserve">-0.1% </w:t>
      </w:r>
      <w:r w:rsidR="004B5554" w:rsidRPr="004B5554">
        <w:rPr>
          <w:rFonts w:ascii="David" w:hAnsi="David" w:cs="David" w:hint="cs"/>
          <w:rtl/>
        </w:rPr>
        <w:t xml:space="preserve">(לוח </w:t>
      </w:r>
      <w:r w:rsidR="0048462F">
        <w:rPr>
          <w:rFonts w:ascii="David" w:hAnsi="David" w:cs="David" w:hint="cs"/>
          <w:rtl/>
        </w:rPr>
        <w:t>3</w:t>
      </w:r>
      <w:r w:rsidR="004B5554" w:rsidRPr="004B5554">
        <w:rPr>
          <w:rFonts w:ascii="David" w:hAnsi="David" w:cs="David" w:hint="cs"/>
          <w:rtl/>
        </w:rPr>
        <w:t>), בדומה להערכתנו בתרחיש הבסיסי בתחזית יולי</w:t>
      </w:r>
      <w:r>
        <w:rPr>
          <w:rFonts w:ascii="David" w:hAnsi="David" w:cs="David" w:hint="cs"/>
          <w:rtl/>
        </w:rPr>
        <w:t xml:space="preserve">, </w:t>
      </w:r>
      <w:r w:rsidR="00216CEE" w:rsidRPr="008E1DFC">
        <w:rPr>
          <w:rFonts w:ascii="David" w:hAnsi="David" w:cs="David" w:hint="eastAsia"/>
          <w:rtl/>
        </w:rPr>
        <w:t>אך</w:t>
      </w:r>
      <w:r w:rsidR="00216CEE" w:rsidRPr="008E1DFC">
        <w:rPr>
          <w:rFonts w:ascii="David" w:hAnsi="David" w:cs="David"/>
          <w:rtl/>
        </w:rPr>
        <w:t xml:space="preserve"> </w:t>
      </w:r>
      <w:r w:rsidR="00216CEE" w:rsidRPr="008E1DFC">
        <w:rPr>
          <w:rFonts w:ascii="David" w:hAnsi="David" w:cs="David" w:hint="eastAsia"/>
          <w:rtl/>
        </w:rPr>
        <w:t>ייתכן</w:t>
      </w:r>
      <w:r w:rsidR="00216CEE" w:rsidRPr="008E1DFC">
        <w:rPr>
          <w:rFonts w:ascii="David" w:hAnsi="David" w:cs="David"/>
          <w:rtl/>
        </w:rPr>
        <w:t xml:space="preserve"> </w:t>
      </w:r>
      <w:r w:rsidR="00216CEE" w:rsidRPr="008E1DFC">
        <w:rPr>
          <w:rFonts w:ascii="David" w:hAnsi="David" w:cs="David" w:hint="eastAsia"/>
          <w:rtl/>
        </w:rPr>
        <w:t>שבנק</w:t>
      </w:r>
      <w:r w:rsidR="00216CEE" w:rsidRPr="008E1DFC">
        <w:rPr>
          <w:rFonts w:ascii="David" w:hAnsi="David" w:cs="David"/>
          <w:rtl/>
        </w:rPr>
        <w:t xml:space="preserve"> </w:t>
      </w:r>
      <w:r w:rsidR="00216CEE" w:rsidRPr="008E1DFC">
        <w:rPr>
          <w:rFonts w:ascii="David" w:hAnsi="David" w:cs="David" w:hint="eastAsia"/>
          <w:rtl/>
        </w:rPr>
        <w:t>ישראל</w:t>
      </w:r>
      <w:r w:rsidR="00216CEE" w:rsidRPr="008E1DFC">
        <w:rPr>
          <w:rFonts w:ascii="David" w:hAnsi="David" w:cs="David"/>
          <w:rtl/>
        </w:rPr>
        <w:t xml:space="preserve"> </w:t>
      </w:r>
      <w:r w:rsidR="00216CEE" w:rsidRPr="008E1DFC">
        <w:rPr>
          <w:rFonts w:ascii="David" w:hAnsi="David" w:cs="David" w:hint="eastAsia"/>
          <w:rtl/>
        </w:rPr>
        <w:t>ירחיב</w:t>
      </w:r>
      <w:r w:rsidR="00216CEE" w:rsidRPr="008E1DFC">
        <w:rPr>
          <w:rFonts w:ascii="David" w:hAnsi="David" w:cs="David"/>
          <w:rtl/>
        </w:rPr>
        <w:t xml:space="preserve"> </w:t>
      </w:r>
      <w:r w:rsidR="00216CEE" w:rsidRPr="008E1DFC">
        <w:rPr>
          <w:rFonts w:ascii="David" w:hAnsi="David" w:cs="David" w:hint="eastAsia"/>
          <w:rtl/>
        </w:rPr>
        <w:t>או</w:t>
      </w:r>
      <w:r w:rsidR="00216CEE" w:rsidRPr="008E1DFC">
        <w:rPr>
          <w:rFonts w:ascii="David" w:hAnsi="David" w:cs="David"/>
          <w:rtl/>
        </w:rPr>
        <w:t xml:space="preserve"> </w:t>
      </w:r>
      <w:r w:rsidR="00216CEE" w:rsidRPr="008E1DFC">
        <w:rPr>
          <w:rFonts w:ascii="David" w:hAnsi="David" w:cs="David" w:hint="eastAsia"/>
          <w:rtl/>
        </w:rPr>
        <w:t>יאיץ</w:t>
      </w:r>
      <w:r w:rsidR="00216CEE" w:rsidRPr="008E1DFC">
        <w:rPr>
          <w:rFonts w:ascii="David" w:hAnsi="David" w:cs="David"/>
          <w:rtl/>
        </w:rPr>
        <w:t xml:space="preserve"> </w:t>
      </w:r>
      <w:r w:rsidR="00216CEE" w:rsidRPr="008E1DFC">
        <w:rPr>
          <w:rFonts w:ascii="David" w:hAnsi="David" w:cs="David" w:hint="eastAsia"/>
          <w:rtl/>
        </w:rPr>
        <w:t>את</w:t>
      </w:r>
      <w:r w:rsidR="00216CEE" w:rsidRPr="008E1DFC">
        <w:rPr>
          <w:rFonts w:ascii="David" w:hAnsi="David" w:cs="David"/>
          <w:rtl/>
        </w:rPr>
        <w:t xml:space="preserve"> </w:t>
      </w:r>
      <w:r w:rsidR="00216CEE" w:rsidRPr="008E1DFC">
        <w:rPr>
          <w:rFonts w:ascii="David" w:hAnsi="David" w:cs="David" w:hint="eastAsia"/>
          <w:rtl/>
        </w:rPr>
        <w:t>השימוש</w:t>
      </w:r>
      <w:r w:rsidR="00216CEE" w:rsidRPr="008E1DFC">
        <w:rPr>
          <w:rFonts w:ascii="David" w:hAnsi="David" w:cs="David"/>
          <w:rtl/>
        </w:rPr>
        <w:t xml:space="preserve"> </w:t>
      </w:r>
      <w:r w:rsidR="00216CEE" w:rsidRPr="008E1DFC">
        <w:rPr>
          <w:rFonts w:ascii="David" w:hAnsi="David" w:cs="David" w:hint="eastAsia"/>
          <w:rtl/>
        </w:rPr>
        <w:t>בכלי</w:t>
      </w:r>
      <w:r w:rsidR="00216CEE" w:rsidRPr="008E1DFC">
        <w:rPr>
          <w:rFonts w:ascii="David" w:hAnsi="David" w:cs="David"/>
          <w:rtl/>
        </w:rPr>
        <w:t xml:space="preserve"> </w:t>
      </w:r>
      <w:r w:rsidR="00216CEE" w:rsidRPr="008E1DFC">
        <w:rPr>
          <w:rFonts w:ascii="David" w:hAnsi="David" w:cs="David" w:hint="eastAsia"/>
          <w:rtl/>
        </w:rPr>
        <w:t>מדיניות</w:t>
      </w:r>
      <w:r w:rsidR="00216CEE" w:rsidRPr="008E1DFC">
        <w:rPr>
          <w:rFonts w:ascii="David" w:hAnsi="David" w:cs="David"/>
          <w:rtl/>
        </w:rPr>
        <w:t xml:space="preserve"> </w:t>
      </w:r>
      <w:r w:rsidR="00216CEE">
        <w:rPr>
          <w:rFonts w:ascii="David" w:hAnsi="David" w:cs="David" w:hint="cs"/>
          <w:rtl/>
        </w:rPr>
        <w:t xml:space="preserve">קיימים או נוספים, </w:t>
      </w:r>
      <w:r w:rsidR="00216CEE" w:rsidRPr="00421192">
        <w:rPr>
          <w:rFonts w:ascii="David" w:hAnsi="David" w:cs="David" w:hint="cs"/>
          <w:rtl/>
        </w:rPr>
        <w:t>כולל כלי הריבית</w:t>
      </w:r>
      <w:r w:rsidRPr="00421192">
        <w:rPr>
          <w:rFonts w:ascii="David" w:hAnsi="David" w:cs="David" w:hint="cs"/>
          <w:rtl/>
        </w:rPr>
        <w:t>, בהתאם להתפתחויות</w:t>
      </w:r>
      <w:r w:rsidR="004B5554" w:rsidRPr="004B5554">
        <w:rPr>
          <w:rFonts w:ascii="David" w:hAnsi="David" w:cs="David"/>
          <w:b/>
          <w:bCs/>
          <w:rtl/>
        </w:rPr>
        <w:t>.</w:t>
      </w:r>
      <w:r w:rsidR="004B5554" w:rsidRPr="004B5554">
        <w:rPr>
          <w:rFonts w:ascii="David" w:hAnsi="David" w:cs="David" w:hint="cs"/>
          <w:rtl/>
        </w:rPr>
        <w:t xml:space="preserve"> </w:t>
      </w:r>
    </w:p>
    <w:p w:rsidR="00316615" w:rsidRPr="00D94D1C" w:rsidRDefault="00316615" w:rsidP="00BA570C">
      <w:pPr>
        <w:spacing w:after="120"/>
        <w:ind w:left="113"/>
        <w:rPr>
          <w:rFonts w:ascii="David" w:hAnsi="David" w:cs="David"/>
          <w:rtl/>
        </w:rPr>
      </w:pPr>
      <w:r w:rsidRPr="001D5746">
        <w:rPr>
          <w:rFonts w:ascii="David" w:hAnsi="David" w:cs="David"/>
          <w:rtl/>
        </w:rPr>
        <w:t>מ</w:t>
      </w:r>
      <w:r w:rsidRPr="001D5746">
        <w:rPr>
          <w:rFonts w:ascii="David" w:hAnsi="David" w:cs="David" w:hint="cs"/>
          <w:rtl/>
        </w:rPr>
        <w:t xml:space="preserve">לוח </w:t>
      </w:r>
      <w:r w:rsidR="00410FDD" w:rsidRPr="001D5746">
        <w:rPr>
          <w:rFonts w:ascii="David" w:hAnsi="David" w:cs="David" w:hint="cs"/>
          <w:rtl/>
        </w:rPr>
        <w:t>3</w:t>
      </w:r>
      <w:r w:rsidRPr="001D5746">
        <w:rPr>
          <w:rFonts w:ascii="David" w:hAnsi="David" w:cs="David" w:hint="cs"/>
          <w:rtl/>
        </w:rPr>
        <w:t xml:space="preserve"> </w:t>
      </w:r>
      <w:r w:rsidRPr="001D5746">
        <w:rPr>
          <w:rFonts w:ascii="David" w:hAnsi="David" w:cs="David"/>
          <w:rtl/>
        </w:rPr>
        <w:t xml:space="preserve">עולה כי </w:t>
      </w:r>
      <w:r w:rsidR="00425417" w:rsidRPr="001D5746">
        <w:rPr>
          <w:rFonts w:ascii="David" w:hAnsi="David" w:cs="David" w:hint="cs"/>
          <w:rtl/>
        </w:rPr>
        <w:t xml:space="preserve">טווח </w:t>
      </w:r>
      <w:r w:rsidRPr="001D5746">
        <w:rPr>
          <w:rFonts w:ascii="David" w:hAnsi="David" w:cs="David" w:hint="cs"/>
          <w:rtl/>
        </w:rPr>
        <w:t>תחזי</w:t>
      </w:r>
      <w:r w:rsidR="00425417" w:rsidRPr="001D5746">
        <w:rPr>
          <w:rFonts w:ascii="David" w:hAnsi="David" w:cs="David" w:hint="cs"/>
          <w:rtl/>
        </w:rPr>
        <w:t>ו</w:t>
      </w:r>
      <w:r w:rsidRPr="001D5746">
        <w:rPr>
          <w:rFonts w:ascii="David" w:hAnsi="David" w:cs="David" w:hint="cs"/>
          <w:rtl/>
        </w:rPr>
        <w:t xml:space="preserve">ת האינפלציה במהלך השנה הקרובה של חטיבת המחקר </w:t>
      </w:r>
      <w:r w:rsidR="00BA570C" w:rsidRPr="001D5746">
        <w:rPr>
          <w:rFonts w:ascii="David" w:hAnsi="David" w:cs="David" w:hint="cs"/>
          <w:rtl/>
        </w:rPr>
        <w:t>נמו</w:t>
      </w:r>
      <w:r w:rsidR="00BA570C">
        <w:rPr>
          <w:rFonts w:ascii="David" w:hAnsi="David" w:cs="David" w:hint="cs"/>
          <w:rtl/>
        </w:rPr>
        <w:t>ך</w:t>
      </w:r>
      <w:r w:rsidR="00BA570C" w:rsidRPr="001D5746">
        <w:rPr>
          <w:rFonts w:ascii="David" w:hAnsi="David" w:cs="David" w:hint="cs"/>
          <w:rtl/>
        </w:rPr>
        <w:t xml:space="preserve"> </w:t>
      </w:r>
      <w:r w:rsidRPr="001D5746">
        <w:rPr>
          <w:rFonts w:ascii="David" w:hAnsi="David" w:cs="David" w:hint="cs"/>
          <w:rtl/>
        </w:rPr>
        <w:t>משמעותית מ</w:t>
      </w:r>
      <w:r w:rsidR="00425417" w:rsidRPr="001D5746">
        <w:rPr>
          <w:rFonts w:ascii="David" w:hAnsi="David" w:cs="David" w:hint="cs"/>
          <w:rtl/>
        </w:rPr>
        <w:t>ממוצע</w:t>
      </w:r>
      <w:r w:rsidRPr="001D5746">
        <w:rPr>
          <w:rFonts w:ascii="David" w:hAnsi="David" w:cs="David" w:hint="cs"/>
          <w:rtl/>
        </w:rPr>
        <w:t xml:space="preserve"> החזאים הפרטיים, </w:t>
      </w:r>
      <w:r w:rsidR="00BA570C" w:rsidRPr="001D5746">
        <w:rPr>
          <w:rFonts w:ascii="David" w:hAnsi="David" w:cs="David" w:hint="cs"/>
          <w:rtl/>
        </w:rPr>
        <w:t>ונמו</w:t>
      </w:r>
      <w:r w:rsidR="00BA570C">
        <w:rPr>
          <w:rFonts w:ascii="David" w:hAnsi="David" w:cs="David" w:hint="cs"/>
          <w:rtl/>
        </w:rPr>
        <w:t>ך</w:t>
      </w:r>
      <w:r w:rsidR="00BA570C" w:rsidRPr="001D5746">
        <w:rPr>
          <w:rFonts w:ascii="David" w:hAnsi="David" w:cs="David" w:hint="cs"/>
          <w:rtl/>
        </w:rPr>
        <w:t xml:space="preserve"> </w:t>
      </w:r>
      <w:r w:rsidRPr="001D5746">
        <w:rPr>
          <w:rFonts w:ascii="David" w:hAnsi="David" w:cs="David" w:hint="cs"/>
          <w:rtl/>
        </w:rPr>
        <w:t>במעט מהציפיות בשוק</w:t>
      </w:r>
      <w:r w:rsidRPr="001D5746">
        <w:rPr>
          <w:rFonts w:ascii="David" w:hAnsi="David" w:cs="David"/>
          <w:rtl/>
        </w:rPr>
        <w:t xml:space="preserve"> </w:t>
      </w:r>
      <w:r w:rsidRPr="001D5746">
        <w:rPr>
          <w:rFonts w:ascii="David" w:hAnsi="David" w:cs="David" w:hint="cs"/>
          <w:rtl/>
        </w:rPr>
        <w:t xml:space="preserve">ההון. באשר לריבית, הן </w:t>
      </w:r>
      <w:r w:rsidRPr="001D5746">
        <w:rPr>
          <w:rFonts w:ascii="David" w:hAnsi="David" w:cs="David"/>
          <w:rtl/>
        </w:rPr>
        <w:t>תחזי</w:t>
      </w:r>
      <w:r w:rsidRPr="001D5746">
        <w:rPr>
          <w:rFonts w:ascii="David" w:hAnsi="David" w:cs="David" w:hint="cs"/>
          <w:rtl/>
        </w:rPr>
        <w:t xml:space="preserve">ות </w:t>
      </w:r>
      <w:r w:rsidRPr="001D5746">
        <w:rPr>
          <w:rFonts w:ascii="David" w:hAnsi="David" w:cs="David"/>
          <w:rtl/>
        </w:rPr>
        <w:t>החזאים ו</w:t>
      </w:r>
      <w:r w:rsidRPr="001D5746">
        <w:rPr>
          <w:rFonts w:ascii="David" w:hAnsi="David" w:cs="David" w:hint="cs"/>
          <w:rtl/>
        </w:rPr>
        <w:t>הן ה</w:t>
      </w:r>
      <w:r w:rsidRPr="001D5746">
        <w:rPr>
          <w:rFonts w:ascii="David" w:hAnsi="David" w:cs="David"/>
          <w:rtl/>
        </w:rPr>
        <w:t>ציפיות הנגזרות משוק ההון</w:t>
      </w:r>
      <w:r w:rsidRPr="001D5746">
        <w:rPr>
          <w:rFonts w:ascii="David" w:hAnsi="David" w:cs="David" w:hint="cs"/>
          <w:rtl/>
        </w:rPr>
        <w:t xml:space="preserve"> נמצאות בטווח </w:t>
      </w:r>
      <w:r w:rsidRPr="001D5746">
        <w:rPr>
          <w:rFonts w:ascii="David" w:hAnsi="David" w:cs="David"/>
          <w:rtl/>
        </w:rPr>
        <w:t>תחזית הריבית של החטיבה.</w:t>
      </w:r>
    </w:p>
    <w:tbl>
      <w:tblPr>
        <w:tblStyle w:val="21"/>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לוח 2"/>
        <w:tblDescription w:val="השוואת התחזיות לאינפלציה ולריבית לשנה הקרובה"/>
      </w:tblPr>
      <w:tblGrid>
        <w:gridCol w:w="2777"/>
        <w:gridCol w:w="1984"/>
        <w:gridCol w:w="1984"/>
        <w:gridCol w:w="1984"/>
      </w:tblGrid>
      <w:tr w:rsidR="00917C6D" w:rsidRPr="0086400E" w:rsidTr="00316615">
        <w:trPr>
          <w:cantSplit/>
          <w:trHeight w:val="283"/>
          <w:tblHeader/>
          <w:jc w:val="center"/>
        </w:trPr>
        <w:tc>
          <w:tcPr>
            <w:tcW w:w="8729" w:type="dxa"/>
            <w:gridSpan w:val="4"/>
            <w:vAlign w:val="center"/>
          </w:tcPr>
          <w:p w:rsidR="00917C6D" w:rsidRPr="0086400E" w:rsidRDefault="00917C6D" w:rsidP="00410FDD">
            <w:pPr>
              <w:pStyle w:val="aa"/>
              <w:ind w:left="113"/>
              <w:rPr>
                <w:rFonts w:ascii="David" w:eastAsiaTheme="minorHAnsi" w:hAnsi="David" w:cs="David"/>
                <w:rtl/>
              </w:rPr>
            </w:pPr>
            <w:bookmarkStart w:id="2" w:name="_Ref503164928"/>
            <w:r w:rsidRPr="0086400E">
              <w:rPr>
                <w:rFonts w:ascii="David" w:eastAsiaTheme="minorHAnsi" w:hAnsi="David" w:cs="David"/>
                <w:rtl/>
              </w:rPr>
              <w:t xml:space="preserve">לוח </w:t>
            </w:r>
            <w:bookmarkEnd w:id="2"/>
            <w:r w:rsidR="00410FDD">
              <w:rPr>
                <w:rFonts w:ascii="David" w:hAnsi="David" w:cs="David" w:hint="cs"/>
                <w:rtl/>
              </w:rPr>
              <w:t>3</w:t>
            </w:r>
          </w:p>
          <w:p w:rsidR="00917C6D" w:rsidRPr="0086400E" w:rsidRDefault="00917C6D" w:rsidP="00EA1778">
            <w:pPr>
              <w:pStyle w:val="aa"/>
              <w:ind w:left="113"/>
              <w:rPr>
                <w:rFonts w:ascii="David" w:eastAsiaTheme="minorHAnsi" w:hAnsi="David" w:cs="David"/>
                <w:b w:val="0"/>
                <w:bCs w:val="0"/>
                <w:rtl/>
              </w:rPr>
            </w:pPr>
            <w:r w:rsidRPr="0086400E">
              <w:rPr>
                <w:rFonts w:ascii="David" w:eastAsiaTheme="minorHAnsi" w:hAnsi="David" w:cs="David"/>
                <w:rtl/>
              </w:rPr>
              <w:t>התחזיות לגבי האינפלציה במהלך השנה הקרובה ולגבי הריבית בעוד שנה</w:t>
            </w:r>
          </w:p>
          <w:p w:rsidR="00917C6D" w:rsidRPr="0086400E" w:rsidRDefault="00917C6D" w:rsidP="000D1589">
            <w:pPr>
              <w:pStyle w:val="aa"/>
              <w:ind w:left="113"/>
              <w:rPr>
                <w:rFonts w:ascii="David" w:hAnsi="David" w:cs="David"/>
                <w:b w:val="0"/>
                <w:bCs w:val="0"/>
                <w:highlight w:val="yellow"/>
                <w:rtl/>
              </w:rPr>
            </w:pPr>
            <w:r w:rsidRPr="0086400E">
              <w:rPr>
                <w:rFonts w:ascii="David" w:eastAsiaTheme="minorHAnsi" w:hAnsi="David" w:cs="David"/>
                <w:b w:val="0"/>
                <w:bCs w:val="0"/>
                <w:rtl/>
              </w:rPr>
              <w:t>(אחוזים)</w:t>
            </w:r>
          </w:p>
        </w:tc>
      </w:tr>
      <w:tr w:rsidR="00917C6D" w:rsidRPr="00316615" w:rsidTr="000D1589">
        <w:trPr>
          <w:cantSplit/>
          <w:trHeight w:val="283"/>
          <w:tblHeader/>
          <w:jc w:val="center"/>
        </w:trPr>
        <w:tc>
          <w:tcPr>
            <w:tcW w:w="0" w:type="auto"/>
            <w:tcBorders>
              <w:bottom w:val="single" w:sz="4" w:space="0" w:color="auto"/>
            </w:tcBorders>
            <w:vAlign w:val="center"/>
          </w:tcPr>
          <w:p w:rsidR="00917C6D" w:rsidRPr="00316615" w:rsidRDefault="00917C6D" w:rsidP="000D1589">
            <w:pPr>
              <w:pStyle w:val="Tablenc"/>
              <w:jc w:val="center"/>
              <w:rPr>
                <w:rFonts w:ascii="David" w:hAnsi="David" w:cs="David"/>
                <w:sz w:val="24"/>
                <w:szCs w:val="24"/>
                <w:rtl/>
              </w:rPr>
            </w:pPr>
          </w:p>
        </w:tc>
        <w:tc>
          <w:tcPr>
            <w:tcW w:w="1984" w:type="dxa"/>
            <w:tcBorders>
              <w:bottom w:val="single" w:sz="4" w:space="0" w:color="auto"/>
            </w:tcBorders>
            <w:shd w:val="clear" w:color="auto" w:fill="auto"/>
            <w:vAlign w:val="center"/>
          </w:tcPr>
          <w:p w:rsidR="00917C6D" w:rsidRPr="00316615" w:rsidRDefault="00917C6D" w:rsidP="000D1589">
            <w:pPr>
              <w:pStyle w:val="Tablenc"/>
              <w:jc w:val="center"/>
              <w:rPr>
                <w:rFonts w:ascii="David" w:hAnsi="David" w:cs="David"/>
                <w:sz w:val="24"/>
                <w:szCs w:val="24"/>
                <w:rtl/>
              </w:rPr>
            </w:pPr>
            <w:r w:rsidRPr="00316615">
              <w:rPr>
                <w:rFonts w:ascii="David" w:hAnsi="David" w:cs="David"/>
                <w:sz w:val="24"/>
                <w:szCs w:val="24"/>
                <w:rtl/>
              </w:rPr>
              <w:t>חטיבת המחקר של בנק ישראל</w:t>
            </w:r>
          </w:p>
        </w:tc>
        <w:tc>
          <w:tcPr>
            <w:tcW w:w="1984" w:type="dxa"/>
            <w:tcBorders>
              <w:bottom w:val="single" w:sz="4" w:space="0" w:color="auto"/>
            </w:tcBorders>
            <w:shd w:val="clear" w:color="auto" w:fill="auto"/>
            <w:vAlign w:val="center"/>
          </w:tcPr>
          <w:p w:rsidR="00917C6D" w:rsidRPr="00316615" w:rsidRDefault="00917C6D" w:rsidP="000D1589">
            <w:pPr>
              <w:pStyle w:val="Tablenc"/>
              <w:jc w:val="center"/>
              <w:rPr>
                <w:rFonts w:ascii="David" w:hAnsi="David" w:cs="David"/>
                <w:sz w:val="24"/>
                <w:szCs w:val="24"/>
                <w:rtl/>
              </w:rPr>
            </w:pPr>
            <w:r w:rsidRPr="00316615">
              <w:rPr>
                <w:rFonts w:ascii="David" w:hAnsi="David" w:cs="David"/>
                <w:sz w:val="24"/>
                <w:szCs w:val="24"/>
                <w:rtl/>
              </w:rPr>
              <w:t>שוק ההון</w:t>
            </w:r>
            <w:r w:rsidRPr="00316615">
              <w:rPr>
                <w:rFonts w:ascii="David" w:hAnsi="David" w:cs="David"/>
                <w:sz w:val="24"/>
                <w:szCs w:val="24"/>
                <w:vertAlign w:val="superscript"/>
                <w:rtl/>
              </w:rPr>
              <w:t>1</w:t>
            </w:r>
          </w:p>
        </w:tc>
        <w:tc>
          <w:tcPr>
            <w:tcW w:w="1984" w:type="dxa"/>
            <w:tcBorders>
              <w:bottom w:val="single" w:sz="4" w:space="0" w:color="auto"/>
            </w:tcBorders>
            <w:shd w:val="clear" w:color="auto" w:fill="auto"/>
            <w:vAlign w:val="center"/>
          </w:tcPr>
          <w:p w:rsidR="00917C6D" w:rsidRPr="00316615" w:rsidRDefault="00917C6D" w:rsidP="000D1589">
            <w:pPr>
              <w:pStyle w:val="Tablenc"/>
              <w:jc w:val="center"/>
              <w:rPr>
                <w:rFonts w:ascii="David" w:hAnsi="David" w:cs="David"/>
                <w:sz w:val="24"/>
                <w:szCs w:val="24"/>
                <w:rtl/>
              </w:rPr>
            </w:pPr>
            <w:r w:rsidRPr="00316615">
              <w:rPr>
                <w:rFonts w:ascii="David" w:hAnsi="David" w:cs="David"/>
                <w:sz w:val="24"/>
                <w:szCs w:val="24"/>
                <w:rtl/>
              </w:rPr>
              <w:t>החזאים הפרטיים</w:t>
            </w:r>
            <w:r w:rsidRPr="00316615">
              <w:rPr>
                <w:rFonts w:ascii="David" w:hAnsi="David" w:cs="David"/>
                <w:sz w:val="24"/>
                <w:szCs w:val="24"/>
                <w:vertAlign w:val="superscript"/>
                <w:rtl/>
              </w:rPr>
              <w:t>2</w:t>
            </w:r>
          </w:p>
        </w:tc>
      </w:tr>
      <w:tr w:rsidR="00316615" w:rsidRPr="00316615" w:rsidTr="00044546">
        <w:trPr>
          <w:cantSplit/>
          <w:trHeight w:val="283"/>
          <w:jc w:val="center"/>
        </w:trPr>
        <w:tc>
          <w:tcPr>
            <w:tcW w:w="0" w:type="auto"/>
            <w:tcBorders>
              <w:top w:val="single" w:sz="4" w:space="0" w:color="auto"/>
              <w:bottom w:val="single" w:sz="4" w:space="0" w:color="auto"/>
            </w:tcBorders>
            <w:vAlign w:val="center"/>
          </w:tcPr>
          <w:p w:rsidR="00316615" w:rsidRPr="00425417" w:rsidRDefault="00316615" w:rsidP="00316615">
            <w:pPr>
              <w:pStyle w:val="Tablenc"/>
              <w:jc w:val="left"/>
              <w:rPr>
                <w:rFonts w:ascii="David" w:hAnsi="David" w:cs="David"/>
                <w:sz w:val="24"/>
                <w:szCs w:val="24"/>
                <w:rtl/>
              </w:rPr>
            </w:pPr>
            <w:r w:rsidRPr="00425417">
              <w:rPr>
                <w:rFonts w:ascii="David" w:hAnsi="David" w:cs="David"/>
                <w:sz w:val="24"/>
                <w:szCs w:val="24"/>
                <w:rtl/>
              </w:rPr>
              <w:t>האינפלציה</w:t>
            </w:r>
            <w:r w:rsidRPr="00425417">
              <w:rPr>
                <w:rFonts w:ascii="David" w:hAnsi="David" w:cs="David"/>
                <w:sz w:val="24"/>
                <w:szCs w:val="24"/>
                <w:vertAlign w:val="superscript"/>
                <w:rtl/>
              </w:rPr>
              <w:t>3</w:t>
            </w:r>
            <w:r w:rsidRPr="00425417">
              <w:rPr>
                <w:rFonts w:ascii="David" w:hAnsi="David" w:cs="David"/>
                <w:sz w:val="24"/>
                <w:szCs w:val="24"/>
                <w:rtl/>
              </w:rPr>
              <w:t xml:space="preserve"> (טווח התחזיות)</w:t>
            </w:r>
          </w:p>
        </w:tc>
        <w:tc>
          <w:tcPr>
            <w:tcW w:w="1984" w:type="dxa"/>
            <w:tcBorders>
              <w:top w:val="single" w:sz="4" w:space="0" w:color="auto"/>
              <w:bottom w:val="single" w:sz="4" w:space="0" w:color="auto"/>
            </w:tcBorders>
            <w:shd w:val="clear" w:color="auto" w:fill="auto"/>
          </w:tcPr>
          <w:p w:rsidR="00316615" w:rsidRPr="00425417" w:rsidRDefault="00EB69E2" w:rsidP="00EB69E2">
            <w:pPr>
              <w:pStyle w:val="Tablenc"/>
              <w:bidi w:val="0"/>
              <w:jc w:val="center"/>
              <w:rPr>
                <w:rFonts w:ascii="David" w:hAnsi="David" w:cs="David"/>
                <w:sz w:val="24"/>
                <w:szCs w:val="24"/>
              </w:rPr>
            </w:pPr>
            <w:r w:rsidRPr="00425417">
              <w:rPr>
                <w:rFonts w:ascii="David" w:hAnsi="David" w:cs="David"/>
                <w:color w:val="000000"/>
                <w:sz w:val="24"/>
                <w:szCs w:val="24"/>
              </w:rPr>
              <w:softHyphen/>
              <w:t>-0.6 – 0</w:t>
            </w:r>
          </w:p>
        </w:tc>
        <w:tc>
          <w:tcPr>
            <w:tcW w:w="1984" w:type="dxa"/>
            <w:tcBorders>
              <w:top w:val="single" w:sz="4" w:space="0" w:color="auto"/>
              <w:bottom w:val="single" w:sz="4" w:space="0" w:color="auto"/>
            </w:tcBorders>
            <w:shd w:val="clear" w:color="auto" w:fill="auto"/>
          </w:tcPr>
          <w:p w:rsidR="00316615" w:rsidRPr="00425417" w:rsidRDefault="00316615" w:rsidP="00316615">
            <w:pPr>
              <w:pStyle w:val="Tablenc"/>
              <w:bidi w:val="0"/>
              <w:jc w:val="center"/>
              <w:rPr>
                <w:rFonts w:ascii="David" w:hAnsi="David" w:cs="David"/>
                <w:sz w:val="24"/>
                <w:szCs w:val="24"/>
              </w:rPr>
            </w:pPr>
            <w:r w:rsidRPr="00425417">
              <w:rPr>
                <w:rFonts w:ascii="David" w:hAnsi="David" w:cs="David"/>
                <w:color w:val="000000"/>
                <w:sz w:val="24"/>
                <w:szCs w:val="24"/>
              </w:rPr>
              <w:t>0.1</w:t>
            </w:r>
          </w:p>
        </w:tc>
        <w:tc>
          <w:tcPr>
            <w:tcW w:w="1984" w:type="dxa"/>
            <w:tcBorders>
              <w:top w:val="single" w:sz="4" w:space="0" w:color="auto"/>
              <w:bottom w:val="single" w:sz="4" w:space="0" w:color="auto"/>
            </w:tcBorders>
            <w:shd w:val="clear" w:color="auto" w:fill="auto"/>
          </w:tcPr>
          <w:p w:rsidR="00316615" w:rsidRPr="00425417" w:rsidRDefault="00316615" w:rsidP="00425417">
            <w:pPr>
              <w:pStyle w:val="Tablenc"/>
              <w:bidi w:val="0"/>
              <w:jc w:val="center"/>
              <w:rPr>
                <w:rFonts w:ascii="David" w:hAnsi="David" w:cs="David"/>
                <w:sz w:val="24"/>
                <w:szCs w:val="24"/>
                <w:rtl/>
              </w:rPr>
            </w:pPr>
            <w:r w:rsidRPr="00425417">
              <w:rPr>
                <w:rFonts w:ascii="David" w:hAnsi="David" w:cs="David"/>
                <w:color w:val="000000"/>
                <w:sz w:val="24"/>
                <w:szCs w:val="24"/>
              </w:rPr>
              <w:t>0.</w:t>
            </w:r>
            <w:r w:rsidR="00425417" w:rsidRPr="00425417">
              <w:rPr>
                <w:rFonts w:ascii="David" w:hAnsi="David" w:cs="David" w:hint="cs"/>
                <w:color w:val="000000"/>
                <w:sz w:val="24"/>
                <w:szCs w:val="24"/>
                <w:rtl/>
              </w:rPr>
              <w:t>4</w:t>
            </w:r>
            <w:r w:rsidRPr="00425417">
              <w:rPr>
                <w:rFonts w:ascii="David" w:hAnsi="David" w:cs="David"/>
                <w:color w:val="000000"/>
                <w:sz w:val="24"/>
                <w:szCs w:val="24"/>
              </w:rPr>
              <w:t xml:space="preserve"> (-0.4–1.</w:t>
            </w:r>
            <w:r w:rsidR="00425417" w:rsidRPr="00425417">
              <w:rPr>
                <w:rFonts w:ascii="David" w:hAnsi="David" w:cs="David" w:hint="cs"/>
                <w:color w:val="000000"/>
                <w:sz w:val="24"/>
                <w:szCs w:val="24"/>
                <w:rtl/>
              </w:rPr>
              <w:t>0</w:t>
            </w:r>
            <w:r w:rsidRPr="00425417">
              <w:rPr>
                <w:rFonts w:ascii="David" w:hAnsi="David" w:cs="David"/>
                <w:color w:val="000000"/>
                <w:sz w:val="24"/>
                <w:szCs w:val="24"/>
              </w:rPr>
              <w:t>)</w:t>
            </w:r>
          </w:p>
        </w:tc>
      </w:tr>
      <w:tr w:rsidR="00316615" w:rsidRPr="00316615" w:rsidTr="00044546">
        <w:trPr>
          <w:cantSplit/>
          <w:trHeight w:val="283"/>
          <w:jc w:val="center"/>
        </w:trPr>
        <w:tc>
          <w:tcPr>
            <w:tcW w:w="0" w:type="auto"/>
            <w:tcBorders>
              <w:top w:val="single" w:sz="4" w:space="0" w:color="auto"/>
              <w:bottom w:val="single" w:sz="4" w:space="0" w:color="auto"/>
            </w:tcBorders>
            <w:shd w:val="clear" w:color="auto" w:fill="auto"/>
            <w:vAlign w:val="center"/>
          </w:tcPr>
          <w:p w:rsidR="00316615" w:rsidRPr="00425417" w:rsidRDefault="00316615" w:rsidP="00316615">
            <w:pPr>
              <w:pStyle w:val="Tablenc"/>
              <w:jc w:val="left"/>
              <w:rPr>
                <w:rFonts w:ascii="David" w:hAnsi="David" w:cs="David"/>
                <w:sz w:val="24"/>
                <w:szCs w:val="24"/>
                <w:rtl/>
              </w:rPr>
            </w:pPr>
            <w:r w:rsidRPr="00425417">
              <w:rPr>
                <w:rFonts w:ascii="David" w:hAnsi="David" w:cs="David"/>
                <w:sz w:val="24"/>
                <w:szCs w:val="24"/>
                <w:rtl/>
              </w:rPr>
              <w:t>הריבית</w:t>
            </w:r>
            <w:r w:rsidRPr="00425417">
              <w:rPr>
                <w:rFonts w:ascii="David" w:hAnsi="David" w:cs="David"/>
                <w:sz w:val="24"/>
                <w:szCs w:val="24"/>
                <w:vertAlign w:val="superscript"/>
                <w:rtl/>
              </w:rPr>
              <w:t xml:space="preserve">4 </w:t>
            </w:r>
            <w:r w:rsidRPr="00425417">
              <w:rPr>
                <w:rFonts w:ascii="David" w:hAnsi="David" w:cs="David"/>
                <w:sz w:val="24"/>
                <w:szCs w:val="24"/>
                <w:rtl/>
              </w:rPr>
              <w:t>(טווח התחזיות)</w:t>
            </w:r>
          </w:p>
        </w:tc>
        <w:tc>
          <w:tcPr>
            <w:tcW w:w="1984" w:type="dxa"/>
            <w:tcBorders>
              <w:top w:val="single" w:sz="4" w:space="0" w:color="auto"/>
              <w:bottom w:val="single" w:sz="4" w:space="0" w:color="auto"/>
            </w:tcBorders>
            <w:shd w:val="clear" w:color="auto" w:fill="auto"/>
          </w:tcPr>
          <w:p w:rsidR="00316615" w:rsidRPr="00425417" w:rsidRDefault="00316615" w:rsidP="00316615">
            <w:pPr>
              <w:pStyle w:val="Tablenc"/>
              <w:bidi w:val="0"/>
              <w:jc w:val="center"/>
              <w:rPr>
                <w:rFonts w:ascii="David" w:hAnsi="David" w:cs="David"/>
                <w:sz w:val="24"/>
                <w:szCs w:val="24"/>
                <w:rtl/>
              </w:rPr>
            </w:pPr>
            <w:r w:rsidRPr="00425417">
              <w:rPr>
                <w:rFonts w:ascii="David" w:hAnsi="David" w:cs="David"/>
                <w:color w:val="000000"/>
                <w:sz w:val="24"/>
                <w:szCs w:val="24"/>
              </w:rPr>
              <w:t>0 – 0.1</w:t>
            </w:r>
          </w:p>
        </w:tc>
        <w:tc>
          <w:tcPr>
            <w:tcW w:w="1984" w:type="dxa"/>
            <w:tcBorders>
              <w:top w:val="single" w:sz="4" w:space="0" w:color="auto"/>
              <w:bottom w:val="single" w:sz="4" w:space="0" w:color="auto"/>
            </w:tcBorders>
            <w:shd w:val="clear" w:color="auto" w:fill="auto"/>
          </w:tcPr>
          <w:p w:rsidR="00316615" w:rsidRPr="00425417" w:rsidRDefault="00316615" w:rsidP="00316615">
            <w:pPr>
              <w:pStyle w:val="Tablenc"/>
              <w:bidi w:val="0"/>
              <w:jc w:val="center"/>
              <w:rPr>
                <w:rFonts w:ascii="David" w:hAnsi="David" w:cs="David"/>
                <w:sz w:val="24"/>
                <w:szCs w:val="24"/>
              </w:rPr>
            </w:pPr>
            <w:r w:rsidRPr="00425417">
              <w:rPr>
                <w:rFonts w:ascii="David" w:hAnsi="David" w:cs="David" w:hint="cs"/>
                <w:color w:val="000000"/>
                <w:sz w:val="24"/>
                <w:szCs w:val="24"/>
                <w:rtl/>
              </w:rPr>
              <w:t>0.0</w:t>
            </w:r>
          </w:p>
        </w:tc>
        <w:tc>
          <w:tcPr>
            <w:tcW w:w="1984" w:type="dxa"/>
            <w:tcBorders>
              <w:top w:val="single" w:sz="4" w:space="0" w:color="auto"/>
              <w:bottom w:val="single" w:sz="4" w:space="0" w:color="auto"/>
            </w:tcBorders>
            <w:shd w:val="clear" w:color="auto" w:fill="auto"/>
          </w:tcPr>
          <w:p w:rsidR="00316615" w:rsidRPr="00425417" w:rsidRDefault="00316615" w:rsidP="00CB10E3">
            <w:pPr>
              <w:pStyle w:val="Tablenc"/>
              <w:bidi w:val="0"/>
              <w:jc w:val="center"/>
              <w:rPr>
                <w:rFonts w:ascii="David" w:hAnsi="David" w:cs="David"/>
                <w:sz w:val="24"/>
                <w:szCs w:val="24"/>
                <w:rtl/>
              </w:rPr>
            </w:pPr>
            <w:r w:rsidRPr="00425417">
              <w:rPr>
                <w:rFonts w:ascii="David" w:hAnsi="David" w:cs="David" w:hint="cs"/>
                <w:color w:val="000000"/>
                <w:sz w:val="24"/>
                <w:szCs w:val="24"/>
                <w:rtl/>
              </w:rPr>
              <w:t>0.</w:t>
            </w:r>
            <w:r w:rsidR="00425417" w:rsidRPr="00425417">
              <w:rPr>
                <w:rFonts w:ascii="David" w:hAnsi="David" w:cs="David" w:hint="cs"/>
                <w:color w:val="000000"/>
                <w:sz w:val="24"/>
                <w:szCs w:val="24"/>
                <w:rtl/>
              </w:rPr>
              <w:t>1</w:t>
            </w:r>
            <w:r w:rsidRPr="00425417">
              <w:rPr>
                <w:rFonts w:ascii="David" w:hAnsi="David" w:cs="David"/>
                <w:color w:val="000000"/>
                <w:sz w:val="24"/>
                <w:szCs w:val="24"/>
              </w:rPr>
              <w:t xml:space="preserve"> (-0.</w:t>
            </w:r>
            <w:r w:rsidR="00CB10E3">
              <w:rPr>
                <w:rFonts w:ascii="David" w:hAnsi="David" w:cs="David" w:hint="cs"/>
                <w:color w:val="000000"/>
                <w:sz w:val="24"/>
                <w:szCs w:val="24"/>
                <w:rtl/>
              </w:rPr>
              <w:t>4</w:t>
            </w:r>
            <w:r w:rsidRPr="00425417">
              <w:rPr>
                <w:rFonts w:ascii="David" w:hAnsi="David" w:cs="David"/>
                <w:color w:val="000000"/>
                <w:sz w:val="24"/>
                <w:szCs w:val="24"/>
              </w:rPr>
              <w:t>–0.</w:t>
            </w:r>
            <w:r w:rsidR="00CB10E3">
              <w:rPr>
                <w:rFonts w:ascii="David" w:hAnsi="David" w:cs="David" w:hint="cs"/>
                <w:color w:val="000000"/>
                <w:sz w:val="24"/>
                <w:szCs w:val="24"/>
                <w:rtl/>
              </w:rPr>
              <w:t>1</w:t>
            </w:r>
            <w:r w:rsidRPr="00425417">
              <w:rPr>
                <w:rFonts w:ascii="David" w:hAnsi="David" w:cs="David"/>
                <w:color w:val="000000"/>
                <w:sz w:val="24"/>
                <w:szCs w:val="24"/>
              </w:rPr>
              <w:t>)</w:t>
            </w:r>
          </w:p>
        </w:tc>
      </w:tr>
      <w:tr w:rsidR="00917C6D" w:rsidRPr="0086400E" w:rsidTr="00316615">
        <w:trPr>
          <w:cantSplit/>
          <w:trHeight w:val="283"/>
          <w:jc w:val="center"/>
        </w:trPr>
        <w:tc>
          <w:tcPr>
            <w:tcW w:w="8729" w:type="dxa"/>
            <w:gridSpan w:val="4"/>
            <w:tcBorders>
              <w:top w:val="single" w:sz="4" w:space="0" w:color="auto"/>
            </w:tcBorders>
            <w:vAlign w:val="center"/>
          </w:tcPr>
          <w:p w:rsidR="00316615" w:rsidRPr="008A4862" w:rsidRDefault="00316615" w:rsidP="00C93F8E">
            <w:pPr>
              <w:numPr>
                <w:ilvl w:val="0"/>
                <w:numId w:val="1"/>
              </w:numPr>
              <w:spacing w:before="60" w:line="240" w:lineRule="auto"/>
              <w:rPr>
                <w:rFonts w:ascii="David" w:hAnsi="David" w:cs="David"/>
                <w:sz w:val="18"/>
                <w:szCs w:val="18"/>
              </w:rPr>
            </w:pPr>
            <w:r w:rsidRPr="008A4862">
              <w:rPr>
                <w:rFonts w:ascii="David" w:hAnsi="David" w:cs="David"/>
                <w:sz w:val="18"/>
                <w:szCs w:val="18"/>
                <w:rtl/>
              </w:rPr>
              <w:t xml:space="preserve">ממוצע </w:t>
            </w:r>
            <w:r>
              <w:rPr>
                <w:rFonts w:ascii="David" w:hAnsi="David" w:cs="David" w:hint="cs"/>
                <w:sz w:val="18"/>
                <w:szCs w:val="18"/>
                <w:rtl/>
              </w:rPr>
              <w:t xml:space="preserve">הציפיות </w:t>
            </w:r>
            <w:r w:rsidR="00C93F8E">
              <w:rPr>
                <w:rFonts w:ascii="David" w:hAnsi="David" w:cs="David" w:hint="cs"/>
                <w:sz w:val="18"/>
                <w:szCs w:val="18"/>
                <w:rtl/>
              </w:rPr>
              <w:t>לאחר פרסום מדד יולי</w:t>
            </w:r>
            <w:r w:rsidRPr="008A4862">
              <w:rPr>
                <w:rFonts w:ascii="David" w:hAnsi="David" w:cs="David"/>
                <w:sz w:val="18"/>
                <w:szCs w:val="18"/>
                <w:rtl/>
              </w:rPr>
              <w:t>. ציפיות האינפלציה מנוכות עונתיות.</w:t>
            </w:r>
          </w:p>
          <w:p w:rsidR="00316615" w:rsidRPr="008A4862" w:rsidRDefault="00316615" w:rsidP="00C93F8E">
            <w:pPr>
              <w:numPr>
                <w:ilvl w:val="0"/>
                <w:numId w:val="1"/>
              </w:numPr>
              <w:spacing w:before="60" w:line="240" w:lineRule="auto"/>
              <w:rPr>
                <w:rFonts w:ascii="David" w:hAnsi="David" w:cs="David"/>
                <w:sz w:val="18"/>
                <w:szCs w:val="18"/>
              </w:rPr>
            </w:pPr>
            <w:r w:rsidRPr="008A4862">
              <w:rPr>
                <w:rFonts w:ascii="David" w:hAnsi="David" w:cs="David"/>
                <w:sz w:val="18"/>
                <w:szCs w:val="18"/>
                <w:rtl/>
              </w:rPr>
              <w:t xml:space="preserve">התחזיות שפורסמו </w:t>
            </w:r>
            <w:r w:rsidRPr="00005763">
              <w:rPr>
                <w:rFonts w:ascii="David" w:hAnsi="David" w:cs="David"/>
                <w:sz w:val="18"/>
                <w:szCs w:val="18"/>
                <w:rtl/>
              </w:rPr>
              <w:t xml:space="preserve">בשבוע </w:t>
            </w:r>
            <w:r w:rsidR="00C93F8E">
              <w:rPr>
                <w:rFonts w:ascii="David" w:hAnsi="David" w:cs="David" w:hint="cs"/>
                <w:sz w:val="18"/>
                <w:szCs w:val="18"/>
                <w:rtl/>
              </w:rPr>
              <w:t>שלאחר פרסום מדד יולי</w:t>
            </w:r>
            <w:r w:rsidRPr="008A4862">
              <w:rPr>
                <w:rFonts w:ascii="David" w:hAnsi="David" w:cs="David"/>
                <w:sz w:val="18"/>
                <w:szCs w:val="18"/>
                <w:rtl/>
              </w:rPr>
              <w:t>.</w:t>
            </w:r>
          </w:p>
          <w:p w:rsidR="00316615" w:rsidRPr="008A4862" w:rsidRDefault="00316615" w:rsidP="00316615">
            <w:pPr>
              <w:numPr>
                <w:ilvl w:val="0"/>
                <w:numId w:val="1"/>
              </w:numPr>
              <w:spacing w:before="60" w:line="240" w:lineRule="auto"/>
              <w:rPr>
                <w:rFonts w:ascii="David" w:hAnsi="David" w:cs="David"/>
                <w:sz w:val="18"/>
                <w:szCs w:val="18"/>
              </w:rPr>
            </w:pPr>
            <w:r w:rsidRPr="008A4862">
              <w:rPr>
                <w:rFonts w:ascii="David" w:hAnsi="David" w:cs="David"/>
                <w:sz w:val="18"/>
                <w:szCs w:val="18"/>
                <w:rtl/>
              </w:rPr>
              <w:t xml:space="preserve">האינפלציה בשנה הקרובה (חטיבת המחקר – בארבעת הרבעונים המסתיימים ברבעון </w:t>
            </w:r>
            <w:r>
              <w:rPr>
                <w:rFonts w:ascii="David" w:hAnsi="David" w:cs="David" w:hint="cs"/>
                <w:sz w:val="18"/>
                <w:szCs w:val="18"/>
                <w:rtl/>
              </w:rPr>
              <w:t>השני</w:t>
            </w:r>
            <w:r w:rsidRPr="008A4862">
              <w:rPr>
                <w:rFonts w:ascii="David" w:hAnsi="David" w:cs="David"/>
                <w:sz w:val="18"/>
                <w:szCs w:val="18"/>
                <w:rtl/>
              </w:rPr>
              <w:t xml:space="preserve"> של 202</w:t>
            </w:r>
            <w:r>
              <w:rPr>
                <w:rFonts w:ascii="David" w:hAnsi="David" w:cs="David" w:hint="cs"/>
                <w:sz w:val="18"/>
                <w:szCs w:val="18"/>
                <w:rtl/>
              </w:rPr>
              <w:t>1</w:t>
            </w:r>
            <w:r w:rsidRPr="008A4862">
              <w:rPr>
                <w:rFonts w:ascii="David" w:hAnsi="David" w:cs="David"/>
                <w:sz w:val="18"/>
                <w:szCs w:val="18"/>
                <w:rtl/>
              </w:rPr>
              <w:t>).</w:t>
            </w:r>
          </w:p>
          <w:p w:rsidR="00316615" w:rsidRPr="008A4862" w:rsidRDefault="00316615" w:rsidP="00316615">
            <w:pPr>
              <w:numPr>
                <w:ilvl w:val="0"/>
                <w:numId w:val="1"/>
              </w:numPr>
              <w:spacing w:before="60" w:line="240" w:lineRule="auto"/>
              <w:rPr>
                <w:rFonts w:ascii="David" w:hAnsi="David" w:cs="David"/>
                <w:sz w:val="18"/>
                <w:szCs w:val="18"/>
              </w:rPr>
            </w:pPr>
            <w:r w:rsidRPr="008A4862">
              <w:rPr>
                <w:rFonts w:ascii="David" w:hAnsi="David" w:cs="David"/>
                <w:sz w:val="18"/>
                <w:szCs w:val="18"/>
                <w:rtl/>
              </w:rPr>
              <w:t xml:space="preserve">הריבית בעוד שנה (חטיבת המחקר – ברבעון </w:t>
            </w:r>
            <w:r>
              <w:rPr>
                <w:rFonts w:ascii="David" w:hAnsi="David" w:cs="David" w:hint="cs"/>
                <w:sz w:val="18"/>
                <w:szCs w:val="18"/>
                <w:rtl/>
              </w:rPr>
              <w:t>השני</w:t>
            </w:r>
            <w:r w:rsidRPr="008A4862">
              <w:rPr>
                <w:rFonts w:ascii="David" w:hAnsi="David" w:cs="David"/>
                <w:sz w:val="18"/>
                <w:szCs w:val="18"/>
                <w:rtl/>
              </w:rPr>
              <w:t xml:space="preserve"> של 202</w:t>
            </w:r>
            <w:r>
              <w:rPr>
                <w:rFonts w:ascii="David" w:hAnsi="David" w:cs="David" w:hint="cs"/>
                <w:sz w:val="18"/>
                <w:szCs w:val="18"/>
                <w:rtl/>
              </w:rPr>
              <w:t>1</w:t>
            </w:r>
            <w:r w:rsidRPr="008A4862">
              <w:rPr>
                <w:rFonts w:ascii="David" w:hAnsi="David" w:cs="David"/>
                <w:sz w:val="18"/>
                <w:szCs w:val="18"/>
                <w:rtl/>
              </w:rPr>
              <w:t xml:space="preserve">). הציפיות משוק ההון מבוססות על שוק </w:t>
            </w:r>
            <w:proofErr w:type="spellStart"/>
            <w:r w:rsidRPr="008A4862">
              <w:rPr>
                <w:rFonts w:ascii="David" w:hAnsi="David" w:cs="David"/>
                <w:sz w:val="18"/>
                <w:szCs w:val="18"/>
                <w:rtl/>
              </w:rPr>
              <w:t>התלבור</w:t>
            </w:r>
            <w:proofErr w:type="spellEnd"/>
            <w:r w:rsidRPr="008A4862">
              <w:rPr>
                <w:rFonts w:ascii="David" w:hAnsi="David" w:cs="David"/>
                <w:sz w:val="18"/>
                <w:szCs w:val="18"/>
                <w:rtl/>
              </w:rPr>
              <w:t>.</w:t>
            </w:r>
          </w:p>
          <w:p w:rsidR="00917C6D" w:rsidRPr="0086400E" w:rsidRDefault="00917C6D" w:rsidP="00316615">
            <w:pPr>
              <w:spacing w:before="60"/>
              <w:ind w:left="0"/>
              <w:jc w:val="left"/>
              <w:rPr>
                <w:rFonts w:ascii="David" w:hAnsi="David" w:cs="David"/>
                <w:sz w:val="18"/>
                <w:szCs w:val="18"/>
                <w:rtl/>
              </w:rPr>
            </w:pPr>
            <w:r w:rsidRPr="008A4862">
              <w:rPr>
                <w:rFonts w:ascii="David" w:hAnsi="David" w:cs="David"/>
                <w:sz w:val="18"/>
                <w:szCs w:val="18"/>
                <w:rtl/>
              </w:rPr>
              <w:t>המקור: בנק ישראל.</w:t>
            </w:r>
          </w:p>
        </w:tc>
      </w:tr>
    </w:tbl>
    <w:p w:rsidR="00917C6D" w:rsidRPr="0086400E" w:rsidRDefault="00917C6D" w:rsidP="00917C6D">
      <w:pPr>
        <w:pStyle w:val="2"/>
        <w:ind w:left="113" w:hanging="357"/>
        <w:rPr>
          <w:rFonts w:ascii="David" w:hAnsi="David" w:cs="David"/>
          <w:rtl/>
        </w:rPr>
      </w:pPr>
      <w:r w:rsidRPr="0086400E">
        <w:rPr>
          <w:rFonts w:ascii="David" w:hAnsi="David" w:cs="David"/>
          <w:rtl/>
        </w:rPr>
        <w:t>הסיכונים העיקריים לתחזית</w:t>
      </w:r>
      <w:r w:rsidR="00CC6C87" w:rsidRPr="00166515">
        <w:rPr>
          <w:rFonts w:ascii="David" w:hAnsi="David" w:cs="David"/>
          <w:vertAlign w:val="superscript"/>
          <w:rtl/>
        </w:rPr>
        <w:footnoteReference w:id="5"/>
      </w:r>
    </w:p>
    <w:p w:rsidR="00401ECF" w:rsidRPr="000A0110" w:rsidRDefault="00401ECF" w:rsidP="00216CEE">
      <w:pPr>
        <w:spacing w:after="120"/>
        <w:rPr>
          <w:rFonts w:ascii="David" w:hAnsi="David" w:cs="David"/>
          <w:rtl/>
        </w:rPr>
      </w:pPr>
      <w:r>
        <w:rPr>
          <w:rFonts w:ascii="David" w:hAnsi="David" w:cs="David" w:hint="cs"/>
          <w:rtl/>
        </w:rPr>
        <w:t>תחזית חטיבת המחקר מציגה שני תרחישים המבטאים גבולות גזרה בין התממשות תרחיש אופטימי של שליטה בהיקף התחלואה לבין תרחיש פסימי בו השליטה בהיקף התחלואה</w:t>
      </w:r>
      <w:r w:rsidR="002D72CB">
        <w:rPr>
          <w:rFonts w:ascii="David" w:hAnsi="David" w:cs="David" w:hint="cs"/>
          <w:rtl/>
        </w:rPr>
        <w:t xml:space="preserve"> היא</w:t>
      </w:r>
      <w:r>
        <w:rPr>
          <w:rFonts w:ascii="David" w:hAnsi="David" w:cs="David" w:hint="cs"/>
          <w:rtl/>
        </w:rPr>
        <w:t xml:space="preserve"> נמוכה. הסיכונים לתחזית הם לפיכך התפתחויות בתחום הרפואי שיובילו לתרחיש אופטימי יותר מ</w:t>
      </w:r>
      <w:r w:rsidR="00216CEE">
        <w:rPr>
          <w:rFonts w:ascii="David" w:hAnsi="David" w:cs="David" w:hint="cs"/>
          <w:rtl/>
        </w:rPr>
        <w:t>ה</w:t>
      </w:r>
      <w:r>
        <w:rPr>
          <w:rFonts w:ascii="David" w:hAnsi="David" w:cs="David" w:hint="cs"/>
          <w:rtl/>
        </w:rPr>
        <w:t xml:space="preserve">תרחיש </w:t>
      </w:r>
      <w:r w:rsidR="00216CEE">
        <w:rPr>
          <w:rFonts w:ascii="David" w:hAnsi="David" w:cs="David" w:hint="cs"/>
          <w:rtl/>
        </w:rPr>
        <w:t xml:space="preserve">האופטימי </w:t>
      </w:r>
      <w:r>
        <w:rPr>
          <w:rFonts w:ascii="David" w:hAnsi="David" w:cs="David" w:hint="cs"/>
          <w:rtl/>
        </w:rPr>
        <w:t xml:space="preserve">או לתרחיש פסימי </w:t>
      </w:r>
      <w:r w:rsidR="00216CEE">
        <w:rPr>
          <w:rFonts w:ascii="David" w:hAnsi="David" w:cs="David" w:hint="cs"/>
          <w:rtl/>
        </w:rPr>
        <w:t xml:space="preserve">אף </w:t>
      </w:r>
      <w:r>
        <w:rPr>
          <w:rFonts w:ascii="David" w:hAnsi="David" w:cs="David" w:hint="cs"/>
          <w:rtl/>
        </w:rPr>
        <w:t>יותר מ</w:t>
      </w:r>
      <w:r w:rsidR="00216CEE">
        <w:rPr>
          <w:rFonts w:ascii="David" w:hAnsi="David" w:cs="David" w:hint="cs"/>
          <w:rtl/>
        </w:rPr>
        <w:t>ה</w:t>
      </w:r>
      <w:r>
        <w:rPr>
          <w:rFonts w:ascii="David" w:hAnsi="David" w:cs="David" w:hint="cs"/>
          <w:rtl/>
        </w:rPr>
        <w:t xml:space="preserve">תרחיש </w:t>
      </w:r>
      <w:r w:rsidR="00216CEE">
        <w:rPr>
          <w:rFonts w:ascii="David" w:hAnsi="David" w:cs="David" w:hint="cs"/>
          <w:rtl/>
        </w:rPr>
        <w:t>הפסימי בתחזית</w:t>
      </w:r>
      <w:r>
        <w:rPr>
          <w:rFonts w:ascii="David" w:hAnsi="David" w:cs="David" w:hint="cs"/>
          <w:rtl/>
        </w:rPr>
        <w:t xml:space="preserve">. לכן, מציאת חיסון מוקדמת יותר, כמו גם התאוששות מהירה יותר בפעילות בעולם מהווים סיכון כלפי מעלה ביחס לתחזית. מנגד, החמרה משמעותית בנתוני התחלואה, עיכוב במציאת החיסון והתערערות המצב הפוליטי מהווים סיכון כלפי מטה לתחזית. סיכונים נוספים לתחזית נמצאים בצד הפיסקאלי, ומושפעים הן מההתפתחויות הפוליטיות </w:t>
      </w:r>
      <w:r w:rsidR="002D72CB">
        <w:rPr>
          <w:rFonts w:ascii="David" w:hAnsi="David" w:cs="David" w:hint="cs"/>
          <w:rtl/>
        </w:rPr>
        <w:t xml:space="preserve">ובפרט מאי הוודאות לגבי המועד בו יתקבלו החלטות בנוגע לתקציב המדינה, </w:t>
      </w:r>
      <w:r>
        <w:rPr>
          <w:rFonts w:ascii="David" w:hAnsi="David" w:cs="David" w:hint="cs"/>
          <w:rtl/>
        </w:rPr>
        <w:t>והן מצעדי ותכניות הממשלה להמרצת המשק.</w:t>
      </w:r>
    </w:p>
    <w:sectPr w:rsidR="00401ECF" w:rsidRPr="000A0110" w:rsidSect="00521CB3">
      <w:footerReference w:type="default" r:id="rId9"/>
      <w:pgSz w:w="11906" w:h="16838" w:code="9"/>
      <w:pgMar w:top="1440" w:right="1077" w:bottom="1440" w:left="1077" w:header="709" w:footer="397" w:gutter="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39D7" w:rsidRDefault="00DB39D7" w:rsidP="00917C6D">
      <w:pPr>
        <w:spacing w:line="240" w:lineRule="auto"/>
      </w:pPr>
      <w:r>
        <w:separator/>
      </w:r>
    </w:p>
  </w:endnote>
  <w:endnote w:type="continuationSeparator" w:id="0">
    <w:p w:rsidR="00DB39D7" w:rsidRDefault="00DB39D7" w:rsidP="00917C6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944386792"/>
      <w:docPartObj>
        <w:docPartGallery w:val="Page Numbers (Bottom of Page)"/>
        <w:docPartUnique/>
      </w:docPartObj>
    </w:sdtPr>
    <w:sdtEndPr>
      <w:rPr>
        <w:cs/>
      </w:rPr>
    </w:sdtEndPr>
    <w:sdtContent>
      <w:p w:rsidR="008152A5" w:rsidRDefault="008152A5">
        <w:pPr>
          <w:pStyle w:val="af4"/>
          <w:jc w:val="center"/>
          <w:rPr>
            <w:rtl/>
            <w:cs/>
          </w:rPr>
        </w:pPr>
        <w:r w:rsidRPr="008152A5">
          <w:rPr>
            <w:rFonts w:ascii="David" w:hAnsi="David" w:cs="David"/>
          </w:rPr>
          <w:fldChar w:fldCharType="begin"/>
        </w:r>
        <w:r w:rsidRPr="008152A5">
          <w:rPr>
            <w:rFonts w:ascii="David" w:hAnsi="David" w:cs="David"/>
            <w:rtl/>
            <w:cs/>
          </w:rPr>
          <w:instrText>PAGE   \* MERGEFORMAT</w:instrText>
        </w:r>
        <w:r w:rsidRPr="008152A5">
          <w:rPr>
            <w:rFonts w:ascii="David" w:hAnsi="David" w:cs="David"/>
          </w:rPr>
          <w:fldChar w:fldCharType="separate"/>
        </w:r>
        <w:r w:rsidR="006B7E66" w:rsidRPr="006B7E66">
          <w:rPr>
            <w:rFonts w:ascii="David" w:hAnsi="David" w:cs="David"/>
            <w:noProof/>
            <w:rtl/>
            <w:lang w:val="he-IL"/>
          </w:rPr>
          <w:t>5</w:t>
        </w:r>
        <w:r w:rsidRPr="008152A5">
          <w:rPr>
            <w:rFonts w:ascii="David" w:hAnsi="David" w:cs="David"/>
          </w:rPr>
          <w:fldChar w:fldCharType="end"/>
        </w:r>
      </w:p>
    </w:sdtContent>
  </w:sdt>
  <w:p w:rsidR="000850E0" w:rsidRDefault="00DB39D7" w:rsidP="0071030A"/>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39D7" w:rsidRDefault="00DB39D7" w:rsidP="00917C6D">
      <w:pPr>
        <w:spacing w:line="240" w:lineRule="auto"/>
      </w:pPr>
      <w:r>
        <w:separator/>
      </w:r>
    </w:p>
  </w:footnote>
  <w:footnote w:type="continuationSeparator" w:id="0">
    <w:p w:rsidR="00DB39D7" w:rsidRDefault="00DB39D7" w:rsidP="00917C6D">
      <w:pPr>
        <w:spacing w:line="240" w:lineRule="auto"/>
      </w:pPr>
      <w:r>
        <w:continuationSeparator/>
      </w:r>
    </w:p>
  </w:footnote>
  <w:footnote w:id="1">
    <w:p w:rsidR="009E4927" w:rsidRPr="008A4862" w:rsidRDefault="009E4927" w:rsidP="00BD714A">
      <w:pPr>
        <w:pStyle w:val="a3"/>
        <w:spacing w:afterLines="60" w:after="144" w:line="276" w:lineRule="auto"/>
        <w:ind w:left="113"/>
        <w:rPr>
          <w:rFonts w:ascii="David" w:hAnsi="David" w:cs="David"/>
          <w:sz w:val="18"/>
          <w:szCs w:val="18"/>
          <w:rtl/>
        </w:rPr>
      </w:pPr>
      <w:r w:rsidRPr="008A4862">
        <w:rPr>
          <w:rStyle w:val="a5"/>
          <w:rFonts w:ascii="David" w:hAnsi="David" w:cs="David"/>
          <w:sz w:val="18"/>
          <w:szCs w:val="18"/>
        </w:rPr>
        <w:footnoteRef/>
      </w:r>
      <w:r w:rsidRPr="008A4862">
        <w:rPr>
          <w:rFonts w:ascii="David" w:hAnsi="David" w:cs="David"/>
          <w:sz w:val="18"/>
          <w:szCs w:val="18"/>
          <w:rtl/>
        </w:rPr>
        <w:t xml:space="preserve"> התחזית הוצגה</w:t>
      </w:r>
      <w:r w:rsidR="00ED7988">
        <w:rPr>
          <w:rFonts w:ascii="David" w:hAnsi="David" w:cs="David" w:hint="cs"/>
          <w:sz w:val="18"/>
          <w:szCs w:val="18"/>
          <w:rtl/>
        </w:rPr>
        <w:t xml:space="preserve"> לראשונה</w:t>
      </w:r>
      <w:r w:rsidRPr="008A4862">
        <w:rPr>
          <w:rFonts w:ascii="David" w:hAnsi="David" w:cs="David"/>
          <w:sz w:val="18"/>
          <w:szCs w:val="18"/>
          <w:rtl/>
        </w:rPr>
        <w:t xml:space="preserve"> לוועדה המוניטרית ב-</w:t>
      </w:r>
      <w:r w:rsidR="00521CB3">
        <w:rPr>
          <w:rFonts w:ascii="David" w:hAnsi="David" w:cs="David" w:hint="cs"/>
          <w:sz w:val="18"/>
          <w:szCs w:val="18"/>
          <w:rtl/>
        </w:rPr>
        <w:t>12/8/2020</w:t>
      </w:r>
      <w:r w:rsidRPr="008A4862">
        <w:rPr>
          <w:rFonts w:ascii="David" w:hAnsi="David" w:cs="David"/>
          <w:sz w:val="18"/>
          <w:szCs w:val="18"/>
          <w:rtl/>
        </w:rPr>
        <w:t>, לקראת החלטת הריבית שהתקבלה ב</w:t>
      </w:r>
      <w:r>
        <w:rPr>
          <w:rFonts w:ascii="David" w:hAnsi="David" w:cs="David" w:hint="cs"/>
          <w:sz w:val="18"/>
          <w:szCs w:val="18"/>
          <w:rtl/>
        </w:rPr>
        <w:t>-</w:t>
      </w:r>
      <w:r w:rsidR="00521CB3">
        <w:rPr>
          <w:rFonts w:ascii="David" w:hAnsi="David" w:cs="David" w:hint="cs"/>
          <w:sz w:val="18"/>
          <w:szCs w:val="18"/>
          <w:rtl/>
        </w:rPr>
        <w:t>24/8/2020</w:t>
      </w:r>
      <w:r w:rsidRPr="008A4862">
        <w:rPr>
          <w:rFonts w:ascii="David" w:hAnsi="David" w:cs="David"/>
          <w:sz w:val="18"/>
          <w:szCs w:val="18"/>
          <w:rtl/>
        </w:rPr>
        <w:t>.</w:t>
      </w:r>
    </w:p>
  </w:footnote>
  <w:footnote w:id="2">
    <w:p w:rsidR="00DF075E" w:rsidRDefault="00DF075E" w:rsidP="00B65C95">
      <w:pPr>
        <w:pStyle w:val="a3"/>
        <w:spacing w:afterLines="60" w:after="144" w:line="276" w:lineRule="auto"/>
        <w:ind w:left="107"/>
        <w:rPr>
          <w:rtl/>
        </w:rPr>
      </w:pPr>
      <w:r>
        <w:rPr>
          <w:rStyle w:val="a5"/>
        </w:rPr>
        <w:footnoteRef/>
      </w:r>
      <w:r>
        <w:rPr>
          <w:rtl/>
        </w:rPr>
        <w:t xml:space="preserve"> </w:t>
      </w:r>
      <w:r w:rsidRPr="00DF075E">
        <w:rPr>
          <w:rFonts w:ascii="David" w:hAnsi="David" w:cs="David"/>
          <w:sz w:val="18"/>
          <w:szCs w:val="18"/>
          <w:rtl/>
        </w:rPr>
        <w:t xml:space="preserve">תרחישים אלה מבטאים טווח סביר, אך לא מוחלט, לחומרת </w:t>
      </w:r>
      <w:r w:rsidR="00B65C95">
        <w:rPr>
          <w:rFonts w:ascii="David" w:hAnsi="David" w:cs="David" w:hint="cs"/>
          <w:sz w:val="18"/>
          <w:szCs w:val="18"/>
          <w:rtl/>
        </w:rPr>
        <w:t>הפגיעה</w:t>
      </w:r>
      <w:r w:rsidRPr="00DF075E">
        <w:rPr>
          <w:rFonts w:ascii="David" w:hAnsi="David" w:cs="David"/>
          <w:sz w:val="18"/>
          <w:szCs w:val="18"/>
          <w:rtl/>
        </w:rPr>
        <w:t xml:space="preserve"> הכלכלית כתוצאה מהקורונה. בהחלט יתכנו גם תרחישים פסימיים יותר (גלישה לסגרים חמורים כבעבר, ערעור יציבות פיננסית, התמשכות המשבר כתוצאה מאי-מציאת חיסון ועוד), וכן תרחישים אופטימיים יותר (מציאה מוקדמת של חיסון, כלכלה שמסוגלת לחצות את רף 7%-8% אי-פעילות בזמן קורונה, התאוששות מהירה מאוד אחרי הקורונה ועוד).</w:t>
      </w:r>
    </w:p>
  </w:footnote>
  <w:footnote w:id="3">
    <w:p w:rsidR="00547EFB" w:rsidRPr="00547EFB" w:rsidRDefault="00547EFB" w:rsidP="009651E5">
      <w:pPr>
        <w:pStyle w:val="a3"/>
        <w:spacing w:line="276" w:lineRule="auto"/>
        <w:ind w:left="113"/>
        <w:rPr>
          <w:rtl/>
        </w:rPr>
      </w:pPr>
      <w:r>
        <w:rPr>
          <w:rStyle w:val="a5"/>
        </w:rPr>
        <w:footnoteRef/>
      </w:r>
      <w:r>
        <w:rPr>
          <w:rtl/>
        </w:rPr>
        <w:t xml:space="preserve"> </w:t>
      </w:r>
      <w:r>
        <w:rPr>
          <w:rFonts w:ascii="David" w:hAnsi="David" w:cs="David" w:hint="cs"/>
          <w:sz w:val="18"/>
          <w:szCs w:val="18"/>
          <w:rtl/>
        </w:rPr>
        <w:t xml:space="preserve">שיעור האבטלה הרחב מתייחס </w:t>
      </w:r>
      <w:proofErr w:type="spellStart"/>
      <w:r>
        <w:rPr>
          <w:rFonts w:ascii="David" w:hAnsi="David" w:cs="David" w:hint="cs"/>
          <w:sz w:val="18"/>
          <w:szCs w:val="18"/>
          <w:rtl/>
        </w:rPr>
        <w:t>ל</w:t>
      </w:r>
      <w:r w:rsidR="009651E5">
        <w:rPr>
          <w:rFonts w:ascii="David" w:hAnsi="David" w:cs="David" w:hint="cs"/>
          <w:sz w:val="18"/>
          <w:szCs w:val="18"/>
          <w:rtl/>
        </w:rPr>
        <w:t>סכימת</w:t>
      </w:r>
      <w:proofErr w:type="spellEnd"/>
      <w:r w:rsidR="009651E5">
        <w:rPr>
          <w:rFonts w:ascii="David" w:hAnsi="David" w:cs="David" w:hint="cs"/>
          <w:sz w:val="18"/>
          <w:szCs w:val="18"/>
          <w:rtl/>
        </w:rPr>
        <w:t xml:space="preserve"> ה</w:t>
      </w:r>
      <w:r w:rsidRPr="00547EFB">
        <w:rPr>
          <w:rFonts w:ascii="David" w:hAnsi="David" w:cs="David"/>
          <w:sz w:val="18"/>
          <w:szCs w:val="18"/>
          <w:rtl/>
        </w:rPr>
        <w:t>מובטלים בהגדרתם הרגילה (מי שלא עבדו, רצו לעבוד, ה</w:t>
      </w:r>
      <w:r>
        <w:rPr>
          <w:rFonts w:ascii="David" w:hAnsi="David" w:cs="David"/>
          <w:sz w:val="18"/>
          <w:szCs w:val="18"/>
          <w:rtl/>
        </w:rPr>
        <w:t>יו פנויים לעבודה, וחיפשו עבודה)</w:t>
      </w:r>
      <w:r>
        <w:rPr>
          <w:rFonts w:ascii="David" w:hAnsi="David" w:cs="David" w:hint="cs"/>
          <w:sz w:val="18"/>
          <w:szCs w:val="18"/>
          <w:rtl/>
        </w:rPr>
        <w:t xml:space="preserve">, </w:t>
      </w:r>
      <w:r w:rsidR="009651E5">
        <w:rPr>
          <w:rFonts w:ascii="David" w:hAnsi="David" w:cs="David" w:hint="cs"/>
          <w:sz w:val="18"/>
          <w:szCs w:val="18"/>
          <w:rtl/>
        </w:rPr>
        <w:t>ה</w:t>
      </w:r>
      <w:r w:rsidR="009651E5" w:rsidRPr="00547EFB">
        <w:rPr>
          <w:rFonts w:ascii="David" w:hAnsi="David" w:cs="David"/>
          <w:sz w:val="18"/>
          <w:szCs w:val="18"/>
          <w:rtl/>
        </w:rPr>
        <w:t xml:space="preserve">מועסקים </w:t>
      </w:r>
      <w:r w:rsidRPr="00547EFB">
        <w:rPr>
          <w:rFonts w:ascii="David" w:hAnsi="David" w:cs="David"/>
          <w:sz w:val="18"/>
          <w:szCs w:val="18"/>
          <w:rtl/>
        </w:rPr>
        <w:t>שנעדרים זמנית כל השבוע מסיבות הקשורות לקורונה (הכוללים הן עובדים בחל"ת, הן עובדי שירות ציבורי שהיו בחופשה כפויה והן עצמאיים שלא עבדו).</w:t>
      </w:r>
      <w:r>
        <w:rPr>
          <w:rFonts w:ascii="David" w:hAnsi="David" w:cs="David" w:hint="cs"/>
          <w:sz w:val="18"/>
          <w:szCs w:val="18"/>
          <w:rtl/>
        </w:rPr>
        <w:t xml:space="preserve">  ול</w:t>
      </w:r>
      <w:r w:rsidRPr="00547EFB">
        <w:rPr>
          <w:rFonts w:ascii="David" w:hAnsi="David" w:cs="David"/>
          <w:sz w:val="18"/>
          <w:szCs w:val="18"/>
          <w:rtl/>
        </w:rPr>
        <w:t xml:space="preserve">ירידה עודפת במשתתפים </w:t>
      </w:r>
      <w:proofErr w:type="spellStart"/>
      <w:r w:rsidRPr="00547EFB">
        <w:rPr>
          <w:rFonts w:ascii="David" w:hAnsi="David" w:cs="David"/>
          <w:sz w:val="18"/>
          <w:szCs w:val="18"/>
          <w:rtl/>
        </w:rPr>
        <w:t>בכח</w:t>
      </w:r>
      <w:proofErr w:type="spellEnd"/>
      <w:r w:rsidRPr="00547EFB">
        <w:rPr>
          <w:rFonts w:ascii="David" w:hAnsi="David" w:cs="David"/>
          <w:sz w:val="18"/>
          <w:szCs w:val="18"/>
          <w:rtl/>
        </w:rPr>
        <w:t xml:space="preserve"> העבודה (ירידה בשיעור ההשתתפות שהיא מעבר למגמה).</w:t>
      </w:r>
    </w:p>
  </w:footnote>
  <w:footnote w:id="4">
    <w:p w:rsidR="003967FE" w:rsidRPr="00F14C61" w:rsidRDefault="003967FE" w:rsidP="00BD714A">
      <w:pPr>
        <w:pStyle w:val="a3"/>
        <w:spacing w:afterLines="60" w:after="144" w:line="276" w:lineRule="auto"/>
        <w:ind w:left="113"/>
        <w:rPr>
          <w:rFonts w:ascii="David" w:hAnsi="David" w:cs="David"/>
          <w:rtl/>
        </w:rPr>
      </w:pPr>
      <w:r w:rsidRPr="00F14C61">
        <w:rPr>
          <w:rStyle w:val="a5"/>
          <w:rFonts w:ascii="David" w:hAnsi="David" w:cs="David"/>
        </w:rPr>
        <w:footnoteRef/>
      </w:r>
      <w:r w:rsidRPr="00F14C61">
        <w:rPr>
          <w:rStyle w:val="a5"/>
          <w:rFonts w:ascii="David" w:hAnsi="David" w:cs="David"/>
          <w:rtl/>
        </w:rPr>
        <w:t xml:space="preserve"> </w:t>
      </w:r>
      <w:r w:rsidRPr="00F14C61">
        <w:rPr>
          <w:rFonts w:ascii="David" w:hAnsi="David" w:cs="David"/>
          <w:rtl/>
        </w:rPr>
        <w:t>הסבר על התחזיות המקרו-כלכליות שחטיבת המחקר מגבשת, וכן סקירה של המודלים שהן מושתתות עליהם, מופיעים בדוח האינפלציה 31 (לרבעון השני של 2010), סעיף 3ג. נייר העבודה על מודל ה-</w:t>
      </w:r>
      <w:r w:rsidRPr="00F14C61">
        <w:rPr>
          <w:rFonts w:ascii="David" w:hAnsi="David" w:cs="David"/>
        </w:rPr>
        <w:t>DSGE</w:t>
      </w:r>
      <w:r w:rsidRPr="00F14C61">
        <w:rPr>
          <w:rFonts w:ascii="David" w:hAnsi="David" w:cs="David"/>
          <w:rtl/>
        </w:rPr>
        <w:t xml:space="preserve"> זמין באתר האינטרנט של בנק ישראל. כותרתו</w:t>
      </w:r>
    </w:p>
    <w:p w:rsidR="003967FE" w:rsidRPr="00F14C61" w:rsidRDefault="003967FE" w:rsidP="00BD714A">
      <w:pPr>
        <w:pStyle w:val="a3"/>
        <w:bidi w:val="0"/>
        <w:spacing w:afterLines="60" w:after="144" w:line="240" w:lineRule="auto"/>
        <w:ind w:left="113"/>
        <w:rPr>
          <w:rFonts w:ascii="David" w:hAnsi="David" w:cs="David"/>
          <w:sz w:val="22"/>
          <w:szCs w:val="22"/>
        </w:rPr>
      </w:pPr>
      <w:r w:rsidRPr="00F14C61">
        <w:rPr>
          <w:rFonts w:ascii="David" w:hAnsi="David" w:cs="David"/>
        </w:rPr>
        <w:t>MOISE: A DSGE Model for the Israeli Economy, Discussion Paper No. 2012.06.</w:t>
      </w:r>
    </w:p>
  </w:footnote>
  <w:footnote w:id="5">
    <w:p w:rsidR="00CC6C87" w:rsidRPr="00197424" w:rsidRDefault="00CC6C87" w:rsidP="00CC6C87">
      <w:pPr>
        <w:spacing w:line="240" w:lineRule="auto"/>
        <w:ind w:left="-29"/>
        <w:rPr>
          <w:rtl/>
        </w:rPr>
      </w:pPr>
      <w:r>
        <w:rPr>
          <w:rStyle w:val="a5"/>
        </w:rPr>
        <w:footnoteRef/>
      </w:r>
      <w:r>
        <w:rPr>
          <w:rtl/>
        </w:rPr>
        <w:t xml:space="preserve"> </w:t>
      </w:r>
      <w:r w:rsidRPr="00197424">
        <w:rPr>
          <w:rFonts w:ascii="David" w:hAnsi="David" w:cs="David" w:hint="cs"/>
          <w:sz w:val="20"/>
          <w:szCs w:val="20"/>
          <w:rtl/>
        </w:rPr>
        <w:t>על רקע המאפיינים החריגים של אי-</w:t>
      </w:r>
      <w:r>
        <w:rPr>
          <w:rFonts w:ascii="David" w:hAnsi="David" w:cs="David" w:hint="cs"/>
          <w:sz w:val="20"/>
          <w:szCs w:val="20"/>
          <w:rtl/>
        </w:rPr>
        <w:t>ה</w:t>
      </w:r>
      <w:r w:rsidRPr="00197424">
        <w:rPr>
          <w:rFonts w:ascii="David" w:hAnsi="David" w:cs="David" w:hint="cs"/>
          <w:sz w:val="20"/>
          <w:szCs w:val="20"/>
          <w:rtl/>
        </w:rPr>
        <w:t>ו</w:t>
      </w:r>
      <w:r w:rsidR="00E11CC8">
        <w:rPr>
          <w:rFonts w:ascii="David" w:hAnsi="David" w:cs="David" w:hint="cs"/>
          <w:sz w:val="20"/>
          <w:szCs w:val="20"/>
          <w:rtl/>
        </w:rPr>
        <w:t>ו</w:t>
      </w:r>
      <w:r w:rsidRPr="00197424">
        <w:rPr>
          <w:rFonts w:ascii="David" w:hAnsi="David" w:cs="David" w:hint="cs"/>
          <w:sz w:val="20"/>
          <w:szCs w:val="20"/>
          <w:rtl/>
        </w:rPr>
        <w:t xml:space="preserve">דאות </w:t>
      </w:r>
      <w:r>
        <w:rPr>
          <w:rFonts w:ascii="David" w:hAnsi="David" w:cs="David" w:hint="cs"/>
          <w:sz w:val="20"/>
          <w:szCs w:val="20"/>
          <w:rtl/>
        </w:rPr>
        <w:t>המאפיינת את התחזית והתנודות החריגות במשתני הפעילות השונים,</w:t>
      </w:r>
      <w:r w:rsidRPr="00197424">
        <w:rPr>
          <w:rFonts w:ascii="David" w:hAnsi="David" w:cs="David" w:hint="cs"/>
          <w:sz w:val="20"/>
          <w:szCs w:val="20"/>
          <w:rtl/>
        </w:rPr>
        <w:t xml:space="preserve"> </w:t>
      </w:r>
      <w:r>
        <w:rPr>
          <w:rFonts w:ascii="David" w:hAnsi="David" w:cs="David" w:hint="cs"/>
          <w:sz w:val="20"/>
          <w:szCs w:val="20"/>
          <w:rtl/>
        </w:rPr>
        <w:t xml:space="preserve">התחזית </w:t>
      </w:r>
      <w:r w:rsidRPr="00197424">
        <w:rPr>
          <w:rFonts w:ascii="David" w:hAnsi="David" w:cs="David" w:hint="cs"/>
          <w:sz w:val="20"/>
          <w:szCs w:val="20"/>
          <w:rtl/>
        </w:rPr>
        <w:t>מתפרסמת ללא מניפות האינפלציה והתוצר.</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42543E"/>
    <w:multiLevelType w:val="hybridMultilevel"/>
    <w:tmpl w:val="E24C07EE"/>
    <w:lvl w:ilvl="0" w:tplc="372CF83C">
      <w:start w:val="1"/>
      <w:numFmt w:val="decimal"/>
      <w:lvlText w:val="%1."/>
      <w:lvlJc w:val="left"/>
      <w:pPr>
        <w:ind w:left="1069"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B1F0AC6"/>
    <w:multiLevelType w:val="hybridMultilevel"/>
    <w:tmpl w:val="E24C07EE"/>
    <w:lvl w:ilvl="0" w:tplc="372CF83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61EF4B4E"/>
    <w:multiLevelType w:val="hybridMultilevel"/>
    <w:tmpl w:val="0D98E67C"/>
    <w:lvl w:ilvl="0" w:tplc="A656BCE6">
      <w:start w:val="1"/>
      <w:numFmt w:val="hebrew1"/>
      <w:pStyle w:val="2"/>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9DF6887"/>
    <w:multiLevelType w:val="hybridMultilevel"/>
    <w:tmpl w:val="E24C07EE"/>
    <w:lvl w:ilvl="0" w:tplc="372CF83C">
      <w:start w:val="1"/>
      <w:numFmt w:val="decimal"/>
      <w:lvlText w:val="%1."/>
      <w:lvlJc w:val="left"/>
      <w:pPr>
        <w:ind w:left="1069"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7C6D"/>
    <w:rsid w:val="00002C59"/>
    <w:rsid w:val="00013AC1"/>
    <w:rsid w:val="00021EEE"/>
    <w:rsid w:val="0005576A"/>
    <w:rsid w:val="00066E7E"/>
    <w:rsid w:val="00067317"/>
    <w:rsid w:val="0008302B"/>
    <w:rsid w:val="00092C81"/>
    <w:rsid w:val="00093363"/>
    <w:rsid w:val="000A6CB9"/>
    <w:rsid w:val="000B3A96"/>
    <w:rsid w:val="000B607A"/>
    <w:rsid w:val="000C41D5"/>
    <w:rsid w:val="000C5E91"/>
    <w:rsid w:val="000D0CD3"/>
    <w:rsid w:val="000D4C79"/>
    <w:rsid w:val="000E232F"/>
    <w:rsid w:val="000E71D5"/>
    <w:rsid w:val="001001BA"/>
    <w:rsid w:val="00122AF9"/>
    <w:rsid w:val="001262A1"/>
    <w:rsid w:val="00152A76"/>
    <w:rsid w:val="00163418"/>
    <w:rsid w:val="00170826"/>
    <w:rsid w:val="00183F46"/>
    <w:rsid w:val="00184F0E"/>
    <w:rsid w:val="001853CD"/>
    <w:rsid w:val="001A273A"/>
    <w:rsid w:val="001A5F9B"/>
    <w:rsid w:val="001A5F9C"/>
    <w:rsid w:val="001A7634"/>
    <w:rsid w:val="001C1950"/>
    <w:rsid w:val="001D5746"/>
    <w:rsid w:val="001E4FD4"/>
    <w:rsid w:val="002162B9"/>
    <w:rsid w:val="00216CEE"/>
    <w:rsid w:val="00243AAB"/>
    <w:rsid w:val="002473B8"/>
    <w:rsid w:val="0024780D"/>
    <w:rsid w:val="00250D49"/>
    <w:rsid w:val="00261E65"/>
    <w:rsid w:val="0027193C"/>
    <w:rsid w:val="0028149C"/>
    <w:rsid w:val="002824B8"/>
    <w:rsid w:val="00283017"/>
    <w:rsid w:val="0029114E"/>
    <w:rsid w:val="00293028"/>
    <w:rsid w:val="002A4FD2"/>
    <w:rsid w:val="002B6351"/>
    <w:rsid w:val="002D0518"/>
    <w:rsid w:val="002D72CB"/>
    <w:rsid w:val="002E645A"/>
    <w:rsid w:val="002F7F87"/>
    <w:rsid w:val="003023A0"/>
    <w:rsid w:val="00302A5B"/>
    <w:rsid w:val="00307018"/>
    <w:rsid w:val="00316615"/>
    <w:rsid w:val="00322146"/>
    <w:rsid w:val="00361D21"/>
    <w:rsid w:val="00371201"/>
    <w:rsid w:val="0039331F"/>
    <w:rsid w:val="0039367C"/>
    <w:rsid w:val="003967FE"/>
    <w:rsid w:val="003A4F27"/>
    <w:rsid w:val="003A665E"/>
    <w:rsid w:val="003B32DD"/>
    <w:rsid w:val="003B45C4"/>
    <w:rsid w:val="003C6D17"/>
    <w:rsid w:val="003F3CB3"/>
    <w:rsid w:val="00401ECF"/>
    <w:rsid w:val="004048D5"/>
    <w:rsid w:val="00410FDD"/>
    <w:rsid w:val="00416C24"/>
    <w:rsid w:val="00421192"/>
    <w:rsid w:val="004236EF"/>
    <w:rsid w:val="004253AA"/>
    <w:rsid w:val="00425417"/>
    <w:rsid w:val="00431ABE"/>
    <w:rsid w:val="004325C8"/>
    <w:rsid w:val="00437165"/>
    <w:rsid w:val="0044413F"/>
    <w:rsid w:val="00445378"/>
    <w:rsid w:val="00475BFC"/>
    <w:rsid w:val="00484614"/>
    <w:rsid w:val="0048462F"/>
    <w:rsid w:val="00493D8C"/>
    <w:rsid w:val="0049500F"/>
    <w:rsid w:val="004B06BB"/>
    <w:rsid w:val="004B5554"/>
    <w:rsid w:val="004C28B2"/>
    <w:rsid w:val="004E5A15"/>
    <w:rsid w:val="004F0DFD"/>
    <w:rsid w:val="004F2AA8"/>
    <w:rsid w:val="005037F6"/>
    <w:rsid w:val="00514195"/>
    <w:rsid w:val="00520C2F"/>
    <w:rsid w:val="00521CB3"/>
    <w:rsid w:val="0052339B"/>
    <w:rsid w:val="0053680E"/>
    <w:rsid w:val="005435A0"/>
    <w:rsid w:val="00547EFB"/>
    <w:rsid w:val="00550B6B"/>
    <w:rsid w:val="005520C7"/>
    <w:rsid w:val="00553C63"/>
    <w:rsid w:val="00554BBE"/>
    <w:rsid w:val="00576C91"/>
    <w:rsid w:val="0058795F"/>
    <w:rsid w:val="00591FA8"/>
    <w:rsid w:val="005A7C61"/>
    <w:rsid w:val="005B0CF9"/>
    <w:rsid w:val="00605897"/>
    <w:rsid w:val="0061059C"/>
    <w:rsid w:val="00613263"/>
    <w:rsid w:val="00622426"/>
    <w:rsid w:val="006238BB"/>
    <w:rsid w:val="00626B7A"/>
    <w:rsid w:val="0062760E"/>
    <w:rsid w:val="006476FB"/>
    <w:rsid w:val="00663BC0"/>
    <w:rsid w:val="00666DB0"/>
    <w:rsid w:val="00677FE5"/>
    <w:rsid w:val="006856EF"/>
    <w:rsid w:val="006A2BF4"/>
    <w:rsid w:val="006A3940"/>
    <w:rsid w:val="006B7E66"/>
    <w:rsid w:val="006C0890"/>
    <w:rsid w:val="006D00F2"/>
    <w:rsid w:val="006E7F8E"/>
    <w:rsid w:val="006F57C9"/>
    <w:rsid w:val="00705EA9"/>
    <w:rsid w:val="00714EC9"/>
    <w:rsid w:val="007170FF"/>
    <w:rsid w:val="00725CDA"/>
    <w:rsid w:val="00735FEE"/>
    <w:rsid w:val="00736AF3"/>
    <w:rsid w:val="00743BD2"/>
    <w:rsid w:val="00744103"/>
    <w:rsid w:val="00755A40"/>
    <w:rsid w:val="0076292D"/>
    <w:rsid w:val="00763DBF"/>
    <w:rsid w:val="0076404C"/>
    <w:rsid w:val="007666D3"/>
    <w:rsid w:val="0079573E"/>
    <w:rsid w:val="00795FD6"/>
    <w:rsid w:val="007A423B"/>
    <w:rsid w:val="007A6D97"/>
    <w:rsid w:val="007D291A"/>
    <w:rsid w:val="007E4236"/>
    <w:rsid w:val="007F3C9E"/>
    <w:rsid w:val="007F5A7F"/>
    <w:rsid w:val="007F7ACC"/>
    <w:rsid w:val="007F7B86"/>
    <w:rsid w:val="00804184"/>
    <w:rsid w:val="00804285"/>
    <w:rsid w:val="0081039F"/>
    <w:rsid w:val="008152A5"/>
    <w:rsid w:val="0081538A"/>
    <w:rsid w:val="00821FA7"/>
    <w:rsid w:val="00823ADE"/>
    <w:rsid w:val="00825339"/>
    <w:rsid w:val="008255BB"/>
    <w:rsid w:val="008338F2"/>
    <w:rsid w:val="00833B31"/>
    <w:rsid w:val="00840CED"/>
    <w:rsid w:val="00846D01"/>
    <w:rsid w:val="0085204B"/>
    <w:rsid w:val="00853748"/>
    <w:rsid w:val="008637C3"/>
    <w:rsid w:val="0086400E"/>
    <w:rsid w:val="0087313E"/>
    <w:rsid w:val="00874F44"/>
    <w:rsid w:val="00895BBF"/>
    <w:rsid w:val="00895DDB"/>
    <w:rsid w:val="008A2B95"/>
    <w:rsid w:val="008A4862"/>
    <w:rsid w:val="008A5921"/>
    <w:rsid w:val="008B5243"/>
    <w:rsid w:val="008D563D"/>
    <w:rsid w:val="008E1DFC"/>
    <w:rsid w:val="00904232"/>
    <w:rsid w:val="00917C6D"/>
    <w:rsid w:val="00920B70"/>
    <w:rsid w:val="00922D76"/>
    <w:rsid w:val="00933B4B"/>
    <w:rsid w:val="009464D2"/>
    <w:rsid w:val="00947724"/>
    <w:rsid w:val="00950EF7"/>
    <w:rsid w:val="00951FC4"/>
    <w:rsid w:val="009651E5"/>
    <w:rsid w:val="00966A4A"/>
    <w:rsid w:val="00993A7D"/>
    <w:rsid w:val="00997960"/>
    <w:rsid w:val="009A0837"/>
    <w:rsid w:val="009C5CB4"/>
    <w:rsid w:val="009C6571"/>
    <w:rsid w:val="009E29AD"/>
    <w:rsid w:val="009E4927"/>
    <w:rsid w:val="00A05D5C"/>
    <w:rsid w:val="00A22C3F"/>
    <w:rsid w:val="00A24FAA"/>
    <w:rsid w:val="00A3524E"/>
    <w:rsid w:val="00A37532"/>
    <w:rsid w:val="00A37C4A"/>
    <w:rsid w:val="00A42606"/>
    <w:rsid w:val="00A468BC"/>
    <w:rsid w:val="00A6532C"/>
    <w:rsid w:val="00A94C2B"/>
    <w:rsid w:val="00AA0661"/>
    <w:rsid w:val="00AB2FEF"/>
    <w:rsid w:val="00AB36B8"/>
    <w:rsid w:val="00AB3CC1"/>
    <w:rsid w:val="00AD2FF4"/>
    <w:rsid w:val="00AD63A1"/>
    <w:rsid w:val="00AD6BF2"/>
    <w:rsid w:val="00AE0207"/>
    <w:rsid w:val="00AF09C2"/>
    <w:rsid w:val="00AF0F14"/>
    <w:rsid w:val="00AF1A54"/>
    <w:rsid w:val="00AF2073"/>
    <w:rsid w:val="00B015CC"/>
    <w:rsid w:val="00B02296"/>
    <w:rsid w:val="00B05E72"/>
    <w:rsid w:val="00B11B65"/>
    <w:rsid w:val="00B21992"/>
    <w:rsid w:val="00B32B00"/>
    <w:rsid w:val="00B5522C"/>
    <w:rsid w:val="00B60259"/>
    <w:rsid w:val="00B65C95"/>
    <w:rsid w:val="00B925CD"/>
    <w:rsid w:val="00B93AFC"/>
    <w:rsid w:val="00BA570C"/>
    <w:rsid w:val="00BB0489"/>
    <w:rsid w:val="00BC1F94"/>
    <w:rsid w:val="00BD25D9"/>
    <w:rsid w:val="00BD438D"/>
    <w:rsid w:val="00BD6A35"/>
    <w:rsid w:val="00BD714A"/>
    <w:rsid w:val="00BE6A4E"/>
    <w:rsid w:val="00BF6881"/>
    <w:rsid w:val="00C01F4A"/>
    <w:rsid w:val="00C16959"/>
    <w:rsid w:val="00C17815"/>
    <w:rsid w:val="00C26B24"/>
    <w:rsid w:val="00C403E5"/>
    <w:rsid w:val="00C440A0"/>
    <w:rsid w:val="00C4476A"/>
    <w:rsid w:val="00C47799"/>
    <w:rsid w:val="00C51340"/>
    <w:rsid w:val="00C53A95"/>
    <w:rsid w:val="00C62C87"/>
    <w:rsid w:val="00C63BAB"/>
    <w:rsid w:val="00C73DA8"/>
    <w:rsid w:val="00C76452"/>
    <w:rsid w:val="00C85CCC"/>
    <w:rsid w:val="00C928BD"/>
    <w:rsid w:val="00C93F8E"/>
    <w:rsid w:val="00C94845"/>
    <w:rsid w:val="00CA4B5C"/>
    <w:rsid w:val="00CB10E3"/>
    <w:rsid w:val="00CC6C87"/>
    <w:rsid w:val="00D00102"/>
    <w:rsid w:val="00D0051E"/>
    <w:rsid w:val="00D21BF6"/>
    <w:rsid w:val="00D23441"/>
    <w:rsid w:val="00D26400"/>
    <w:rsid w:val="00D36410"/>
    <w:rsid w:val="00D40A33"/>
    <w:rsid w:val="00D45921"/>
    <w:rsid w:val="00D513B8"/>
    <w:rsid w:val="00D55891"/>
    <w:rsid w:val="00D55ABF"/>
    <w:rsid w:val="00D61E7C"/>
    <w:rsid w:val="00D61FE7"/>
    <w:rsid w:val="00D65DF5"/>
    <w:rsid w:val="00D74BE3"/>
    <w:rsid w:val="00D841CD"/>
    <w:rsid w:val="00D86C0F"/>
    <w:rsid w:val="00DA5CD2"/>
    <w:rsid w:val="00DB39D7"/>
    <w:rsid w:val="00DC2B8E"/>
    <w:rsid w:val="00DC7131"/>
    <w:rsid w:val="00DD3A08"/>
    <w:rsid w:val="00DE70E9"/>
    <w:rsid w:val="00DF075E"/>
    <w:rsid w:val="00DF169C"/>
    <w:rsid w:val="00DF2F5C"/>
    <w:rsid w:val="00E05A87"/>
    <w:rsid w:val="00E10B92"/>
    <w:rsid w:val="00E11CC8"/>
    <w:rsid w:val="00E215FD"/>
    <w:rsid w:val="00E22423"/>
    <w:rsid w:val="00E23156"/>
    <w:rsid w:val="00E27831"/>
    <w:rsid w:val="00E53AD9"/>
    <w:rsid w:val="00E57C39"/>
    <w:rsid w:val="00E60FDD"/>
    <w:rsid w:val="00E714C2"/>
    <w:rsid w:val="00E84CC8"/>
    <w:rsid w:val="00E86B6C"/>
    <w:rsid w:val="00E906B5"/>
    <w:rsid w:val="00E95D14"/>
    <w:rsid w:val="00EA1778"/>
    <w:rsid w:val="00EA52EA"/>
    <w:rsid w:val="00EB69E2"/>
    <w:rsid w:val="00EC3A5A"/>
    <w:rsid w:val="00EC5EF2"/>
    <w:rsid w:val="00ED4595"/>
    <w:rsid w:val="00ED7988"/>
    <w:rsid w:val="00EE4DFF"/>
    <w:rsid w:val="00EE6683"/>
    <w:rsid w:val="00EF1813"/>
    <w:rsid w:val="00EF5519"/>
    <w:rsid w:val="00EF6380"/>
    <w:rsid w:val="00F027BB"/>
    <w:rsid w:val="00F14C61"/>
    <w:rsid w:val="00F2070B"/>
    <w:rsid w:val="00F20C88"/>
    <w:rsid w:val="00F22359"/>
    <w:rsid w:val="00F42A56"/>
    <w:rsid w:val="00F435E1"/>
    <w:rsid w:val="00F54EB8"/>
    <w:rsid w:val="00F56DDD"/>
    <w:rsid w:val="00F659B2"/>
    <w:rsid w:val="00F80D04"/>
    <w:rsid w:val="00F87EA6"/>
    <w:rsid w:val="00F906E1"/>
    <w:rsid w:val="00F90FB1"/>
    <w:rsid w:val="00FA03CE"/>
    <w:rsid w:val="00FB16D3"/>
    <w:rsid w:val="00FB5AC4"/>
    <w:rsid w:val="00FC04FE"/>
    <w:rsid w:val="00FC62A6"/>
    <w:rsid w:val="00FE7826"/>
    <w:rsid w:val="00FF310D"/>
    <w:rsid w:val="00FF3581"/>
    <w:rsid w:val="00FF6FF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60B03F-C6D3-41AD-A8DE-818A24813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7C6D"/>
    <w:pPr>
      <w:bidi/>
      <w:spacing w:after="0" w:line="360" w:lineRule="auto"/>
      <w:ind w:left="357"/>
      <w:jc w:val="both"/>
    </w:pPr>
    <w:rPr>
      <w:sz w:val="24"/>
      <w:szCs w:val="24"/>
    </w:rPr>
  </w:style>
  <w:style w:type="paragraph" w:styleId="1">
    <w:name w:val="heading 1"/>
    <w:basedOn w:val="a"/>
    <w:next w:val="a"/>
    <w:link w:val="10"/>
    <w:uiPriority w:val="9"/>
    <w:qFormat/>
    <w:rsid w:val="00917C6D"/>
    <w:pPr>
      <w:keepNext/>
      <w:keepLines/>
      <w:spacing w:before="240"/>
      <w:ind w:left="0" w:firstLine="340"/>
      <w:outlineLvl w:val="0"/>
    </w:pPr>
    <w:rPr>
      <w:rFonts w:asciiTheme="majorHAnsi" w:hAnsiTheme="majorHAnsi" w:cstheme="majorBidi"/>
      <w:b/>
      <w:bCs/>
    </w:rPr>
  </w:style>
  <w:style w:type="paragraph" w:styleId="2">
    <w:name w:val="heading 2"/>
    <w:basedOn w:val="a"/>
    <w:next w:val="a"/>
    <w:link w:val="20"/>
    <w:uiPriority w:val="9"/>
    <w:unhideWhenUsed/>
    <w:qFormat/>
    <w:rsid w:val="00917C6D"/>
    <w:pPr>
      <w:keepNext/>
      <w:keepLines/>
      <w:numPr>
        <w:numId w:val="3"/>
      </w:numPr>
      <w:spacing w:before="240"/>
      <w:outlineLvl w:val="1"/>
    </w:pPr>
    <w:rPr>
      <w:rFonts w:asciiTheme="majorHAnsi" w:hAnsiTheme="majorHAnsi" w:cstheme="majorBid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917C6D"/>
    <w:rPr>
      <w:rFonts w:asciiTheme="majorHAnsi" w:hAnsiTheme="majorHAnsi" w:cstheme="majorBidi"/>
      <w:b/>
      <w:bCs/>
      <w:sz w:val="24"/>
      <w:szCs w:val="24"/>
    </w:rPr>
  </w:style>
  <w:style w:type="character" w:customStyle="1" w:styleId="20">
    <w:name w:val="כותרת 2 תו"/>
    <w:basedOn w:val="a0"/>
    <w:link w:val="2"/>
    <w:uiPriority w:val="9"/>
    <w:rsid w:val="00917C6D"/>
    <w:rPr>
      <w:rFonts w:asciiTheme="majorHAnsi" w:hAnsiTheme="majorHAnsi" w:cstheme="majorBidi"/>
      <w:b/>
      <w:bCs/>
      <w:sz w:val="24"/>
      <w:szCs w:val="24"/>
    </w:rPr>
  </w:style>
  <w:style w:type="paragraph" w:styleId="a3">
    <w:name w:val="footnote text"/>
    <w:aliases w:val=" תו תו,טקסט הערות שוליים תו,תו,טקסט הערות שוליים תו2,טקסט הערות שוליים תו1 תו,טקסט הערות שוליים תו תו תו,טקסט הערות שוליים תו תו1,תו תו תו1,Footnote Text תו,תו תו תו תו, תו תו תו תו, תו תו תו1,fn,fn Char,single space, תו"/>
    <w:basedOn w:val="a"/>
    <w:link w:val="a4"/>
    <w:uiPriority w:val="99"/>
    <w:rsid w:val="00917C6D"/>
    <w:rPr>
      <w:sz w:val="20"/>
      <w:szCs w:val="20"/>
    </w:rPr>
  </w:style>
  <w:style w:type="character" w:customStyle="1" w:styleId="a4">
    <w:name w:val="טקסט הערת שוליים תו"/>
    <w:aliases w:val=" תו תו תו,טקסט הערות שוליים תו תו,תו תו,טקסט הערות שוליים תו2 תו,טקסט הערות שוליים תו1 תו תו,טקסט הערות שוליים תו תו תו תו,טקסט הערות שוליים תו תו1 תו,תו תו תו1 תו,Footnote Text תו תו,תו תו תו תו תו, תו תו תו תו תו, תו תו תו1 תו"/>
    <w:basedOn w:val="a0"/>
    <w:link w:val="a3"/>
    <w:uiPriority w:val="99"/>
    <w:rsid w:val="00917C6D"/>
    <w:rPr>
      <w:sz w:val="20"/>
      <w:szCs w:val="20"/>
    </w:rPr>
  </w:style>
  <w:style w:type="character" w:styleId="a5">
    <w:name w:val="footnote reference"/>
    <w:aliases w:val="Footnote Reference Superscript,Footnote symbol,Footnote Reference Number,Footnote Reference_LVL6,Footnote Reference_LVL61,Footnote Reference_LVL62,Footnote Reference_LVL63,Footnote Reference_LVL64,fr,SUPERS,EN Footnote Reference"/>
    <w:uiPriority w:val="99"/>
    <w:rsid w:val="00917C6D"/>
    <w:rPr>
      <w:vertAlign w:val="superscript"/>
    </w:rPr>
  </w:style>
  <w:style w:type="paragraph" w:styleId="a6">
    <w:name w:val="Title"/>
    <w:basedOn w:val="a"/>
    <w:next w:val="a"/>
    <w:link w:val="a7"/>
    <w:uiPriority w:val="10"/>
    <w:qFormat/>
    <w:rsid w:val="00917C6D"/>
    <w:pPr>
      <w:spacing w:after="300"/>
      <w:contextualSpacing/>
      <w:jc w:val="center"/>
    </w:pPr>
    <w:rPr>
      <w:rFonts w:asciiTheme="majorHAnsi" w:hAnsiTheme="majorHAnsi" w:cstheme="majorBidi"/>
      <w:b/>
      <w:bCs/>
      <w:spacing w:val="5"/>
      <w:kern w:val="28"/>
      <w:sz w:val="28"/>
      <w:szCs w:val="28"/>
    </w:rPr>
  </w:style>
  <w:style w:type="character" w:customStyle="1" w:styleId="a7">
    <w:name w:val="כותרת טקסט תו"/>
    <w:basedOn w:val="a0"/>
    <w:link w:val="a6"/>
    <w:uiPriority w:val="10"/>
    <w:rsid w:val="00917C6D"/>
    <w:rPr>
      <w:rFonts w:asciiTheme="majorHAnsi" w:hAnsiTheme="majorHAnsi" w:cstheme="majorBidi"/>
      <w:b/>
      <w:bCs/>
      <w:spacing w:val="5"/>
      <w:kern w:val="28"/>
      <w:sz w:val="28"/>
      <w:szCs w:val="28"/>
    </w:rPr>
  </w:style>
  <w:style w:type="table" w:customStyle="1" w:styleId="21">
    <w:name w:val="טבלת רשת2"/>
    <w:basedOn w:val="a1"/>
    <w:next w:val="a8"/>
    <w:rsid w:val="00917C6D"/>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917C6D"/>
    <w:pPr>
      <w:ind w:left="0"/>
      <w:contextualSpacing/>
    </w:pPr>
    <w:rPr>
      <w:sz w:val="18"/>
      <w:szCs w:val="18"/>
    </w:rPr>
  </w:style>
  <w:style w:type="paragraph" w:styleId="aa">
    <w:name w:val="caption"/>
    <w:basedOn w:val="a"/>
    <w:next w:val="a"/>
    <w:uiPriority w:val="35"/>
    <w:unhideWhenUsed/>
    <w:qFormat/>
    <w:rsid w:val="00917C6D"/>
    <w:pPr>
      <w:keepNext/>
      <w:keepLines/>
      <w:spacing w:before="120" w:after="200" w:line="240" w:lineRule="auto"/>
      <w:ind w:left="284"/>
      <w:contextualSpacing/>
      <w:jc w:val="center"/>
    </w:pPr>
    <w:rPr>
      <w:b/>
      <w:bCs/>
      <w:color w:val="4F81BD" w:themeColor="accent1"/>
    </w:rPr>
  </w:style>
  <w:style w:type="paragraph" w:customStyle="1" w:styleId="Tablenc">
    <w:name w:val="Table_nc"/>
    <w:basedOn w:val="a"/>
    <w:link w:val="TablencChar"/>
    <w:qFormat/>
    <w:rsid w:val="00917C6D"/>
    <w:pPr>
      <w:spacing w:line="240" w:lineRule="auto"/>
      <w:ind w:left="113"/>
    </w:pPr>
    <w:rPr>
      <w:sz w:val="20"/>
      <w:szCs w:val="20"/>
    </w:rPr>
  </w:style>
  <w:style w:type="character" w:customStyle="1" w:styleId="TablencChar">
    <w:name w:val="Table_nc Char"/>
    <w:basedOn w:val="a0"/>
    <w:link w:val="Tablenc"/>
    <w:rsid w:val="00917C6D"/>
    <w:rPr>
      <w:sz w:val="20"/>
      <w:szCs w:val="20"/>
    </w:rPr>
  </w:style>
  <w:style w:type="table" w:styleId="a8">
    <w:name w:val="Table Grid"/>
    <w:basedOn w:val="a1"/>
    <w:uiPriority w:val="59"/>
    <w:rsid w:val="00917C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FF6FF3"/>
    <w:rPr>
      <w:sz w:val="16"/>
      <w:szCs w:val="16"/>
    </w:rPr>
  </w:style>
  <w:style w:type="paragraph" w:styleId="ac">
    <w:name w:val="annotation text"/>
    <w:basedOn w:val="a"/>
    <w:link w:val="ad"/>
    <w:uiPriority w:val="99"/>
    <w:semiHidden/>
    <w:unhideWhenUsed/>
    <w:rsid w:val="00FF6FF3"/>
    <w:pPr>
      <w:spacing w:line="240" w:lineRule="auto"/>
    </w:pPr>
    <w:rPr>
      <w:sz w:val="20"/>
      <w:szCs w:val="20"/>
    </w:rPr>
  </w:style>
  <w:style w:type="character" w:customStyle="1" w:styleId="ad">
    <w:name w:val="טקסט הערה תו"/>
    <w:basedOn w:val="a0"/>
    <w:link w:val="ac"/>
    <w:uiPriority w:val="99"/>
    <w:semiHidden/>
    <w:rsid w:val="00FF6FF3"/>
    <w:rPr>
      <w:sz w:val="20"/>
      <w:szCs w:val="20"/>
    </w:rPr>
  </w:style>
  <w:style w:type="paragraph" w:styleId="ae">
    <w:name w:val="annotation subject"/>
    <w:basedOn w:val="ac"/>
    <w:next w:val="ac"/>
    <w:link w:val="af"/>
    <w:uiPriority w:val="99"/>
    <w:semiHidden/>
    <w:unhideWhenUsed/>
    <w:rsid w:val="00FF6FF3"/>
    <w:rPr>
      <w:b/>
      <w:bCs/>
    </w:rPr>
  </w:style>
  <w:style w:type="character" w:customStyle="1" w:styleId="af">
    <w:name w:val="נושא הערה תו"/>
    <w:basedOn w:val="ad"/>
    <w:link w:val="ae"/>
    <w:uiPriority w:val="99"/>
    <w:semiHidden/>
    <w:rsid w:val="00FF6FF3"/>
    <w:rPr>
      <w:b/>
      <w:bCs/>
      <w:sz w:val="20"/>
      <w:szCs w:val="20"/>
    </w:rPr>
  </w:style>
  <w:style w:type="paragraph" w:styleId="af0">
    <w:name w:val="Balloon Text"/>
    <w:basedOn w:val="a"/>
    <w:link w:val="af1"/>
    <w:uiPriority w:val="99"/>
    <w:semiHidden/>
    <w:unhideWhenUsed/>
    <w:rsid w:val="00FF6FF3"/>
    <w:pPr>
      <w:spacing w:line="240" w:lineRule="auto"/>
    </w:pPr>
    <w:rPr>
      <w:rFonts w:ascii="Tahoma" w:hAnsi="Tahoma" w:cs="Tahoma"/>
      <w:sz w:val="18"/>
      <w:szCs w:val="18"/>
    </w:rPr>
  </w:style>
  <w:style w:type="character" w:customStyle="1" w:styleId="af1">
    <w:name w:val="טקסט בלונים תו"/>
    <w:basedOn w:val="a0"/>
    <w:link w:val="af0"/>
    <w:uiPriority w:val="99"/>
    <w:semiHidden/>
    <w:rsid w:val="00FF6FF3"/>
    <w:rPr>
      <w:rFonts w:ascii="Tahoma" w:hAnsi="Tahoma" w:cs="Tahoma"/>
      <w:sz w:val="18"/>
      <w:szCs w:val="18"/>
    </w:rPr>
  </w:style>
  <w:style w:type="paragraph" w:styleId="af2">
    <w:name w:val="header"/>
    <w:basedOn w:val="a"/>
    <w:link w:val="af3"/>
    <w:uiPriority w:val="99"/>
    <w:unhideWhenUsed/>
    <w:rsid w:val="008152A5"/>
    <w:pPr>
      <w:tabs>
        <w:tab w:val="center" w:pos="4153"/>
        <w:tab w:val="right" w:pos="8306"/>
      </w:tabs>
      <w:spacing w:line="240" w:lineRule="auto"/>
    </w:pPr>
  </w:style>
  <w:style w:type="character" w:customStyle="1" w:styleId="af3">
    <w:name w:val="כותרת עליונה תו"/>
    <w:basedOn w:val="a0"/>
    <w:link w:val="af2"/>
    <w:uiPriority w:val="99"/>
    <w:rsid w:val="008152A5"/>
    <w:rPr>
      <w:sz w:val="24"/>
      <w:szCs w:val="24"/>
    </w:rPr>
  </w:style>
  <w:style w:type="paragraph" w:styleId="af4">
    <w:name w:val="footer"/>
    <w:basedOn w:val="a"/>
    <w:link w:val="af5"/>
    <w:uiPriority w:val="99"/>
    <w:unhideWhenUsed/>
    <w:rsid w:val="008152A5"/>
    <w:pPr>
      <w:tabs>
        <w:tab w:val="center" w:pos="4153"/>
        <w:tab w:val="right" w:pos="8306"/>
      </w:tabs>
      <w:spacing w:line="240" w:lineRule="auto"/>
    </w:pPr>
  </w:style>
  <w:style w:type="character" w:customStyle="1" w:styleId="af5">
    <w:name w:val="כותרת תחתונה תו"/>
    <w:basedOn w:val="a0"/>
    <w:link w:val="af4"/>
    <w:uiPriority w:val="99"/>
    <w:rsid w:val="008152A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3717618">
      <w:bodyDiv w:val="1"/>
      <w:marLeft w:val="0"/>
      <w:marRight w:val="0"/>
      <w:marTop w:val="0"/>
      <w:marBottom w:val="0"/>
      <w:divBdr>
        <w:top w:val="none" w:sz="0" w:space="0" w:color="auto"/>
        <w:left w:val="none" w:sz="0" w:space="0" w:color="auto"/>
        <w:bottom w:val="none" w:sz="0" w:space="0" w:color="auto"/>
        <w:right w:val="none" w:sz="0" w:space="0" w:color="auto"/>
      </w:divBdr>
    </w:div>
    <w:div w:id="876544037">
      <w:bodyDiv w:val="1"/>
      <w:marLeft w:val="0"/>
      <w:marRight w:val="0"/>
      <w:marTop w:val="0"/>
      <w:marBottom w:val="0"/>
      <w:divBdr>
        <w:top w:val="none" w:sz="0" w:space="0" w:color="auto"/>
        <w:left w:val="none" w:sz="0" w:space="0" w:color="auto"/>
        <w:bottom w:val="none" w:sz="0" w:space="0" w:color="auto"/>
        <w:right w:val="none" w:sz="0" w:space="0" w:color="auto"/>
      </w:divBdr>
    </w:div>
    <w:div w:id="1427651618">
      <w:bodyDiv w:val="1"/>
      <w:marLeft w:val="0"/>
      <w:marRight w:val="0"/>
      <w:marTop w:val="0"/>
      <w:marBottom w:val="0"/>
      <w:divBdr>
        <w:top w:val="none" w:sz="0" w:space="0" w:color="auto"/>
        <w:left w:val="none" w:sz="0" w:space="0" w:color="auto"/>
        <w:bottom w:val="none" w:sz="0" w:space="0" w:color="auto"/>
        <w:right w:val="none" w:sz="0" w:space="0" w:color="auto"/>
      </w:divBdr>
    </w:div>
    <w:div w:id="1827739329">
      <w:bodyDiv w:val="1"/>
      <w:marLeft w:val="0"/>
      <w:marRight w:val="0"/>
      <w:marTop w:val="0"/>
      <w:marBottom w:val="0"/>
      <w:divBdr>
        <w:top w:val="none" w:sz="0" w:space="0" w:color="auto"/>
        <w:left w:val="none" w:sz="0" w:space="0" w:color="auto"/>
        <w:bottom w:val="none" w:sz="0" w:space="0" w:color="auto"/>
        <w:right w:val="none" w:sz="0" w:space="0" w:color="auto"/>
      </w:divBdr>
    </w:div>
    <w:div w:id="2069105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eWaveListOrderValue xmlns="http://schemas.microsoft.com/sharepoint/v3" xsi:nil="true"/>
    <_DCDateCreated xmlns="http://schemas.microsoft.com/sharepoint/v3/fields"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מסמך" ma:contentTypeID="0x0101000644CCD52964FE4BBD8AB8E0B060EA47" ma:contentTypeVersion="3" ma:contentTypeDescription="צור מסמך חדש." ma:contentTypeScope="" ma:versionID="2bb10b40ee8d3a599c5f62d28aa9a0b5">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c347f0a8e3e1664f2bb8f913eca227a"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1:eWaveListOrderValu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 ma:internalName="PublishingStartDate">
      <xsd:simpleType>
        <xsd:restriction base="dms:Unknown"/>
      </xsd:simpleType>
    </xsd:element>
    <xsd:element name="PublishingExpirationDate" ma:index="9" nillable="true" ma:displayName="מתזמן תאריך סיום" ma:internalName="PublishingExpirationDate">
      <xsd:simpleType>
        <xsd:restriction base="dms:Unknown"/>
      </xsd:simpleType>
    </xsd:element>
    <xsd:element name="eWaveListOrderValue" ma:index="10" nillable="true" ma:displayName="סידור" ma:decimals="2" ma:internalName="eWaveListOrderValue" ma:readOnly="false"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1" nillable="true" ma:displayName="תאריך יצירה" ma:description="התאריך שבו נוצר משאב זה"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8B1D556-C603-4793-8241-8F75AF648832}"/>
</file>

<file path=customXml/itemProps2.xml><?xml version="1.0" encoding="utf-8"?>
<ds:datastoreItem xmlns:ds="http://schemas.openxmlformats.org/officeDocument/2006/customXml" ds:itemID="{1C6958DD-625C-4B20-ADF8-B1EA3E79B7DB}"/>
</file>

<file path=customXml/itemProps3.xml><?xml version="1.0" encoding="utf-8"?>
<ds:datastoreItem xmlns:ds="http://schemas.openxmlformats.org/officeDocument/2006/customXml" ds:itemID="{E4948CE6-53AF-4C4E-B9DC-18780BD401C0}"/>
</file>

<file path=customXml/itemProps4.xml><?xml version="1.0" encoding="utf-8"?>
<ds:datastoreItem xmlns:ds="http://schemas.openxmlformats.org/officeDocument/2006/customXml" ds:itemID="{56154C42-66A4-49C7-9FB9-CCB41F11FEA5}"/>
</file>

<file path=docProps/app.xml><?xml version="1.0" encoding="utf-8"?>
<Properties xmlns="http://schemas.openxmlformats.org/officeDocument/2006/extended-properties" xmlns:vt="http://schemas.openxmlformats.org/officeDocument/2006/docPropsVTypes">
  <Template>Normal</Template>
  <TotalTime>0</TotalTime>
  <Pages>5</Pages>
  <Words>2024</Words>
  <Characters>10125</Characters>
  <Application>Microsoft Office Word</Application>
  <DocSecurity>0</DocSecurity>
  <Lines>84</Lines>
  <Paragraphs>24</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BOI</Company>
  <LinksUpToDate>false</LinksUpToDate>
  <CharactersWithSpaces>12125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ינון גמרסני</dc:creator>
  <cp:keywords/>
  <dc:description/>
  <cp:lastModifiedBy>boiuser</cp:lastModifiedBy>
  <cp:revision>2</cp:revision>
  <dcterms:created xsi:type="dcterms:W3CDTF">2020-08-24T11:25:00Z</dcterms:created>
  <dcterms:modified xsi:type="dcterms:W3CDTF">2020-08-24T11:25:00Z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0x0101000644CCD52964FE4BBD8AB8E0B060EA47</vt:lpwstr>
  </property>
</Properties>
</file>