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2369C2" w:rsidTr="006E512B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3EB" w:rsidRPr="00A457E5" w:rsidRDefault="00DD66BB" w:rsidP="006E512B">
            <w:pPr>
              <w:spacing w:line="360" w:lineRule="auto"/>
              <w:ind w:right="-101"/>
              <w:jc w:val="center"/>
              <w:rPr>
                <w:rFonts w:ascii="David" w:hAnsi="David" w:cs="David"/>
              </w:rPr>
            </w:pPr>
            <w:r>
              <w:rPr>
                <w:noProof/>
              </w:rPr>
              <w:drawing>
                <wp:inline distT="0" distB="0" distL="0" distR="0">
                  <wp:extent cx="2011680" cy="89027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EF2" w:rsidRPr="00A457E5">
              <w:rPr>
                <w:rFonts w:ascii="David" w:hAnsi="David"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363EB" w:rsidRPr="00A457E5" w:rsidRDefault="000363EB" w:rsidP="006E512B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3EB" w:rsidRPr="00836193" w:rsidRDefault="00DD66BB" w:rsidP="001C460B">
            <w:pPr>
              <w:spacing w:line="480" w:lineRule="auto"/>
              <w:rPr>
                <w:rFonts w:ascii="David" w:hAnsi="David" w:cs="David"/>
              </w:rPr>
            </w:pPr>
            <w:r w:rsidRPr="00836193">
              <w:rPr>
                <w:rFonts w:ascii="David" w:hAnsi="David" w:cs="David"/>
                <w:rtl/>
              </w:rPr>
              <w:t>‏ירושלים</w:t>
            </w:r>
            <w:r w:rsidR="001C460B">
              <w:rPr>
                <w:rFonts w:ascii="David" w:hAnsi="David" w:cs="David" w:hint="cs"/>
                <w:rtl/>
              </w:rPr>
              <w:t>, כ"ג</w:t>
            </w:r>
            <w:r w:rsidR="00836193" w:rsidRPr="00836193">
              <w:rPr>
                <w:rFonts w:ascii="David" w:hAnsi="David" w:cs="David" w:hint="cs"/>
                <w:rtl/>
              </w:rPr>
              <w:t xml:space="preserve"> כסלו תשפ"ה</w:t>
            </w:r>
          </w:p>
          <w:p w:rsidR="000363EB" w:rsidRPr="00836193" w:rsidRDefault="00DD66BB" w:rsidP="001C460B">
            <w:pPr>
              <w:spacing w:line="480" w:lineRule="auto"/>
              <w:rPr>
                <w:rFonts w:ascii="David" w:hAnsi="David" w:cs="David"/>
              </w:rPr>
            </w:pPr>
            <w:r w:rsidRPr="00836193">
              <w:rPr>
                <w:rFonts w:ascii="David" w:hAnsi="David" w:cs="David"/>
                <w:rtl/>
              </w:rPr>
              <w:t>‏‏‏‏‏</w:t>
            </w:r>
            <w:r w:rsidR="001C460B">
              <w:rPr>
                <w:rFonts w:ascii="David" w:hAnsi="David" w:cs="David" w:hint="cs"/>
                <w:rtl/>
              </w:rPr>
              <w:t>24</w:t>
            </w:r>
            <w:r w:rsidR="00836193" w:rsidRPr="00836193">
              <w:rPr>
                <w:rFonts w:ascii="David" w:hAnsi="David" w:cs="David" w:hint="cs"/>
                <w:rtl/>
              </w:rPr>
              <w:t xml:space="preserve"> דצמבר</w:t>
            </w:r>
            <w:r w:rsidRPr="00836193">
              <w:rPr>
                <w:rFonts w:ascii="David" w:hAnsi="David" w:cs="David"/>
                <w:rtl/>
              </w:rPr>
              <w:t xml:space="preserve"> 202</w:t>
            </w:r>
            <w:r w:rsidR="00836193" w:rsidRPr="00836193">
              <w:rPr>
                <w:rFonts w:ascii="David" w:hAnsi="David" w:cs="David" w:hint="cs"/>
                <w:rtl/>
              </w:rPr>
              <w:t>4</w:t>
            </w:r>
          </w:p>
        </w:tc>
      </w:tr>
    </w:tbl>
    <w:p w:rsidR="000363EB" w:rsidRPr="00A457E5" w:rsidRDefault="000363EB" w:rsidP="000363EB">
      <w:pPr>
        <w:spacing w:line="360" w:lineRule="auto"/>
        <w:jc w:val="right"/>
        <w:rPr>
          <w:rFonts w:ascii="David" w:hAnsi="David" w:cs="David"/>
        </w:rPr>
      </w:pPr>
    </w:p>
    <w:p w:rsidR="000363EB" w:rsidRPr="00A457E5" w:rsidRDefault="00DD66BB" w:rsidP="000363EB">
      <w:pPr>
        <w:spacing w:line="360" w:lineRule="auto"/>
        <w:jc w:val="right"/>
        <w:rPr>
          <w:rFonts w:ascii="David" w:hAnsi="David" w:cs="David"/>
          <w:rtl/>
        </w:rPr>
      </w:pPr>
      <w:r w:rsidRPr="00A457E5">
        <w:rPr>
          <w:rFonts w:ascii="David" w:hAnsi="David" w:cs="David"/>
          <w:rtl/>
        </w:rPr>
        <w:t xml:space="preserve">הודעה </w:t>
      </w:r>
      <w:r w:rsidR="00245FF7">
        <w:rPr>
          <w:rFonts w:ascii="David" w:hAnsi="David" w:cs="David" w:hint="cs"/>
          <w:rtl/>
        </w:rPr>
        <w:t xml:space="preserve">משותפת </w:t>
      </w:r>
      <w:r w:rsidRPr="00A457E5">
        <w:rPr>
          <w:rFonts w:ascii="David" w:hAnsi="David" w:cs="David"/>
          <w:rtl/>
        </w:rPr>
        <w:t>לעיתונות</w:t>
      </w:r>
    </w:p>
    <w:p w:rsidR="00773DFE" w:rsidRPr="00A457E5" w:rsidRDefault="00DD66BB" w:rsidP="00E22537">
      <w:pPr>
        <w:tabs>
          <w:tab w:val="left" w:pos="2895"/>
          <w:tab w:val="left" w:pos="5295"/>
        </w:tabs>
        <w:spacing w:line="360" w:lineRule="auto"/>
        <w:rPr>
          <w:rFonts w:ascii="David" w:hAnsi="David" w:cs="David"/>
        </w:rPr>
      </w:pPr>
      <w:r w:rsidRPr="00A457E5">
        <w:rPr>
          <w:rFonts w:ascii="David" w:hAnsi="David" w:cs="David"/>
        </w:rPr>
        <w:tab/>
      </w:r>
      <w:r w:rsidRPr="00A457E5">
        <w:rPr>
          <w:rFonts w:ascii="David" w:hAnsi="David" w:cs="David"/>
          <w:rtl/>
        </w:rPr>
        <w:tab/>
      </w:r>
    </w:p>
    <w:p w:rsidR="00FC56DA" w:rsidRPr="00836193" w:rsidRDefault="00DD66BB" w:rsidP="001C460B">
      <w:pPr>
        <w:pStyle w:val="NormalWeb"/>
        <w:bidi/>
        <w:spacing w:line="360" w:lineRule="auto"/>
        <w:jc w:val="center"/>
        <w:rPr>
          <w:rFonts w:ascii="David" w:hAnsi="David" w:cs="David"/>
          <w:b/>
          <w:bCs/>
          <w:color w:val="000000"/>
          <w:sz w:val="32"/>
          <w:szCs w:val="32"/>
          <w:rtl/>
        </w:rPr>
      </w:pPr>
      <w:r>
        <w:rPr>
          <w:rFonts w:ascii="David" w:hAnsi="David" w:cs="David" w:hint="cs"/>
          <w:b/>
          <w:bCs/>
          <w:color w:val="000000"/>
          <w:sz w:val="32"/>
          <w:szCs w:val="32"/>
          <w:rtl/>
        </w:rPr>
        <w:t>פרסום</w:t>
      </w:r>
      <w:r w:rsidR="006A5AE5">
        <w:rPr>
          <w:rFonts w:ascii="David" w:hAnsi="David" w:cs="David" w:hint="cs"/>
          <w:b/>
          <w:bCs/>
          <w:color w:val="000000"/>
          <w:sz w:val="32"/>
          <w:szCs w:val="32"/>
          <w:rtl/>
        </w:rPr>
        <w:t xml:space="preserve"> </w:t>
      </w:r>
      <w:r w:rsidR="001C460B">
        <w:rPr>
          <w:rFonts w:ascii="David" w:hAnsi="David" w:cs="David" w:hint="cs"/>
          <w:b/>
          <w:bCs/>
          <w:color w:val="000000"/>
          <w:sz w:val="32"/>
          <w:szCs w:val="32"/>
          <w:rtl/>
        </w:rPr>
        <w:t xml:space="preserve">להערות </w:t>
      </w:r>
      <w:r w:rsidR="00C25933">
        <w:rPr>
          <w:rFonts w:ascii="David" w:hAnsi="David" w:cs="David" w:hint="cs"/>
          <w:b/>
          <w:bCs/>
          <w:color w:val="000000"/>
          <w:sz w:val="32"/>
          <w:szCs w:val="32"/>
          <w:rtl/>
        </w:rPr>
        <w:t>ה</w:t>
      </w:r>
      <w:r w:rsidR="001C460B">
        <w:rPr>
          <w:rFonts w:ascii="David" w:hAnsi="David" w:cs="David" w:hint="cs"/>
          <w:b/>
          <w:bCs/>
          <w:color w:val="000000"/>
          <w:sz w:val="32"/>
          <w:szCs w:val="32"/>
          <w:rtl/>
        </w:rPr>
        <w:t>ציבור</w:t>
      </w:r>
      <w:r w:rsidR="00F742BF">
        <w:rPr>
          <w:rFonts w:ascii="David" w:hAnsi="David" w:cs="David" w:hint="cs"/>
          <w:b/>
          <w:bCs/>
          <w:color w:val="000000"/>
          <w:sz w:val="32"/>
          <w:szCs w:val="32"/>
          <w:rtl/>
        </w:rPr>
        <w:t xml:space="preserve"> של</w:t>
      </w:r>
      <w:r w:rsidR="001C460B">
        <w:rPr>
          <w:rFonts w:ascii="David" w:hAnsi="David" w:cs="David" w:hint="cs"/>
          <w:b/>
          <w:bCs/>
          <w:color w:val="000000"/>
          <w:sz w:val="32"/>
          <w:szCs w:val="32"/>
          <w:rtl/>
        </w:rPr>
        <w:t xml:space="preserve"> טיוטת הוראה </w:t>
      </w:r>
      <w:proofErr w:type="spellStart"/>
      <w:r w:rsidR="001C460B">
        <w:rPr>
          <w:rFonts w:ascii="David" w:hAnsi="David" w:cs="David" w:hint="cs"/>
          <w:b/>
          <w:bCs/>
          <w:color w:val="000000"/>
          <w:sz w:val="32"/>
          <w:szCs w:val="32"/>
          <w:rtl/>
        </w:rPr>
        <w:t>המנגישה</w:t>
      </w:r>
      <w:proofErr w:type="spellEnd"/>
      <w:r w:rsidR="001C460B">
        <w:rPr>
          <w:rFonts w:ascii="David" w:hAnsi="David" w:cs="David" w:hint="cs"/>
          <w:b/>
          <w:bCs/>
          <w:color w:val="000000"/>
          <w:sz w:val="32"/>
          <w:szCs w:val="32"/>
          <w:rtl/>
        </w:rPr>
        <w:t xml:space="preserve"> </w:t>
      </w:r>
      <w:r w:rsidR="00F742BF">
        <w:rPr>
          <w:rFonts w:ascii="David" w:hAnsi="David" w:cs="David" w:hint="cs"/>
          <w:b/>
          <w:bCs/>
          <w:color w:val="000000"/>
          <w:sz w:val="32"/>
          <w:szCs w:val="32"/>
          <w:rtl/>
        </w:rPr>
        <w:t xml:space="preserve">באתרי הבנקים </w:t>
      </w:r>
      <w:r w:rsidR="001C460B">
        <w:rPr>
          <w:rFonts w:ascii="David" w:hAnsi="David" w:cs="David" w:hint="cs"/>
          <w:b/>
          <w:bCs/>
          <w:color w:val="000000"/>
          <w:sz w:val="32"/>
          <w:szCs w:val="32"/>
          <w:rtl/>
        </w:rPr>
        <w:t>מידע אודות קרנות כספיות ומק"מ</w:t>
      </w:r>
      <w:r w:rsidR="00F742BF" w:rsidRPr="00F742BF">
        <w:rPr>
          <w:rFonts w:ascii="David" w:hAnsi="David" w:cs="David" w:hint="cs"/>
          <w:b/>
          <w:bCs/>
          <w:color w:val="000000"/>
          <w:sz w:val="32"/>
          <w:szCs w:val="32"/>
          <w:rtl/>
        </w:rPr>
        <w:t xml:space="preserve"> </w:t>
      </w:r>
    </w:p>
    <w:p w:rsidR="000363EB" w:rsidRPr="00A457E5" w:rsidRDefault="000363EB" w:rsidP="000363EB">
      <w:pPr>
        <w:pStyle w:val="NormalWeb"/>
        <w:bidi/>
        <w:jc w:val="center"/>
        <w:rPr>
          <w:rFonts w:ascii="David" w:hAnsi="David" w:cs="David"/>
          <w:b/>
          <w:bCs/>
          <w:color w:val="000000"/>
          <w:rtl/>
        </w:rPr>
      </w:pPr>
    </w:p>
    <w:p w:rsidR="007553DE" w:rsidRDefault="00DD66BB" w:rsidP="006874B6">
      <w:pPr>
        <w:pStyle w:val="raz1"/>
        <w:numPr>
          <w:ilvl w:val="0"/>
          <w:numId w:val="0"/>
        </w:numPr>
        <w:spacing w:line="360" w:lineRule="auto"/>
        <w:rPr>
          <w:rFonts w:eastAsia="Times New Roman"/>
          <w:b w:val="0"/>
          <w:bCs w:val="0"/>
          <w:sz w:val="24"/>
          <w:szCs w:val="24"/>
          <w:u w:val="none"/>
          <w:rtl/>
        </w:rPr>
      </w:pPr>
      <w:r w:rsidRPr="002E3CCE">
        <w:rPr>
          <w:rFonts w:eastAsia="Times New Roman"/>
          <w:sz w:val="24"/>
          <w:szCs w:val="24"/>
          <w:u w:val="none"/>
          <w:rtl/>
        </w:rPr>
        <w:t xml:space="preserve">המפקח על הבנקים, </w:t>
      </w:r>
      <w:r w:rsidR="00C25933">
        <w:rPr>
          <w:rFonts w:eastAsia="Times New Roman" w:hint="cs"/>
          <w:sz w:val="24"/>
          <w:szCs w:val="24"/>
          <w:u w:val="none"/>
          <w:rtl/>
        </w:rPr>
        <w:t xml:space="preserve">מר </w:t>
      </w:r>
      <w:r w:rsidRPr="002E3CCE">
        <w:rPr>
          <w:rFonts w:eastAsia="Times New Roman"/>
          <w:sz w:val="24"/>
          <w:szCs w:val="24"/>
          <w:u w:val="none"/>
          <w:rtl/>
        </w:rPr>
        <w:t>דניאל חח</w:t>
      </w:r>
      <w:r w:rsidRPr="002E3CCE">
        <w:rPr>
          <w:rFonts w:eastAsia="Times New Roman" w:hint="cs"/>
          <w:sz w:val="24"/>
          <w:szCs w:val="24"/>
          <w:u w:val="none"/>
          <w:rtl/>
        </w:rPr>
        <w:t>יא</w:t>
      </w:r>
      <w:r w:rsidRPr="002E3CCE">
        <w:rPr>
          <w:rFonts w:eastAsia="Times New Roman"/>
          <w:sz w:val="24"/>
          <w:szCs w:val="24"/>
          <w:u w:val="none"/>
          <w:rtl/>
        </w:rPr>
        <w:t>שוילי:</w:t>
      </w:r>
      <w:r w:rsidRPr="002E3CCE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</w:t>
      </w:r>
      <w:r w:rsidRPr="002E3CCE">
        <w:rPr>
          <w:rFonts w:eastAsia="Times New Roman"/>
          <w:b w:val="0"/>
          <w:bCs w:val="0"/>
          <w:sz w:val="24"/>
          <w:szCs w:val="24"/>
          <w:u w:val="none"/>
          <w:rtl/>
        </w:rPr>
        <w:t>"</w:t>
      </w:r>
      <w:r w:rsidR="00FD1243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הצגת מידע מרוכז ללקוחות אודות מוצרי שוק הכסף </w:t>
      </w:r>
      <w:r w:rsidR="00FD1243" w:rsidRPr="00FD1243">
        <w:rPr>
          <w:rFonts w:eastAsia="Times New Roman" w:hint="cs"/>
          <w:b w:val="0"/>
          <w:bCs w:val="0"/>
          <w:sz w:val="24"/>
          <w:szCs w:val="24"/>
          <w:u w:val="none"/>
          <w:rtl/>
        </w:rPr>
        <w:t>יסייע להם בניהול כספם באופן מיטבי. צעד זה</w:t>
      </w:r>
      <w:r w:rsidR="00FD1243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</w:t>
      </w:r>
      <w:r w:rsidR="00D20830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הוא </w:t>
      </w:r>
      <w:r w:rsidR="001C460B">
        <w:rPr>
          <w:rFonts w:eastAsia="Times New Roman" w:hint="cs"/>
          <w:b w:val="0"/>
          <w:bCs w:val="0"/>
          <w:sz w:val="24"/>
          <w:szCs w:val="24"/>
          <w:u w:val="none"/>
          <w:rtl/>
        </w:rPr>
        <w:t>חלק ממכלול צעדים שמקדם הפיקוח לחיזוק כוחו של הלקוח והגברת השקיפות במערכת הבנקאית</w:t>
      </w:r>
      <w:r w:rsidR="00FD1243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. </w:t>
      </w:r>
      <w:r w:rsidR="001C460B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בשיתוף עם רשות ניירות ערך, גובשו הנחיות </w:t>
      </w:r>
      <w:r w:rsidR="00FD1243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שיחייבו </w:t>
      </w:r>
      <w:r w:rsidR="001C460B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את המערכת הבנקאית להציג </w:t>
      </w:r>
      <w:r w:rsidR="00F742BF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ללקוחותיהם </w:t>
      </w:r>
      <w:r w:rsidR="001C460B">
        <w:rPr>
          <w:rFonts w:eastAsia="Times New Roman" w:hint="cs"/>
          <w:b w:val="0"/>
          <w:bCs w:val="0"/>
          <w:sz w:val="24"/>
          <w:szCs w:val="24"/>
          <w:u w:val="none"/>
          <w:rtl/>
        </w:rPr>
        <w:t>מידע</w:t>
      </w:r>
      <w:r w:rsidR="00840ED4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מרוכז</w:t>
      </w:r>
      <w:r w:rsidR="001C460B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</w:t>
      </w:r>
      <w:r w:rsidR="00FD1243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על </w:t>
      </w:r>
      <w:r w:rsidR="001C460B">
        <w:rPr>
          <w:rFonts w:eastAsia="Times New Roman" w:hint="cs"/>
          <w:b w:val="0"/>
          <w:bCs w:val="0"/>
          <w:sz w:val="24"/>
          <w:szCs w:val="24"/>
          <w:u w:val="none"/>
          <w:rtl/>
        </w:rPr>
        <w:t>פיקדונות, קרנות כספיות ומק"מ</w:t>
      </w:r>
      <w:r w:rsidR="00FD1243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, </w:t>
      </w:r>
      <w:r w:rsidR="001C460B">
        <w:rPr>
          <w:rFonts w:eastAsia="Times New Roman" w:hint="cs"/>
          <w:b w:val="0"/>
          <w:bCs w:val="0"/>
          <w:sz w:val="24"/>
          <w:szCs w:val="24"/>
          <w:u w:val="none"/>
          <w:rtl/>
        </w:rPr>
        <w:t>זאת במטרה להרחיב את מודעות הציבור לאפיקי השקעה נוספים</w:t>
      </w:r>
      <w:r w:rsidR="00D20830">
        <w:rPr>
          <w:rFonts w:eastAsia="Times New Roman" w:hint="cs"/>
          <w:b w:val="0"/>
          <w:bCs w:val="0"/>
          <w:sz w:val="24"/>
          <w:szCs w:val="24"/>
          <w:u w:val="none"/>
          <w:rtl/>
        </w:rPr>
        <w:t>, בכדי</w:t>
      </w:r>
      <w:r w:rsidR="001C460B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להשיא את התשואה על כספו</w:t>
      </w:r>
      <w:r w:rsidR="002622F1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". </w:t>
      </w:r>
    </w:p>
    <w:p w:rsidR="001C460B" w:rsidRDefault="001C460B" w:rsidP="001C460B">
      <w:pPr>
        <w:pStyle w:val="raz1"/>
        <w:numPr>
          <w:ilvl w:val="0"/>
          <w:numId w:val="0"/>
        </w:numPr>
        <w:spacing w:line="360" w:lineRule="auto"/>
        <w:rPr>
          <w:rFonts w:eastAsia="Times New Roman"/>
          <w:b w:val="0"/>
          <w:bCs w:val="0"/>
          <w:sz w:val="24"/>
          <w:szCs w:val="24"/>
          <w:u w:val="none"/>
          <w:rtl/>
        </w:rPr>
      </w:pPr>
    </w:p>
    <w:p w:rsidR="001C460B" w:rsidRDefault="00DD66BB" w:rsidP="001C460B">
      <w:pPr>
        <w:pStyle w:val="raz1"/>
        <w:numPr>
          <w:ilvl w:val="0"/>
          <w:numId w:val="0"/>
        </w:numPr>
        <w:spacing w:line="360" w:lineRule="auto"/>
        <w:rPr>
          <w:rFonts w:eastAsia="Times New Roman"/>
          <w:b w:val="0"/>
          <w:bCs w:val="0"/>
          <w:sz w:val="24"/>
          <w:szCs w:val="24"/>
          <w:u w:val="none"/>
          <w:rtl/>
        </w:rPr>
      </w:pPr>
      <w:r w:rsidRPr="001C460B">
        <w:rPr>
          <w:rFonts w:eastAsia="Times New Roman" w:hint="cs"/>
          <w:sz w:val="24"/>
          <w:szCs w:val="24"/>
          <w:u w:val="none"/>
          <w:rtl/>
        </w:rPr>
        <w:t xml:space="preserve">יושב ראש רשות ניירות ערך, </w:t>
      </w:r>
      <w:r w:rsidR="00675014">
        <w:rPr>
          <w:rFonts w:eastAsia="Times New Roman" w:hint="cs"/>
          <w:sz w:val="24"/>
          <w:szCs w:val="24"/>
          <w:u w:val="none"/>
          <w:rtl/>
        </w:rPr>
        <w:t xml:space="preserve">מר </w:t>
      </w:r>
      <w:r w:rsidRPr="001C460B">
        <w:rPr>
          <w:rFonts w:eastAsia="Times New Roman" w:hint="cs"/>
          <w:sz w:val="24"/>
          <w:szCs w:val="24"/>
          <w:u w:val="none"/>
          <w:rtl/>
        </w:rPr>
        <w:t>ספי זינגר</w:t>
      </w:r>
      <w:r>
        <w:rPr>
          <w:rFonts w:eastAsia="Times New Roman" w:hint="cs"/>
          <w:b w:val="0"/>
          <w:bCs w:val="0"/>
          <w:sz w:val="24"/>
          <w:szCs w:val="24"/>
          <w:u w:val="none"/>
          <w:rtl/>
        </w:rPr>
        <w:t>: "</w:t>
      </w:r>
      <w:r w:rsidR="00B97948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באוקטובר 2024 נכנסה לתוקף </w:t>
      </w:r>
      <w:r w:rsidR="0001579E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חקיקת </w:t>
      </w:r>
      <w:r w:rsidR="00C04915">
        <w:rPr>
          <w:rFonts w:eastAsia="Times New Roman" w:hint="cs"/>
          <w:b w:val="0"/>
          <w:bCs w:val="0"/>
          <w:sz w:val="24"/>
          <w:szCs w:val="24"/>
          <w:u w:val="none"/>
          <w:rtl/>
        </w:rPr>
        <w:t>"</w:t>
      </w:r>
      <w:r w:rsidR="008A7833">
        <w:rPr>
          <w:rFonts w:eastAsia="Times New Roman" w:hint="cs"/>
          <w:b w:val="0"/>
          <w:bCs w:val="0"/>
          <w:sz w:val="24"/>
          <w:szCs w:val="24"/>
          <w:u w:val="none"/>
          <w:rtl/>
        </w:rPr>
        <w:t>רפורמת שוק הכסף</w:t>
      </w:r>
      <w:r w:rsidR="00C04915">
        <w:rPr>
          <w:rFonts w:eastAsia="Times New Roman" w:hint="cs"/>
          <w:b w:val="0"/>
          <w:bCs w:val="0"/>
          <w:sz w:val="24"/>
          <w:szCs w:val="24"/>
          <w:u w:val="none"/>
          <w:rtl/>
        </w:rPr>
        <w:t>"</w:t>
      </w:r>
      <w:r w:rsidR="0007794A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. </w:t>
      </w:r>
      <w:r w:rsidR="00D07C13">
        <w:rPr>
          <w:rFonts w:eastAsia="Times New Roman" w:hint="cs"/>
          <w:b w:val="0"/>
          <w:bCs w:val="0"/>
          <w:sz w:val="24"/>
          <w:szCs w:val="24"/>
          <w:u w:val="none"/>
          <w:rtl/>
        </w:rPr>
        <w:t>ה</w:t>
      </w:r>
      <w:r w:rsidR="00AD689E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רפורמה </w:t>
      </w:r>
      <w:r w:rsidR="0007794A">
        <w:rPr>
          <w:rFonts w:eastAsia="Times New Roman" w:hint="cs"/>
          <w:b w:val="0"/>
          <w:bCs w:val="0"/>
          <w:sz w:val="24"/>
          <w:szCs w:val="24"/>
          <w:u w:val="none"/>
          <w:rtl/>
        </w:rPr>
        <w:t>נועד</w:t>
      </w:r>
      <w:r w:rsidR="00AD689E">
        <w:rPr>
          <w:rFonts w:eastAsia="Times New Roman" w:hint="cs"/>
          <w:b w:val="0"/>
          <w:bCs w:val="0"/>
          <w:sz w:val="24"/>
          <w:szCs w:val="24"/>
          <w:u w:val="none"/>
          <w:rtl/>
        </w:rPr>
        <w:t>ה</w:t>
      </w:r>
      <w:r w:rsidR="0007794A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</w:t>
      </w:r>
      <w:r w:rsidR="00C04915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להרחיב את מוצרי שוק הכסף באמצעות קרנות כספיות מועדים קבועים שיהיו רשאיות להציג תשואה צפויה, וכן </w:t>
      </w:r>
      <w:r w:rsidR="0007794A">
        <w:rPr>
          <w:rFonts w:eastAsia="Times New Roman" w:hint="cs"/>
          <w:b w:val="0"/>
          <w:bCs w:val="0"/>
          <w:sz w:val="24"/>
          <w:szCs w:val="24"/>
          <w:u w:val="none"/>
          <w:rtl/>
        </w:rPr>
        <w:t>לייצר תחרות בריאה בין מוצרי שוק הכסף השונים</w:t>
      </w:r>
      <w:r w:rsidR="00D07C13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</w:t>
      </w:r>
      <w:proofErr w:type="spellStart"/>
      <w:r w:rsidR="008A7833">
        <w:rPr>
          <w:rFonts w:eastAsia="Times New Roman" w:hint="cs"/>
          <w:b w:val="0"/>
          <w:bCs w:val="0"/>
          <w:sz w:val="24"/>
          <w:szCs w:val="24"/>
          <w:u w:val="none"/>
          <w:rtl/>
        </w:rPr>
        <w:t>ולהנגיש</w:t>
      </w:r>
      <w:proofErr w:type="spellEnd"/>
      <w:r w:rsidR="00C04915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אותם</w:t>
      </w:r>
      <w:r w:rsidR="008A7833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לציבור</w:t>
      </w:r>
      <w:r w:rsidR="00AD689E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. </w:t>
      </w:r>
      <w:r w:rsidR="0007794A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ההוראה המפורסמת היום </w:t>
      </w:r>
      <w:r w:rsidR="008C1684" w:rsidRPr="008C1684">
        <w:rPr>
          <w:rFonts w:eastAsia="Times New Roman"/>
          <w:b w:val="0"/>
          <w:bCs w:val="0"/>
          <w:sz w:val="24"/>
          <w:szCs w:val="24"/>
          <w:u w:val="none"/>
          <w:rtl/>
        </w:rPr>
        <w:t xml:space="preserve">מהווה נדבך </w:t>
      </w:r>
      <w:r w:rsidR="0001579E">
        <w:rPr>
          <w:rFonts w:eastAsia="Times New Roman" w:hint="cs"/>
          <w:b w:val="0"/>
          <w:bCs w:val="0"/>
          <w:sz w:val="24"/>
          <w:szCs w:val="24"/>
          <w:u w:val="none"/>
          <w:rtl/>
        </w:rPr>
        <w:t>נוסף</w:t>
      </w:r>
      <w:r w:rsidR="0001579E" w:rsidRPr="008C1684">
        <w:rPr>
          <w:rFonts w:eastAsia="Times New Roman"/>
          <w:b w:val="0"/>
          <w:bCs w:val="0"/>
          <w:sz w:val="24"/>
          <w:szCs w:val="24"/>
          <w:u w:val="none"/>
          <w:rtl/>
        </w:rPr>
        <w:t xml:space="preserve"> </w:t>
      </w:r>
      <w:r w:rsidR="008C1684" w:rsidRPr="008C1684">
        <w:rPr>
          <w:rFonts w:eastAsia="Times New Roman"/>
          <w:b w:val="0"/>
          <w:bCs w:val="0"/>
          <w:sz w:val="24"/>
          <w:szCs w:val="24"/>
          <w:u w:val="none"/>
          <w:rtl/>
        </w:rPr>
        <w:t>ברפורמ</w:t>
      </w:r>
      <w:r w:rsidR="00C04915">
        <w:rPr>
          <w:rFonts w:eastAsia="Times New Roman" w:hint="cs"/>
          <w:b w:val="0"/>
          <w:bCs w:val="0"/>
          <w:sz w:val="24"/>
          <w:szCs w:val="24"/>
          <w:u w:val="none"/>
          <w:rtl/>
        </w:rPr>
        <w:t>ה זו</w:t>
      </w:r>
      <w:r w:rsidR="008C1684" w:rsidRPr="008C1684">
        <w:rPr>
          <w:rFonts w:eastAsia="Times New Roman"/>
          <w:b w:val="0"/>
          <w:bCs w:val="0"/>
          <w:sz w:val="24"/>
          <w:szCs w:val="24"/>
          <w:u w:val="none"/>
          <w:rtl/>
        </w:rPr>
        <w:t xml:space="preserve">. </w:t>
      </w:r>
      <w:r w:rsidR="00C04915">
        <w:rPr>
          <w:rFonts w:eastAsia="Times New Roman" w:hint="cs"/>
          <w:b w:val="0"/>
          <w:bCs w:val="0"/>
          <w:sz w:val="24"/>
          <w:szCs w:val="24"/>
          <w:u w:val="none"/>
          <w:rtl/>
        </w:rPr>
        <w:t>ה</w:t>
      </w:r>
      <w:r w:rsidR="0007794A">
        <w:rPr>
          <w:rFonts w:eastAsia="Times New Roman" w:hint="cs"/>
          <w:b w:val="0"/>
          <w:bCs w:val="0"/>
          <w:sz w:val="24"/>
          <w:szCs w:val="24"/>
          <w:u w:val="none"/>
          <w:rtl/>
        </w:rPr>
        <w:t>הוראה</w:t>
      </w:r>
      <w:r w:rsidR="00C04915">
        <w:rPr>
          <w:rFonts w:eastAsia="Times New Roman" w:hint="cs"/>
          <w:b w:val="0"/>
          <w:bCs w:val="0"/>
          <w:sz w:val="24"/>
          <w:szCs w:val="24"/>
          <w:u w:val="none"/>
          <w:rtl/>
        </w:rPr>
        <w:t>,</w:t>
      </w:r>
      <w:r w:rsidR="0007794A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המקודמת על ידי בנק ישראל בשיתוף רשות ניירות ערך </w:t>
      </w:r>
      <w:r w:rsidR="00990EEF">
        <w:rPr>
          <w:rFonts w:eastAsia="Times New Roman" w:hint="cs"/>
          <w:b w:val="0"/>
          <w:bCs w:val="0"/>
          <w:sz w:val="24"/>
          <w:szCs w:val="24"/>
          <w:u w:val="none"/>
          <w:rtl/>
        </w:rPr>
        <w:t>משפרת</w:t>
      </w:r>
      <w:r w:rsidR="00C04915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את יכולות של ציבור לבחור בין </w:t>
      </w:r>
      <w:proofErr w:type="spellStart"/>
      <w:r w:rsidR="00C04915">
        <w:rPr>
          <w:rFonts w:eastAsia="Times New Roman" w:hint="cs"/>
          <w:b w:val="0"/>
          <w:bCs w:val="0"/>
          <w:sz w:val="24"/>
          <w:szCs w:val="24"/>
          <w:u w:val="none"/>
          <w:rtl/>
        </w:rPr>
        <w:t>פקדונות</w:t>
      </w:r>
      <w:proofErr w:type="spellEnd"/>
      <w:r w:rsidR="00C04915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לקרנות כספיות ומק"מ באופן </w:t>
      </w:r>
      <w:r w:rsidR="00990EEF">
        <w:rPr>
          <w:rFonts w:eastAsia="Times New Roman" w:hint="cs"/>
          <w:b w:val="0"/>
          <w:bCs w:val="0"/>
          <w:sz w:val="24"/>
          <w:szCs w:val="24"/>
          <w:u w:val="none"/>
          <w:rtl/>
        </w:rPr>
        <w:t>שקוף ושוויוני ותקדם את התחרות בין מוצרי שוק הכסף השונים</w:t>
      </w:r>
      <w:r w:rsidR="00AD689E">
        <w:rPr>
          <w:rFonts w:eastAsia="Times New Roman" w:hint="cs"/>
          <w:b w:val="0"/>
          <w:bCs w:val="0"/>
          <w:sz w:val="24"/>
          <w:szCs w:val="24"/>
          <w:u w:val="none"/>
          <w:rtl/>
        </w:rPr>
        <w:t xml:space="preserve"> </w:t>
      </w:r>
      <w:r w:rsidR="007D34A4">
        <w:rPr>
          <w:rFonts w:eastAsia="Times New Roman" w:hint="cs"/>
          <w:b w:val="0"/>
          <w:bCs w:val="0"/>
          <w:sz w:val="24"/>
          <w:szCs w:val="24"/>
          <w:u w:val="none"/>
          <w:rtl/>
        </w:rPr>
        <w:t>.</w:t>
      </w:r>
      <w:r>
        <w:rPr>
          <w:rFonts w:eastAsia="Times New Roman" w:hint="cs"/>
          <w:b w:val="0"/>
          <w:bCs w:val="0"/>
          <w:sz w:val="24"/>
          <w:szCs w:val="24"/>
          <w:u w:val="none"/>
          <w:rtl/>
        </w:rPr>
        <w:t>"</w:t>
      </w:r>
    </w:p>
    <w:p w:rsidR="001C460B" w:rsidRDefault="001C460B" w:rsidP="001C460B">
      <w:pPr>
        <w:pStyle w:val="raz1"/>
        <w:numPr>
          <w:ilvl w:val="0"/>
          <w:numId w:val="0"/>
        </w:numPr>
        <w:spacing w:line="360" w:lineRule="auto"/>
        <w:rPr>
          <w:rFonts w:eastAsia="Times New Roman"/>
          <w:b w:val="0"/>
          <w:bCs w:val="0"/>
          <w:sz w:val="24"/>
          <w:szCs w:val="24"/>
          <w:u w:val="none"/>
          <w:rtl/>
        </w:rPr>
      </w:pPr>
    </w:p>
    <w:p w:rsidR="001C460B" w:rsidRDefault="00DD66BB" w:rsidP="006874B6">
      <w:pPr>
        <w:pStyle w:val="BodyText"/>
        <w:tabs>
          <w:tab w:val="left" w:pos="389"/>
          <w:tab w:val="left" w:pos="658"/>
        </w:tabs>
        <w:contextualSpacing/>
        <w:rPr>
          <w:rFonts w:eastAsia="Segoe UI"/>
          <w:sz w:val="24"/>
          <w:rtl/>
        </w:rPr>
      </w:pPr>
      <w:r>
        <w:rPr>
          <w:rFonts w:ascii="David" w:hAnsi="David" w:hint="cs"/>
          <w:color w:val="080908"/>
          <w:rtl/>
        </w:rPr>
        <w:t>במטרה</w:t>
      </w:r>
      <w:r w:rsidRPr="00AA2327">
        <w:rPr>
          <w:rFonts w:ascii="David" w:hAnsi="David" w:hint="cs"/>
          <w:color w:val="080908"/>
          <w:rtl/>
        </w:rPr>
        <w:t xml:space="preserve"> להגדיל את חשיפת לקוחות המערכת הבנקאית</w:t>
      </w:r>
      <w:r>
        <w:rPr>
          <w:rFonts w:ascii="David" w:hAnsi="David" w:hint="cs"/>
          <w:color w:val="080908"/>
          <w:rtl/>
        </w:rPr>
        <w:t xml:space="preserve"> לקרנות כספיות קיימות וחדשות</w:t>
      </w:r>
      <w:r w:rsidRPr="00AA2327">
        <w:rPr>
          <w:rFonts w:ascii="David" w:hAnsi="David" w:hint="cs"/>
          <w:color w:val="080908"/>
          <w:rtl/>
        </w:rPr>
        <w:t xml:space="preserve"> </w:t>
      </w:r>
      <w:r>
        <w:rPr>
          <w:rFonts w:ascii="David" w:hAnsi="David" w:hint="cs"/>
          <w:color w:val="080908"/>
          <w:rtl/>
        </w:rPr>
        <w:t>ולמק"מ</w:t>
      </w:r>
      <w:r w:rsidRPr="00AA2327">
        <w:rPr>
          <w:rFonts w:ascii="David" w:hAnsi="David" w:hint="cs"/>
          <w:color w:val="080908"/>
          <w:rtl/>
        </w:rPr>
        <w:t xml:space="preserve">, ולהגביר את יכולת ההשוואה של הלקוחות ואת </w:t>
      </w:r>
      <w:r w:rsidRPr="00AB741A">
        <w:rPr>
          <w:rFonts w:ascii="David" w:hAnsi="David" w:hint="cs"/>
          <w:color w:val="080908"/>
          <w:rtl/>
        </w:rPr>
        <w:t xml:space="preserve">התחרות במערכת הפיננסית, </w:t>
      </w:r>
      <w:r w:rsidR="00675014">
        <w:rPr>
          <w:rFonts w:ascii="David" w:hAnsi="David" w:hint="cs"/>
          <w:color w:val="080908"/>
          <w:rtl/>
        </w:rPr>
        <w:t>גובשה</w:t>
      </w:r>
      <w:r w:rsidR="00675014" w:rsidRPr="00AB741A">
        <w:rPr>
          <w:rFonts w:ascii="David" w:hAnsi="David" w:hint="cs"/>
          <w:color w:val="080908"/>
          <w:rtl/>
        </w:rPr>
        <w:t xml:space="preserve"> </w:t>
      </w:r>
      <w:r w:rsidRPr="00AB741A">
        <w:rPr>
          <w:rFonts w:ascii="David" w:hAnsi="David" w:hint="cs"/>
          <w:color w:val="080908"/>
          <w:rtl/>
        </w:rPr>
        <w:t>הוראה</w:t>
      </w:r>
      <w:r w:rsidR="00C25933">
        <w:rPr>
          <w:rFonts w:ascii="David" w:hAnsi="David" w:hint="cs"/>
          <w:color w:val="080908"/>
          <w:rtl/>
        </w:rPr>
        <w:t xml:space="preserve">, </w:t>
      </w:r>
      <w:r w:rsidR="00675014">
        <w:rPr>
          <w:rFonts w:ascii="David" w:hAnsi="David" w:hint="cs"/>
          <w:color w:val="080908"/>
          <w:rtl/>
        </w:rPr>
        <w:t xml:space="preserve">של הפיקוח על הבנקים </w:t>
      </w:r>
      <w:r w:rsidR="00990EEF">
        <w:rPr>
          <w:rFonts w:ascii="David" w:hAnsi="David" w:hint="cs"/>
          <w:color w:val="080908"/>
          <w:rtl/>
        </w:rPr>
        <w:t xml:space="preserve">בשיתוף רשות </w:t>
      </w:r>
      <w:r w:rsidR="00C25933">
        <w:rPr>
          <w:rFonts w:ascii="David" w:hAnsi="David" w:hint="cs"/>
          <w:color w:val="080908"/>
          <w:rtl/>
        </w:rPr>
        <w:t>ני"ע,</w:t>
      </w:r>
      <w:r w:rsidRPr="00AB741A">
        <w:rPr>
          <w:rFonts w:ascii="David" w:hAnsi="David" w:hint="cs"/>
          <w:color w:val="080908"/>
          <w:rtl/>
        </w:rPr>
        <w:t xml:space="preserve"> </w:t>
      </w:r>
      <w:r w:rsidR="00C25933">
        <w:rPr>
          <w:rFonts w:ascii="David" w:hAnsi="David" w:hint="cs"/>
          <w:color w:val="080908"/>
          <w:rtl/>
        </w:rPr>
        <w:t xml:space="preserve">שתכליתה </w:t>
      </w:r>
      <w:proofErr w:type="spellStart"/>
      <w:r w:rsidR="00C25933">
        <w:rPr>
          <w:rFonts w:ascii="David" w:hAnsi="David" w:hint="cs"/>
          <w:color w:val="080908"/>
          <w:rtl/>
        </w:rPr>
        <w:t>הנגשת</w:t>
      </w:r>
      <w:proofErr w:type="spellEnd"/>
      <w:r w:rsidR="00C25933">
        <w:rPr>
          <w:rFonts w:ascii="David" w:hAnsi="David" w:hint="cs"/>
          <w:color w:val="080908"/>
          <w:rtl/>
        </w:rPr>
        <w:t xml:space="preserve"> מידע ל</w:t>
      </w:r>
      <w:r w:rsidRPr="00AA2327">
        <w:rPr>
          <w:rFonts w:ascii="David" w:hAnsi="David" w:hint="cs"/>
          <w:color w:val="080908"/>
          <w:rtl/>
        </w:rPr>
        <w:t>לקוחות הבנקים</w:t>
      </w:r>
      <w:r w:rsidR="00C25933">
        <w:rPr>
          <w:rFonts w:ascii="David" w:hAnsi="David" w:hint="cs"/>
          <w:color w:val="080908"/>
          <w:rtl/>
        </w:rPr>
        <w:t xml:space="preserve"> אודות קרנות כספיות ומק"מ.</w:t>
      </w:r>
      <w:r w:rsidRPr="00AA2327">
        <w:rPr>
          <w:rFonts w:ascii="David" w:hAnsi="David" w:hint="cs"/>
          <w:color w:val="080908"/>
          <w:rtl/>
        </w:rPr>
        <w:t xml:space="preserve"> </w:t>
      </w:r>
      <w:r w:rsidR="00B97948">
        <w:rPr>
          <w:rFonts w:ascii="David" w:hAnsi="David" w:hint="cs"/>
          <w:color w:val="080908"/>
          <w:rtl/>
        </w:rPr>
        <w:t xml:space="preserve">לצורך כך קובעת </w:t>
      </w:r>
      <w:r w:rsidR="00C25933">
        <w:rPr>
          <w:rFonts w:ascii="David" w:hAnsi="David" w:hint="cs"/>
          <w:color w:val="080908"/>
          <w:rtl/>
        </w:rPr>
        <w:t xml:space="preserve">טיוטת </w:t>
      </w:r>
      <w:r w:rsidR="00B97948">
        <w:rPr>
          <w:rFonts w:ascii="David" w:hAnsi="David" w:hint="cs"/>
          <w:color w:val="080908"/>
          <w:rtl/>
        </w:rPr>
        <w:t>ה</w:t>
      </w:r>
      <w:r w:rsidR="00C25933">
        <w:rPr>
          <w:rFonts w:ascii="David" w:hAnsi="David" w:hint="cs"/>
          <w:color w:val="080908"/>
          <w:rtl/>
        </w:rPr>
        <w:t xml:space="preserve">הוראה </w:t>
      </w:r>
      <w:r w:rsidR="00B97948" w:rsidRPr="00AD689E">
        <w:rPr>
          <w:rFonts w:eastAsia="Segoe UI"/>
          <w:sz w:val="24"/>
          <w:rtl/>
        </w:rPr>
        <w:t>כללים ומבנה אחיד להצגת מידע לציבור אודות קרנות כספיות ומק"מ</w:t>
      </w:r>
      <w:r w:rsidR="00C925BA">
        <w:rPr>
          <w:rFonts w:eastAsia="Segoe UI" w:hint="cs"/>
          <w:sz w:val="24"/>
          <w:rtl/>
        </w:rPr>
        <w:t>. הגילוי האמור יובא</w:t>
      </w:r>
      <w:r w:rsidR="00B97948">
        <w:rPr>
          <w:rFonts w:ascii="David" w:hAnsi="David" w:hint="cs"/>
          <w:color w:val="080908"/>
          <w:rtl/>
        </w:rPr>
        <w:t xml:space="preserve"> </w:t>
      </w:r>
      <w:r w:rsidR="00C25933">
        <w:rPr>
          <w:rFonts w:ascii="David" w:hAnsi="David" w:hint="cs"/>
          <w:color w:val="080908"/>
          <w:rtl/>
        </w:rPr>
        <w:t xml:space="preserve">בשילוב </w:t>
      </w:r>
      <w:r w:rsidRPr="00AB741A">
        <w:rPr>
          <w:rFonts w:eastAsia="Segoe UI" w:hint="cs"/>
          <w:sz w:val="24"/>
          <w:rtl/>
        </w:rPr>
        <w:t xml:space="preserve">המידע הנדרש ביחס לפיקדונות, </w:t>
      </w:r>
      <w:r>
        <w:rPr>
          <w:rFonts w:eastAsia="Segoe UI" w:hint="cs"/>
          <w:sz w:val="24"/>
          <w:rtl/>
        </w:rPr>
        <w:t>אשר נ</w:t>
      </w:r>
      <w:r w:rsidRPr="00AB741A">
        <w:rPr>
          <w:rFonts w:eastAsia="Segoe UI" w:hint="cs"/>
          <w:sz w:val="24"/>
          <w:rtl/>
        </w:rPr>
        <w:t>קבע בהורא</w:t>
      </w:r>
      <w:r>
        <w:rPr>
          <w:rFonts w:eastAsia="Segoe UI" w:hint="cs"/>
          <w:sz w:val="24"/>
          <w:rtl/>
        </w:rPr>
        <w:t>ה קודמת הצפויה לה</w:t>
      </w:r>
      <w:r w:rsidR="00C25933">
        <w:rPr>
          <w:rFonts w:eastAsia="Segoe UI" w:hint="cs"/>
          <w:sz w:val="24"/>
          <w:rtl/>
        </w:rPr>
        <w:t>י</w:t>
      </w:r>
      <w:r>
        <w:rPr>
          <w:rFonts w:eastAsia="Segoe UI" w:hint="cs"/>
          <w:sz w:val="24"/>
          <w:rtl/>
        </w:rPr>
        <w:t>כנס לתוקפה ב-1.4.25 (הורא</w:t>
      </w:r>
      <w:r w:rsidRPr="00AB741A">
        <w:rPr>
          <w:rFonts w:eastAsia="Segoe UI" w:hint="cs"/>
          <w:sz w:val="24"/>
          <w:rtl/>
        </w:rPr>
        <w:t xml:space="preserve">ת ניהול בנקאי תקין מס' </w:t>
      </w:r>
      <w:r>
        <w:rPr>
          <w:rStyle w:val="FootnoteReference"/>
          <w:rFonts w:eastAsia="Segoe UI"/>
          <w:sz w:val="24"/>
          <w:rtl/>
        </w:rPr>
        <w:footnoteReference w:id="1"/>
      </w:r>
      <w:r w:rsidRPr="00AB741A">
        <w:rPr>
          <w:rFonts w:eastAsia="Segoe UI" w:hint="cs"/>
          <w:sz w:val="24"/>
          <w:rtl/>
        </w:rPr>
        <w:t>447</w:t>
      </w:r>
      <w:r>
        <w:rPr>
          <w:rFonts w:eastAsia="Segoe UI" w:hint="cs"/>
          <w:sz w:val="24"/>
          <w:rtl/>
        </w:rPr>
        <w:t>)</w:t>
      </w:r>
      <w:r w:rsidR="00C925BA">
        <w:rPr>
          <w:rFonts w:eastAsia="Segoe UI" w:hint="cs"/>
          <w:sz w:val="24"/>
          <w:rtl/>
        </w:rPr>
        <w:t>.</w:t>
      </w:r>
      <w:r w:rsidRPr="00AB741A">
        <w:rPr>
          <w:rFonts w:ascii="David" w:hAnsi="David" w:hint="cs"/>
          <w:color w:val="080908"/>
          <w:rtl/>
        </w:rPr>
        <w:t xml:space="preserve"> </w:t>
      </w:r>
      <w:r w:rsidR="00C925BA">
        <w:rPr>
          <w:rFonts w:ascii="David" w:hAnsi="David" w:hint="cs"/>
          <w:color w:val="080908"/>
          <w:rtl/>
        </w:rPr>
        <w:t>שילוב ההוראות יביא ל</w:t>
      </w:r>
      <w:r w:rsidR="00B97948" w:rsidRPr="00B97948">
        <w:rPr>
          <w:rFonts w:ascii="David" w:hAnsi="David"/>
          <w:color w:val="080908"/>
          <w:rtl/>
        </w:rPr>
        <w:t>הגברת השקיפות ופישוט הפרסום, באופן שיסייע ללקוחות לבצע השוואה בין מגוון הצעות ערך וישפר את האפקטיביות והשימושיות של המידע.</w:t>
      </w:r>
      <w:r w:rsidR="00AD689E" w:rsidRPr="00AD689E">
        <w:rPr>
          <w:rFonts w:eastAsia="Segoe UI"/>
          <w:sz w:val="24"/>
          <w:rtl/>
        </w:rPr>
        <w:t xml:space="preserve"> </w:t>
      </w:r>
    </w:p>
    <w:p w:rsidR="00245FF7" w:rsidRDefault="00245FF7" w:rsidP="001C460B">
      <w:pPr>
        <w:pStyle w:val="BodyText"/>
        <w:tabs>
          <w:tab w:val="left" w:pos="389"/>
          <w:tab w:val="left" w:pos="658"/>
        </w:tabs>
        <w:contextualSpacing/>
        <w:rPr>
          <w:rFonts w:eastAsia="Segoe UI"/>
          <w:sz w:val="24"/>
          <w:rtl/>
        </w:rPr>
      </w:pPr>
    </w:p>
    <w:p w:rsidR="001C460B" w:rsidRPr="00AB741A" w:rsidRDefault="001C460B" w:rsidP="001C460B">
      <w:pPr>
        <w:pStyle w:val="BodyText"/>
        <w:tabs>
          <w:tab w:val="left" w:pos="389"/>
          <w:tab w:val="left" w:pos="658"/>
        </w:tabs>
        <w:contextualSpacing/>
        <w:rPr>
          <w:rFonts w:eastAsia="Segoe UI"/>
          <w:sz w:val="24"/>
        </w:rPr>
      </w:pPr>
    </w:p>
    <w:p w:rsidR="0045428C" w:rsidRDefault="00DD66BB" w:rsidP="001C460B">
      <w:pPr>
        <w:pStyle w:val="raz1"/>
        <w:numPr>
          <w:ilvl w:val="0"/>
          <w:numId w:val="0"/>
        </w:numPr>
        <w:spacing w:line="360" w:lineRule="auto"/>
        <w:rPr>
          <w:rFonts w:eastAsia="Times New Roman" w:hint="cs"/>
          <w:sz w:val="24"/>
          <w:szCs w:val="24"/>
          <w:u w:val="none"/>
          <w:rtl/>
        </w:rPr>
      </w:pPr>
      <w:r>
        <w:rPr>
          <w:rFonts w:eastAsia="Times New Roman" w:hint="cs"/>
          <w:sz w:val="24"/>
          <w:szCs w:val="24"/>
          <w:u w:val="none"/>
          <w:rtl/>
        </w:rPr>
        <w:t>אנו מזמינים את</w:t>
      </w:r>
      <w:r w:rsidRPr="007F7E95">
        <w:rPr>
          <w:rFonts w:eastAsia="Times New Roman" w:hint="cs"/>
          <w:sz w:val="24"/>
          <w:szCs w:val="24"/>
          <w:u w:val="none"/>
          <w:rtl/>
        </w:rPr>
        <w:t xml:space="preserve"> </w:t>
      </w:r>
      <w:r w:rsidRPr="007F7E95">
        <w:rPr>
          <w:rFonts w:eastAsia="Times New Roman"/>
          <w:sz w:val="24"/>
          <w:szCs w:val="24"/>
          <w:u w:val="none"/>
          <w:rtl/>
        </w:rPr>
        <w:t>הציבור</w:t>
      </w:r>
      <w:r w:rsidRPr="007F7E95">
        <w:rPr>
          <w:rFonts w:eastAsia="Times New Roman"/>
          <w:sz w:val="24"/>
          <w:szCs w:val="24"/>
          <w:u w:val="none"/>
        </w:rPr>
        <w:t xml:space="preserve"> </w:t>
      </w:r>
      <w:r w:rsidRPr="007F7E95">
        <w:rPr>
          <w:rFonts w:eastAsia="Times New Roman"/>
          <w:sz w:val="24"/>
          <w:szCs w:val="24"/>
          <w:u w:val="none"/>
          <w:rtl/>
        </w:rPr>
        <w:t>הרחב</w:t>
      </w:r>
      <w:r w:rsidRPr="007F7E95">
        <w:rPr>
          <w:rFonts w:eastAsia="Times New Roman" w:hint="cs"/>
          <w:sz w:val="24"/>
          <w:szCs w:val="24"/>
          <w:u w:val="none"/>
          <w:rtl/>
        </w:rPr>
        <w:t>,</w:t>
      </w:r>
      <w:r w:rsidRPr="007F7E95">
        <w:rPr>
          <w:rFonts w:eastAsia="Times New Roman"/>
          <w:sz w:val="24"/>
          <w:szCs w:val="24"/>
          <w:u w:val="none"/>
        </w:rPr>
        <w:t xml:space="preserve"> </w:t>
      </w:r>
      <w:r w:rsidRPr="007F7E95">
        <w:rPr>
          <w:rFonts w:eastAsia="Times New Roman" w:hint="cs"/>
          <w:sz w:val="24"/>
          <w:szCs w:val="24"/>
          <w:u w:val="none"/>
          <w:rtl/>
        </w:rPr>
        <w:t>להגיב ולהעביר התייחסויות</w:t>
      </w:r>
      <w:r w:rsidR="001C460B">
        <w:rPr>
          <w:rFonts w:eastAsia="Times New Roman" w:hint="cs"/>
          <w:sz w:val="24"/>
          <w:szCs w:val="24"/>
          <w:u w:val="none"/>
          <w:rtl/>
        </w:rPr>
        <w:t xml:space="preserve"> לטיוטה</w:t>
      </w:r>
      <w:r w:rsidRPr="007F7E95">
        <w:rPr>
          <w:rFonts w:eastAsia="Times New Roman" w:hint="cs"/>
          <w:sz w:val="24"/>
          <w:szCs w:val="24"/>
          <w:u w:val="none"/>
          <w:rtl/>
        </w:rPr>
        <w:t xml:space="preserve">. </w:t>
      </w:r>
      <w:r w:rsidR="0081728F">
        <w:rPr>
          <w:rFonts w:eastAsia="Times New Roman" w:hint="cs"/>
          <w:sz w:val="24"/>
          <w:szCs w:val="24"/>
          <w:u w:val="none"/>
          <w:rtl/>
        </w:rPr>
        <w:t xml:space="preserve">עד ה 13.1.2024 </w:t>
      </w:r>
      <w:bookmarkStart w:id="0" w:name="_GoBack"/>
      <w:bookmarkEnd w:id="0"/>
    </w:p>
    <w:p w:rsidR="004D0C48" w:rsidRPr="00D75997" w:rsidRDefault="00DD66BB" w:rsidP="001C460B">
      <w:pPr>
        <w:pStyle w:val="ListParagraph"/>
        <w:spacing w:after="240" w:line="360" w:lineRule="auto"/>
        <w:ind w:left="0"/>
        <w:jc w:val="both"/>
        <w:rPr>
          <w:rFonts w:ascii="David" w:eastAsia="Times New Roman" w:hAnsi="David" w:cs="David"/>
          <w:sz w:val="24"/>
          <w:szCs w:val="24"/>
        </w:rPr>
      </w:pPr>
      <w:r w:rsidRPr="001C460B">
        <w:rPr>
          <w:rFonts w:ascii="David" w:eastAsia="Times New Roman" w:hAnsi="David" w:cs="David"/>
          <w:color w:val="080908"/>
          <w:sz w:val="20"/>
          <w:szCs w:val="24"/>
          <w:rtl/>
          <w:lang w:eastAsia="he-IL"/>
        </w:rPr>
        <w:lastRenderedPageBreak/>
        <w:t>את</w:t>
      </w:r>
      <w:r w:rsidRPr="001C460B">
        <w:rPr>
          <w:rFonts w:ascii="David" w:eastAsia="Times New Roman" w:hAnsi="David" w:cs="David"/>
          <w:color w:val="080908"/>
          <w:sz w:val="20"/>
          <w:szCs w:val="24"/>
          <w:lang w:eastAsia="he-IL"/>
        </w:rPr>
        <w:t xml:space="preserve"> </w:t>
      </w:r>
      <w:r w:rsidRPr="001C460B">
        <w:rPr>
          <w:rFonts w:ascii="David" w:eastAsia="Times New Roman" w:hAnsi="David" w:cs="David"/>
          <w:color w:val="080908"/>
          <w:sz w:val="20"/>
          <w:szCs w:val="24"/>
          <w:rtl/>
          <w:lang w:eastAsia="he-IL"/>
        </w:rPr>
        <w:t>ההתייחסויות</w:t>
      </w:r>
      <w:r w:rsidRPr="001C460B">
        <w:rPr>
          <w:rFonts w:ascii="David" w:eastAsia="Times New Roman" w:hAnsi="David" w:cs="David"/>
          <w:color w:val="080908"/>
          <w:sz w:val="20"/>
          <w:szCs w:val="24"/>
          <w:lang w:eastAsia="he-IL"/>
        </w:rPr>
        <w:t xml:space="preserve"> </w:t>
      </w:r>
      <w:r w:rsidRPr="001C460B">
        <w:rPr>
          <w:rFonts w:ascii="David" w:eastAsia="Times New Roman" w:hAnsi="David" w:cs="David"/>
          <w:color w:val="080908"/>
          <w:sz w:val="20"/>
          <w:szCs w:val="24"/>
          <w:rtl/>
          <w:lang w:eastAsia="he-IL"/>
        </w:rPr>
        <w:t>יש</w:t>
      </w:r>
      <w:r w:rsidRPr="001C460B">
        <w:rPr>
          <w:rFonts w:ascii="David" w:eastAsia="Times New Roman" w:hAnsi="David" w:cs="David"/>
          <w:color w:val="080908"/>
          <w:sz w:val="20"/>
          <w:szCs w:val="24"/>
          <w:lang w:eastAsia="he-IL"/>
        </w:rPr>
        <w:t xml:space="preserve"> </w:t>
      </w:r>
      <w:r w:rsidRPr="001C460B">
        <w:rPr>
          <w:rFonts w:ascii="David" w:eastAsia="Times New Roman" w:hAnsi="David" w:cs="David"/>
          <w:color w:val="080908"/>
          <w:sz w:val="20"/>
          <w:szCs w:val="24"/>
          <w:rtl/>
          <w:lang w:eastAsia="he-IL"/>
        </w:rPr>
        <w:t>להעביר</w:t>
      </w:r>
      <w:r w:rsidRPr="001C460B">
        <w:rPr>
          <w:rFonts w:ascii="David" w:eastAsia="Times New Roman" w:hAnsi="David" w:cs="David"/>
          <w:color w:val="080908"/>
          <w:sz w:val="20"/>
          <w:szCs w:val="24"/>
          <w:lang w:eastAsia="he-IL"/>
        </w:rPr>
        <w:t xml:space="preserve"> </w:t>
      </w:r>
      <w:r w:rsidRPr="001C460B">
        <w:rPr>
          <w:rFonts w:ascii="David" w:eastAsia="Times New Roman" w:hAnsi="David" w:cs="David"/>
          <w:color w:val="080908"/>
          <w:sz w:val="20"/>
          <w:szCs w:val="24"/>
          <w:rtl/>
          <w:lang w:eastAsia="he-IL"/>
        </w:rPr>
        <w:t>לדואר</w:t>
      </w:r>
      <w:r w:rsidRPr="001C460B">
        <w:rPr>
          <w:rFonts w:ascii="David" w:eastAsia="Times New Roman" w:hAnsi="David" w:cs="David"/>
          <w:color w:val="080908"/>
          <w:sz w:val="20"/>
          <w:szCs w:val="24"/>
          <w:lang w:eastAsia="he-IL"/>
        </w:rPr>
        <w:t xml:space="preserve"> </w:t>
      </w:r>
      <w:r w:rsidRPr="001C460B">
        <w:rPr>
          <w:rFonts w:ascii="David" w:eastAsia="Times New Roman" w:hAnsi="David" w:cs="David"/>
          <w:color w:val="080908"/>
          <w:sz w:val="20"/>
          <w:szCs w:val="24"/>
          <w:rtl/>
          <w:lang w:eastAsia="he-IL"/>
        </w:rPr>
        <w:t>אלקטרוני</w:t>
      </w:r>
      <w:r w:rsidRPr="0045428C">
        <w:rPr>
          <w:sz w:val="24"/>
          <w:szCs w:val="24"/>
          <w:rtl/>
        </w:rPr>
        <w:t xml:space="preserve"> </w:t>
      </w:r>
      <w:hyperlink w:history="1">
        <w:r w:rsidRPr="0045428C">
          <w:rPr>
            <w:rStyle w:val="Hyperlink"/>
            <w:rFonts w:eastAsia="Times New Roman"/>
            <w:sz w:val="24"/>
            <w:szCs w:val="24"/>
          </w:rPr>
          <w:t>Pikuah_directive_drafts@boi.org.il</w:t>
        </w:r>
      </w:hyperlink>
      <w:r w:rsidR="001C460B">
        <w:rPr>
          <w:rFonts w:eastAsia="Times New Roman" w:hint="cs"/>
          <w:rtl/>
        </w:rPr>
        <w:t>.</w:t>
      </w:r>
      <w:r w:rsidRPr="0045428C">
        <w:rPr>
          <w:rFonts w:eastAsia="Times New Roman"/>
          <w:rtl/>
        </w:rPr>
        <w:t xml:space="preserve"> </w:t>
      </w:r>
    </w:p>
    <w:sectPr w:rsidR="004D0C48" w:rsidRPr="00D75997" w:rsidSect="00B36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10" w:rsidRDefault="00DD66BB">
      <w:r>
        <w:separator/>
      </w:r>
    </w:p>
  </w:endnote>
  <w:endnote w:type="continuationSeparator" w:id="0">
    <w:p w:rsidR="00AB1E10" w:rsidRDefault="00DD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9D" w:rsidRDefault="00DD66BB" w:rsidP="00D65707">
      <w:r>
        <w:separator/>
      </w:r>
    </w:p>
  </w:footnote>
  <w:footnote w:type="continuationSeparator" w:id="0">
    <w:p w:rsidR="0040559D" w:rsidRDefault="00DD66BB" w:rsidP="00D65707">
      <w:r>
        <w:continuationSeparator/>
      </w:r>
    </w:p>
  </w:footnote>
  <w:footnote w:id="1">
    <w:p w:rsidR="00675014" w:rsidRDefault="00DD66BB" w:rsidP="009109CA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hyperlink w:history="1">
        <w:r w:rsidR="009109CA" w:rsidRPr="0012238B">
          <w:rPr>
            <w:rStyle w:val="Hyperlink"/>
          </w:rPr>
          <w:t>https://www.boi.org.il/media/orgfwntb/447.pdf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4A2"/>
    <w:multiLevelType w:val="hybridMultilevel"/>
    <w:tmpl w:val="58E60208"/>
    <w:lvl w:ilvl="0" w:tplc="3064F1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5C7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A9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6E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0B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4E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C0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CF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CC1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6077"/>
    <w:multiLevelType w:val="multilevel"/>
    <w:tmpl w:val="EE50F9DE"/>
    <w:lvl w:ilvl="0">
      <w:start w:val="1"/>
      <w:numFmt w:val="decimal"/>
      <w:lvlText w:val="%1."/>
      <w:lvlJc w:val="left"/>
      <w:pPr>
        <w:ind w:left="360" w:hanging="360"/>
      </w:pPr>
      <w:rPr>
        <w:rFonts w:cs="David"/>
        <w:b w:val="0"/>
        <w:bCs w:val="0"/>
        <w:color w:val="auto"/>
        <w:lang w:val="en-US"/>
      </w:rPr>
    </w:lvl>
    <w:lvl w:ilvl="1">
      <w:start w:val="1"/>
      <w:numFmt w:val="hebrew1"/>
      <w:lvlText w:val="(%2)"/>
      <w:lvlJc w:val="left"/>
      <w:pPr>
        <w:ind w:left="792" w:hanging="432"/>
      </w:pPr>
      <w:rPr>
        <w:rFonts w:cs="David" w:hint="default"/>
        <w:b w:val="0"/>
        <w:bCs w:val="0"/>
        <w:lang w:val="en-US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bCs w:val="0"/>
        <w:lang w:bidi="he-I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D13A61"/>
    <w:multiLevelType w:val="hybridMultilevel"/>
    <w:tmpl w:val="BE041F3A"/>
    <w:lvl w:ilvl="0" w:tplc="3878A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14AA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86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86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CB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67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6E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1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2F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065C"/>
    <w:multiLevelType w:val="hybridMultilevel"/>
    <w:tmpl w:val="ED986C5A"/>
    <w:lvl w:ilvl="0" w:tplc="C0203768">
      <w:start w:val="1"/>
      <w:numFmt w:val="hebrew1"/>
      <w:pStyle w:val="raz1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  <w:u w:val="none"/>
      </w:rPr>
    </w:lvl>
    <w:lvl w:ilvl="1" w:tplc="12A4795C" w:tentative="1">
      <w:start w:val="1"/>
      <w:numFmt w:val="lowerLetter"/>
      <w:lvlText w:val="%2."/>
      <w:lvlJc w:val="left"/>
      <w:pPr>
        <w:ind w:left="1080" w:hanging="360"/>
      </w:pPr>
    </w:lvl>
    <w:lvl w:ilvl="2" w:tplc="276E292E" w:tentative="1">
      <w:start w:val="1"/>
      <w:numFmt w:val="lowerRoman"/>
      <w:lvlText w:val="%3."/>
      <w:lvlJc w:val="right"/>
      <w:pPr>
        <w:ind w:left="1800" w:hanging="180"/>
      </w:pPr>
    </w:lvl>
    <w:lvl w:ilvl="3" w:tplc="47EEC7CC" w:tentative="1">
      <w:start w:val="1"/>
      <w:numFmt w:val="decimal"/>
      <w:lvlText w:val="%4."/>
      <w:lvlJc w:val="left"/>
      <w:pPr>
        <w:ind w:left="2520" w:hanging="360"/>
      </w:pPr>
    </w:lvl>
    <w:lvl w:ilvl="4" w:tplc="94D8C7C6" w:tentative="1">
      <w:start w:val="1"/>
      <w:numFmt w:val="lowerLetter"/>
      <w:lvlText w:val="%5."/>
      <w:lvlJc w:val="left"/>
      <w:pPr>
        <w:ind w:left="3240" w:hanging="360"/>
      </w:pPr>
    </w:lvl>
    <w:lvl w:ilvl="5" w:tplc="6A18845C" w:tentative="1">
      <w:start w:val="1"/>
      <w:numFmt w:val="lowerRoman"/>
      <w:lvlText w:val="%6."/>
      <w:lvlJc w:val="right"/>
      <w:pPr>
        <w:ind w:left="3960" w:hanging="180"/>
      </w:pPr>
    </w:lvl>
    <w:lvl w:ilvl="6" w:tplc="3C54C568" w:tentative="1">
      <w:start w:val="1"/>
      <w:numFmt w:val="decimal"/>
      <w:lvlText w:val="%7."/>
      <w:lvlJc w:val="left"/>
      <w:pPr>
        <w:ind w:left="4680" w:hanging="360"/>
      </w:pPr>
    </w:lvl>
    <w:lvl w:ilvl="7" w:tplc="DDC0AB16" w:tentative="1">
      <w:start w:val="1"/>
      <w:numFmt w:val="lowerLetter"/>
      <w:lvlText w:val="%8."/>
      <w:lvlJc w:val="left"/>
      <w:pPr>
        <w:ind w:left="5400" w:hanging="360"/>
      </w:pPr>
    </w:lvl>
    <w:lvl w:ilvl="8" w:tplc="0C22C3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13B9D"/>
    <w:multiLevelType w:val="hybridMultilevel"/>
    <w:tmpl w:val="9EBC0B46"/>
    <w:lvl w:ilvl="0" w:tplc="57F481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8E07C50">
      <w:start w:val="1"/>
      <w:numFmt w:val="lowerLetter"/>
      <w:lvlText w:val="%2."/>
      <w:lvlJc w:val="left"/>
      <w:pPr>
        <w:ind w:left="1080" w:hanging="360"/>
      </w:pPr>
    </w:lvl>
    <w:lvl w:ilvl="2" w:tplc="9D100E42" w:tentative="1">
      <w:start w:val="1"/>
      <w:numFmt w:val="lowerRoman"/>
      <w:lvlText w:val="%3."/>
      <w:lvlJc w:val="right"/>
      <w:pPr>
        <w:ind w:left="1800" w:hanging="180"/>
      </w:pPr>
    </w:lvl>
    <w:lvl w:ilvl="3" w:tplc="56D822BC" w:tentative="1">
      <w:start w:val="1"/>
      <w:numFmt w:val="decimal"/>
      <w:lvlText w:val="%4."/>
      <w:lvlJc w:val="left"/>
      <w:pPr>
        <w:ind w:left="2520" w:hanging="360"/>
      </w:pPr>
    </w:lvl>
    <w:lvl w:ilvl="4" w:tplc="C97E7D2C" w:tentative="1">
      <w:start w:val="1"/>
      <w:numFmt w:val="lowerLetter"/>
      <w:lvlText w:val="%5."/>
      <w:lvlJc w:val="left"/>
      <w:pPr>
        <w:ind w:left="3240" w:hanging="360"/>
      </w:pPr>
    </w:lvl>
    <w:lvl w:ilvl="5" w:tplc="917CCB74" w:tentative="1">
      <w:start w:val="1"/>
      <w:numFmt w:val="lowerRoman"/>
      <w:lvlText w:val="%6."/>
      <w:lvlJc w:val="right"/>
      <w:pPr>
        <w:ind w:left="3960" w:hanging="180"/>
      </w:pPr>
    </w:lvl>
    <w:lvl w:ilvl="6" w:tplc="CA141360" w:tentative="1">
      <w:start w:val="1"/>
      <w:numFmt w:val="decimal"/>
      <w:lvlText w:val="%7."/>
      <w:lvlJc w:val="left"/>
      <w:pPr>
        <w:ind w:left="4680" w:hanging="360"/>
      </w:pPr>
    </w:lvl>
    <w:lvl w:ilvl="7" w:tplc="A00C5F46" w:tentative="1">
      <w:start w:val="1"/>
      <w:numFmt w:val="lowerLetter"/>
      <w:lvlText w:val="%8."/>
      <w:lvlJc w:val="left"/>
      <w:pPr>
        <w:ind w:left="5400" w:hanging="360"/>
      </w:pPr>
    </w:lvl>
    <w:lvl w:ilvl="8" w:tplc="72AED8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C181F"/>
    <w:multiLevelType w:val="hybridMultilevel"/>
    <w:tmpl w:val="98F0D9AA"/>
    <w:lvl w:ilvl="0" w:tplc="698E0A6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2002FC" w:tentative="1">
      <w:start w:val="1"/>
      <w:numFmt w:val="lowerLetter"/>
      <w:lvlText w:val="%2."/>
      <w:lvlJc w:val="left"/>
      <w:pPr>
        <w:ind w:left="1080" w:hanging="360"/>
      </w:pPr>
    </w:lvl>
    <w:lvl w:ilvl="2" w:tplc="F4668412" w:tentative="1">
      <w:start w:val="1"/>
      <w:numFmt w:val="lowerRoman"/>
      <w:lvlText w:val="%3."/>
      <w:lvlJc w:val="right"/>
      <w:pPr>
        <w:ind w:left="1800" w:hanging="180"/>
      </w:pPr>
    </w:lvl>
    <w:lvl w:ilvl="3" w:tplc="3D30B800" w:tentative="1">
      <w:start w:val="1"/>
      <w:numFmt w:val="decimal"/>
      <w:lvlText w:val="%4."/>
      <w:lvlJc w:val="left"/>
      <w:pPr>
        <w:ind w:left="2520" w:hanging="360"/>
      </w:pPr>
    </w:lvl>
    <w:lvl w:ilvl="4" w:tplc="6468499E" w:tentative="1">
      <w:start w:val="1"/>
      <w:numFmt w:val="lowerLetter"/>
      <w:lvlText w:val="%5."/>
      <w:lvlJc w:val="left"/>
      <w:pPr>
        <w:ind w:left="3240" w:hanging="360"/>
      </w:pPr>
    </w:lvl>
    <w:lvl w:ilvl="5" w:tplc="96D026EE" w:tentative="1">
      <w:start w:val="1"/>
      <w:numFmt w:val="lowerRoman"/>
      <w:lvlText w:val="%6."/>
      <w:lvlJc w:val="right"/>
      <w:pPr>
        <w:ind w:left="3960" w:hanging="180"/>
      </w:pPr>
    </w:lvl>
    <w:lvl w:ilvl="6" w:tplc="FFD41B32" w:tentative="1">
      <w:start w:val="1"/>
      <w:numFmt w:val="decimal"/>
      <w:lvlText w:val="%7."/>
      <w:lvlJc w:val="left"/>
      <w:pPr>
        <w:ind w:left="4680" w:hanging="360"/>
      </w:pPr>
    </w:lvl>
    <w:lvl w:ilvl="7" w:tplc="A94E80F6" w:tentative="1">
      <w:start w:val="1"/>
      <w:numFmt w:val="lowerLetter"/>
      <w:lvlText w:val="%8."/>
      <w:lvlJc w:val="left"/>
      <w:pPr>
        <w:ind w:left="5400" w:hanging="360"/>
      </w:pPr>
    </w:lvl>
    <w:lvl w:ilvl="8" w:tplc="BCB4EF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A520A2"/>
    <w:multiLevelType w:val="multilevel"/>
    <w:tmpl w:val="668C6F78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  <w:sz w:val="24"/>
        <w:szCs w:val="24"/>
        <w:u w:val="none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EB"/>
    <w:rsid w:val="00004081"/>
    <w:rsid w:val="0001579E"/>
    <w:rsid w:val="000363EB"/>
    <w:rsid w:val="0007794A"/>
    <w:rsid w:val="000E5A80"/>
    <w:rsid w:val="0011547C"/>
    <w:rsid w:val="0012238B"/>
    <w:rsid w:val="00151ABA"/>
    <w:rsid w:val="00151AF9"/>
    <w:rsid w:val="0017190E"/>
    <w:rsid w:val="001835F0"/>
    <w:rsid w:val="00186991"/>
    <w:rsid w:val="00192A69"/>
    <w:rsid w:val="001A06F9"/>
    <w:rsid w:val="001A1343"/>
    <w:rsid w:val="001B1AF9"/>
    <w:rsid w:val="001C01F1"/>
    <w:rsid w:val="001C460B"/>
    <w:rsid w:val="001D092B"/>
    <w:rsid w:val="001D6B37"/>
    <w:rsid w:val="00206795"/>
    <w:rsid w:val="002369C2"/>
    <w:rsid w:val="00245FF7"/>
    <w:rsid w:val="002553A5"/>
    <w:rsid w:val="00256CBC"/>
    <w:rsid w:val="002622F1"/>
    <w:rsid w:val="00290616"/>
    <w:rsid w:val="002D34F0"/>
    <w:rsid w:val="002E3CCE"/>
    <w:rsid w:val="002E6675"/>
    <w:rsid w:val="00310029"/>
    <w:rsid w:val="003815FB"/>
    <w:rsid w:val="003929AA"/>
    <w:rsid w:val="003C056B"/>
    <w:rsid w:val="003E5EF2"/>
    <w:rsid w:val="0040559D"/>
    <w:rsid w:val="004148DE"/>
    <w:rsid w:val="00422591"/>
    <w:rsid w:val="004276A3"/>
    <w:rsid w:val="00454149"/>
    <w:rsid w:val="0045428C"/>
    <w:rsid w:val="00473071"/>
    <w:rsid w:val="00484414"/>
    <w:rsid w:val="00493B80"/>
    <w:rsid w:val="004C085A"/>
    <w:rsid w:val="004D0C48"/>
    <w:rsid w:val="004E3AF8"/>
    <w:rsid w:val="004E5483"/>
    <w:rsid w:val="005038CA"/>
    <w:rsid w:val="00512540"/>
    <w:rsid w:val="00521C8B"/>
    <w:rsid w:val="005500FB"/>
    <w:rsid w:val="00553F7C"/>
    <w:rsid w:val="00561366"/>
    <w:rsid w:val="00577E77"/>
    <w:rsid w:val="0058239F"/>
    <w:rsid w:val="00583B90"/>
    <w:rsid w:val="005A34B1"/>
    <w:rsid w:val="005E60BA"/>
    <w:rsid w:val="0067112E"/>
    <w:rsid w:val="006711A3"/>
    <w:rsid w:val="00673B87"/>
    <w:rsid w:val="00675014"/>
    <w:rsid w:val="006753B9"/>
    <w:rsid w:val="006874B6"/>
    <w:rsid w:val="006A5AE5"/>
    <w:rsid w:val="006C2AEA"/>
    <w:rsid w:val="006D4933"/>
    <w:rsid w:val="006E512B"/>
    <w:rsid w:val="006F0099"/>
    <w:rsid w:val="007553DE"/>
    <w:rsid w:val="00773DFE"/>
    <w:rsid w:val="00774A59"/>
    <w:rsid w:val="007951D1"/>
    <w:rsid w:val="007A2078"/>
    <w:rsid w:val="007B7388"/>
    <w:rsid w:val="007C290F"/>
    <w:rsid w:val="007C329D"/>
    <w:rsid w:val="007C3B61"/>
    <w:rsid w:val="007C6462"/>
    <w:rsid w:val="007D34A4"/>
    <w:rsid w:val="007F66E4"/>
    <w:rsid w:val="007F7E95"/>
    <w:rsid w:val="0081062F"/>
    <w:rsid w:val="0081728F"/>
    <w:rsid w:val="008172CF"/>
    <w:rsid w:val="00833F95"/>
    <w:rsid w:val="00836193"/>
    <w:rsid w:val="00840ED4"/>
    <w:rsid w:val="008435E2"/>
    <w:rsid w:val="00854736"/>
    <w:rsid w:val="00894BE2"/>
    <w:rsid w:val="008A7833"/>
    <w:rsid w:val="008A7D3B"/>
    <w:rsid w:val="008C1684"/>
    <w:rsid w:val="008E75D7"/>
    <w:rsid w:val="008F78FF"/>
    <w:rsid w:val="009109CA"/>
    <w:rsid w:val="00990EEF"/>
    <w:rsid w:val="009A445D"/>
    <w:rsid w:val="009A5A7A"/>
    <w:rsid w:val="009B5B9D"/>
    <w:rsid w:val="009D2E97"/>
    <w:rsid w:val="009D6344"/>
    <w:rsid w:val="00A457E5"/>
    <w:rsid w:val="00A77954"/>
    <w:rsid w:val="00AA2327"/>
    <w:rsid w:val="00AB1E10"/>
    <w:rsid w:val="00AB741A"/>
    <w:rsid w:val="00AC3233"/>
    <w:rsid w:val="00AD689E"/>
    <w:rsid w:val="00B03C66"/>
    <w:rsid w:val="00B0654F"/>
    <w:rsid w:val="00B132D9"/>
    <w:rsid w:val="00B36413"/>
    <w:rsid w:val="00B6581D"/>
    <w:rsid w:val="00B952FB"/>
    <w:rsid w:val="00B97948"/>
    <w:rsid w:val="00BA2D78"/>
    <w:rsid w:val="00BA3972"/>
    <w:rsid w:val="00BB0029"/>
    <w:rsid w:val="00BB6B39"/>
    <w:rsid w:val="00BF14AF"/>
    <w:rsid w:val="00BF750A"/>
    <w:rsid w:val="00C04915"/>
    <w:rsid w:val="00C25933"/>
    <w:rsid w:val="00C6065C"/>
    <w:rsid w:val="00C82058"/>
    <w:rsid w:val="00C925BA"/>
    <w:rsid w:val="00CA6B04"/>
    <w:rsid w:val="00CB3C92"/>
    <w:rsid w:val="00CD390B"/>
    <w:rsid w:val="00CE5D87"/>
    <w:rsid w:val="00CF059C"/>
    <w:rsid w:val="00CF4691"/>
    <w:rsid w:val="00CF487D"/>
    <w:rsid w:val="00D07C13"/>
    <w:rsid w:val="00D20830"/>
    <w:rsid w:val="00D230EB"/>
    <w:rsid w:val="00D557B1"/>
    <w:rsid w:val="00D56A1E"/>
    <w:rsid w:val="00D61336"/>
    <w:rsid w:val="00D65707"/>
    <w:rsid w:val="00D75997"/>
    <w:rsid w:val="00D85B2D"/>
    <w:rsid w:val="00DC4F9E"/>
    <w:rsid w:val="00DD66BB"/>
    <w:rsid w:val="00E053A3"/>
    <w:rsid w:val="00E07366"/>
    <w:rsid w:val="00E1499D"/>
    <w:rsid w:val="00E22537"/>
    <w:rsid w:val="00E255BA"/>
    <w:rsid w:val="00E365C0"/>
    <w:rsid w:val="00E408B2"/>
    <w:rsid w:val="00E67897"/>
    <w:rsid w:val="00E71EC0"/>
    <w:rsid w:val="00E83E1C"/>
    <w:rsid w:val="00EB349F"/>
    <w:rsid w:val="00F053B2"/>
    <w:rsid w:val="00F24D29"/>
    <w:rsid w:val="00F742BF"/>
    <w:rsid w:val="00FC3DE1"/>
    <w:rsid w:val="00FC56DA"/>
    <w:rsid w:val="00FD1243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44E971"/>
  <w15:docId w15:val="{CF4A4F85-57E4-4B1F-811C-056082CF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E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3EB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0363EB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locked/>
    <w:rsid w:val="000363EB"/>
  </w:style>
  <w:style w:type="paragraph" w:styleId="BlockText">
    <w:name w:val="Block Text"/>
    <w:basedOn w:val="Normal"/>
    <w:uiPriority w:val="99"/>
    <w:rsid w:val="000363EB"/>
    <w:pPr>
      <w:widowControl w:val="0"/>
      <w:tabs>
        <w:tab w:val="left" w:pos="516"/>
      </w:tabs>
      <w:bidi/>
      <w:spacing w:line="360" w:lineRule="auto"/>
      <w:ind w:left="516" w:hanging="516"/>
      <w:jc w:val="both"/>
    </w:pPr>
    <w:rPr>
      <w:rFonts w:eastAsia="Times New Roman" w:cs="David"/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D6570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657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70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6570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B87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B87"/>
    <w:rPr>
      <w:rFonts w:ascii="Tahoma" w:hAnsi="Tahoma" w:cs="Tahoma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75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753B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53B9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2537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2253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E22537"/>
    <w:rPr>
      <w:vertAlign w:val="superscript"/>
    </w:rPr>
  </w:style>
  <w:style w:type="table" w:styleId="TableGrid">
    <w:name w:val="Table Grid"/>
    <w:basedOn w:val="TableNormal"/>
    <w:uiPriority w:val="39"/>
    <w:rsid w:val="00E36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B"/>
    <w:basedOn w:val="Normal"/>
    <w:rsid w:val="00BB0029"/>
    <w:pPr>
      <w:tabs>
        <w:tab w:val="left" w:pos="720"/>
        <w:tab w:val="left" w:pos="1440"/>
        <w:tab w:val="left" w:pos="2160"/>
        <w:tab w:val="left" w:pos="2880"/>
        <w:tab w:val="left" w:pos="3456"/>
        <w:tab w:val="left" w:pos="4608"/>
        <w:tab w:val="left" w:pos="5760"/>
        <w:tab w:val="left" w:pos="6912"/>
        <w:tab w:val="left" w:pos="8063"/>
        <w:tab w:val="left" w:pos="9216"/>
        <w:tab w:val="left" w:pos="10368"/>
        <w:tab w:val="left" w:pos="11520"/>
      </w:tabs>
      <w:bidi/>
      <w:spacing w:line="360" w:lineRule="atLeast"/>
    </w:pPr>
    <w:rPr>
      <w:rFonts w:eastAsia="Times New Roman" w:cs="Monotype Hadassah"/>
      <w:b/>
      <w:bCs/>
    </w:rPr>
  </w:style>
  <w:style w:type="character" w:styleId="Hyperlink">
    <w:name w:val="Hyperlink"/>
    <w:uiPriority w:val="99"/>
    <w:unhideWhenUsed/>
    <w:rsid w:val="00B03C66"/>
    <w:rPr>
      <w:color w:val="0563C1"/>
      <w:u w:val="single"/>
    </w:rPr>
  </w:style>
  <w:style w:type="paragraph" w:customStyle="1" w:styleId="raz1">
    <w:name w:val="raz1"/>
    <w:basedOn w:val="ListParagraph"/>
    <w:qFormat/>
    <w:rsid w:val="002E3CCE"/>
    <w:pPr>
      <w:numPr>
        <w:numId w:val="6"/>
      </w:numPr>
      <w:tabs>
        <w:tab w:val="num" w:pos="360"/>
      </w:tabs>
      <w:spacing w:after="160" w:line="259" w:lineRule="auto"/>
      <w:ind w:left="720" w:firstLine="0"/>
      <w:jc w:val="both"/>
    </w:pPr>
    <w:rPr>
      <w:rFonts w:ascii="David" w:hAnsi="David" w:cs="David"/>
      <w:b/>
      <w:bCs/>
      <w:sz w:val="28"/>
      <w:szCs w:val="28"/>
      <w:u w:val="single"/>
    </w:rPr>
  </w:style>
  <w:style w:type="character" w:customStyle="1" w:styleId="ui-provider">
    <w:name w:val="ui-provider"/>
    <w:basedOn w:val="DefaultParagraphFont"/>
    <w:rsid w:val="008172CF"/>
  </w:style>
  <w:style w:type="paragraph" w:styleId="Revision">
    <w:name w:val="Revision"/>
    <w:hidden/>
    <w:uiPriority w:val="99"/>
    <w:semiHidden/>
    <w:rsid w:val="007C646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C460B"/>
    <w:pPr>
      <w:bidi/>
      <w:spacing w:line="360" w:lineRule="auto"/>
      <w:jc w:val="both"/>
    </w:pPr>
    <w:rPr>
      <w:rFonts w:eastAsia="Times New Roman" w:cs="David"/>
      <w:sz w:val="20"/>
      <w:lang w:eastAsia="he-IL"/>
    </w:rPr>
  </w:style>
  <w:style w:type="character" w:customStyle="1" w:styleId="BodyTextChar">
    <w:name w:val="Body Text Char"/>
    <w:link w:val="BodyText"/>
    <w:rsid w:val="001C460B"/>
    <w:rPr>
      <w:rFonts w:ascii="Times New Roman" w:eastAsia="Times New Roman" w:hAnsi="Times New Roman" w:cs="David"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גלית שחר</dc:creator>
  <cp:lastModifiedBy>רוסול דכוור</cp:lastModifiedBy>
  <cp:revision>3</cp:revision>
  <dcterms:created xsi:type="dcterms:W3CDTF">2024-12-30T11:14:00Z</dcterms:created>
  <dcterms:modified xsi:type="dcterms:W3CDTF">2024-12-30T13:56:00Z</dcterms:modified>
</cp:coreProperties>
</file>