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CE241A" w:rsidRPr="00805006" w:rsidTr="00452A2A">
        <w:trPr>
          <w:jc w:val="center"/>
        </w:trPr>
        <w:tc>
          <w:tcPr>
            <w:tcW w:w="2840" w:type="dxa"/>
            <w:vAlign w:val="center"/>
          </w:tcPr>
          <w:p w:rsidR="00CE241A" w:rsidRPr="00805006" w:rsidRDefault="00CE241A" w:rsidP="001D10F3">
            <w:pPr>
              <w:spacing w:after="0" w:line="360" w:lineRule="auto"/>
              <w:jc w:val="both"/>
              <w:rPr>
                <w:rFonts w:ascii="David" w:eastAsia="Times New Roman" w:hAnsi="David" w:cs="David"/>
                <w:b/>
                <w:bCs/>
                <w:lang w:eastAsia="he-IL"/>
              </w:rPr>
            </w:pPr>
            <w:bookmarkStart w:id="0" w:name="_GoBack"/>
            <w:bookmarkEnd w:id="0"/>
            <w:r w:rsidRPr="00805006">
              <w:rPr>
                <w:rFonts w:ascii="David" w:eastAsia="Times New Roman" w:hAnsi="David" w:cs="David"/>
                <w:b/>
                <w:bCs/>
                <w:rtl/>
                <w:lang w:eastAsia="he-IL"/>
              </w:rPr>
              <w:t>בנק ישראל</w:t>
            </w:r>
          </w:p>
          <w:p w:rsidR="00CE241A" w:rsidRPr="00805006" w:rsidRDefault="00CE241A" w:rsidP="001D10F3">
            <w:pPr>
              <w:spacing w:after="0" w:line="360" w:lineRule="auto"/>
              <w:ind w:right="-101"/>
              <w:jc w:val="both"/>
              <w:rPr>
                <w:rFonts w:ascii="David" w:eastAsia="Times New Roman" w:hAnsi="David" w:cs="David"/>
                <w:lang w:eastAsia="he-IL"/>
              </w:rPr>
            </w:pPr>
            <w:r w:rsidRPr="00805006">
              <w:rPr>
                <w:rFonts w:ascii="David" w:eastAsia="Times New Roman" w:hAnsi="David" w:cs="David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</w:tcPr>
          <w:p w:rsidR="00CE241A" w:rsidRPr="00805006" w:rsidRDefault="00CE241A" w:rsidP="001D10F3">
            <w:pPr>
              <w:tabs>
                <w:tab w:val="right" w:pos="2380"/>
              </w:tabs>
              <w:spacing w:after="0" w:line="240" w:lineRule="auto"/>
              <w:jc w:val="both"/>
              <w:rPr>
                <w:rFonts w:ascii="David" w:eastAsia="Times New Roman" w:hAnsi="David" w:cs="David"/>
                <w:lang w:eastAsia="he-IL"/>
              </w:rPr>
            </w:pPr>
            <w:r w:rsidRPr="00805006">
              <w:rPr>
                <w:rFonts w:ascii="David" w:eastAsia="Times New Roman" w:hAnsi="David" w:cs="David"/>
                <w:noProof/>
              </w:rPr>
              <w:drawing>
                <wp:anchor distT="0" distB="0" distL="114300" distR="114300" simplePos="0" relativeHeight="251660288" behindDoc="0" locked="0" layoutInCell="1" allowOverlap="1" wp14:anchorId="56EFE2E8" wp14:editId="4BE0C4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0925" cy="1050925"/>
                  <wp:effectExtent l="0" t="0" r="0" b="0"/>
                  <wp:wrapSquare wrapText="bothSides"/>
                  <wp:docPr id="1" name="תמונה 1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4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5006">
              <w:rPr>
                <w:rFonts w:ascii="David" w:eastAsia="Times New Roman" w:hAnsi="David" w:cs="David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CE241A" w:rsidRPr="00805006" w:rsidRDefault="00CE241A" w:rsidP="001973CC">
            <w:pPr>
              <w:spacing w:after="0" w:line="480" w:lineRule="auto"/>
              <w:jc w:val="both"/>
              <w:rPr>
                <w:rFonts w:ascii="David" w:eastAsia="Times New Roman" w:hAnsi="David" w:cs="David"/>
                <w:rtl/>
                <w:lang w:eastAsia="he-IL"/>
              </w:rPr>
            </w:pPr>
            <w:r w:rsidRPr="00805006">
              <w:rPr>
                <w:rFonts w:ascii="David" w:eastAsia="Times New Roman" w:hAnsi="David" w:cs="David"/>
                <w:rtl/>
                <w:lang w:eastAsia="he-IL"/>
              </w:rPr>
              <w:t xml:space="preserve">‏ירושלים, </w:t>
            </w:r>
            <w:r w:rsidR="00B40959">
              <w:rPr>
                <w:rFonts w:ascii="David" w:eastAsia="Times New Roman" w:hAnsi="David" w:cs="David" w:hint="cs"/>
                <w:rtl/>
                <w:lang w:eastAsia="he-IL"/>
              </w:rPr>
              <w:t>כ"</w:t>
            </w:r>
            <w:r w:rsidR="001973CC">
              <w:rPr>
                <w:rFonts w:ascii="David" w:eastAsia="Times New Roman" w:hAnsi="David" w:cs="David" w:hint="cs"/>
                <w:rtl/>
                <w:lang w:eastAsia="he-IL"/>
              </w:rPr>
              <w:t>ח</w:t>
            </w:r>
            <w:r w:rsidRPr="00805006">
              <w:rPr>
                <w:rFonts w:ascii="David" w:eastAsia="Times New Roman" w:hAnsi="David" w:cs="David"/>
                <w:rtl/>
                <w:lang w:eastAsia="he-IL"/>
              </w:rPr>
              <w:t xml:space="preserve"> בניסן,</w:t>
            </w:r>
            <w:r w:rsidR="001973CC">
              <w:rPr>
                <w:rFonts w:ascii="David" w:eastAsia="Times New Roman" w:hAnsi="David" w:cs="David" w:hint="cs"/>
                <w:rtl/>
                <w:lang w:eastAsia="he-IL"/>
              </w:rPr>
              <w:t xml:space="preserve"> </w:t>
            </w:r>
            <w:r w:rsidRPr="00805006">
              <w:rPr>
                <w:rFonts w:ascii="David" w:eastAsia="Times New Roman" w:hAnsi="David" w:cs="David"/>
                <w:rtl/>
                <w:lang w:eastAsia="he-IL"/>
              </w:rPr>
              <w:t>תש"ף</w:t>
            </w:r>
          </w:p>
          <w:p w:rsidR="00CE241A" w:rsidRPr="00805006" w:rsidRDefault="001973CC" w:rsidP="001D10F3">
            <w:pPr>
              <w:spacing w:after="0" w:line="480" w:lineRule="auto"/>
              <w:jc w:val="both"/>
              <w:rPr>
                <w:rFonts w:ascii="David" w:eastAsia="Times New Roman" w:hAnsi="David" w:cs="David"/>
                <w:lang w:eastAsia="he-IL"/>
              </w:rPr>
            </w:pPr>
            <w:r>
              <w:rPr>
                <w:rFonts w:ascii="David" w:eastAsia="Times New Roman" w:hAnsi="David" w:cs="David" w:hint="cs"/>
                <w:rtl/>
                <w:lang w:eastAsia="he-IL"/>
              </w:rPr>
              <w:t>22</w:t>
            </w:r>
            <w:r w:rsidR="00CE241A" w:rsidRPr="00805006">
              <w:rPr>
                <w:rFonts w:ascii="David" w:eastAsia="Times New Roman" w:hAnsi="David" w:cs="David"/>
                <w:rtl/>
                <w:lang w:eastAsia="he-IL"/>
              </w:rPr>
              <w:t xml:space="preserve"> באפריל 2020</w:t>
            </w:r>
          </w:p>
        </w:tc>
      </w:tr>
    </w:tbl>
    <w:p w:rsidR="00CE241A" w:rsidRPr="00805006" w:rsidRDefault="00CE241A" w:rsidP="001B29C2">
      <w:pPr>
        <w:spacing w:after="240" w:line="360" w:lineRule="auto"/>
        <w:ind w:left="56" w:right="-101"/>
        <w:jc w:val="both"/>
        <w:rPr>
          <w:rFonts w:ascii="David" w:hAnsi="David" w:cs="David"/>
          <w:b/>
          <w:bCs/>
          <w:rtl/>
        </w:rPr>
      </w:pPr>
      <w:r w:rsidRPr="00805006">
        <w:rPr>
          <w:rFonts w:ascii="David" w:hAnsi="David" w:cs="David"/>
          <w:rtl/>
        </w:rPr>
        <w:t>הודעה לעיתונות:</w:t>
      </w:r>
    </w:p>
    <w:p w:rsidR="00CE241A" w:rsidRPr="00805006" w:rsidRDefault="00AA5010" w:rsidP="001973CC">
      <w:pPr>
        <w:spacing w:line="360" w:lineRule="auto"/>
        <w:jc w:val="center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ניתוח מיוחד: </w:t>
      </w:r>
      <w:r w:rsidR="001D10F3" w:rsidRPr="00805006">
        <w:rPr>
          <w:rFonts w:ascii="David" w:hAnsi="David" w:cs="David" w:hint="cs"/>
          <w:b/>
          <w:bCs/>
          <w:rtl/>
        </w:rPr>
        <w:t xml:space="preserve">השינויים </w:t>
      </w:r>
      <w:r w:rsidR="00B13CC7">
        <w:rPr>
          <w:rFonts w:ascii="David" w:hAnsi="David" w:cs="David" w:hint="cs"/>
          <w:b/>
          <w:bCs/>
          <w:rtl/>
        </w:rPr>
        <w:t>ברכישות</w:t>
      </w:r>
      <w:r w:rsidR="00B13CC7" w:rsidRPr="00805006">
        <w:rPr>
          <w:rFonts w:ascii="David" w:hAnsi="David" w:cs="David" w:hint="cs"/>
          <w:b/>
          <w:bCs/>
          <w:rtl/>
        </w:rPr>
        <w:t xml:space="preserve"> </w:t>
      </w:r>
      <w:r w:rsidR="001D10F3" w:rsidRPr="00805006">
        <w:rPr>
          <w:rFonts w:ascii="David" w:hAnsi="David" w:cs="David" w:hint="cs"/>
          <w:b/>
          <w:bCs/>
          <w:rtl/>
        </w:rPr>
        <w:t>בכרטיסי אשראי כתוצאה ממשבר</w:t>
      </w:r>
      <w:r w:rsidR="001B29C2">
        <w:rPr>
          <w:rFonts w:ascii="David" w:hAnsi="David" w:cs="David" w:hint="cs"/>
          <w:b/>
          <w:bCs/>
          <w:rtl/>
        </w:rPr>
        <w:t xml:space="preserve"> נגיף</w:t>
      </w:r>
      <w:r w:rsidR="001D10F3" w:rsidRPr="00805006">
        <w:rPr>
          <w:rFonts w:ascii="David" w:hAnsi="David" w:cs="David" w:hint="cs"/>
          <w:b/>
          <w:bCs/>
          <w:rtl/>
        </w:rPr>
        <w:t xml:space="preserve"> הקורונה</w:t>
      </w:r>
    </w:p>
    <w:p w:rsidR="001973CC" w:rsidRDefault="001973CC" w:rsidP="00A7364B">
      <w:pPr>
        <w:spacing w:line="360" w:lineRule="auto"/>
        <w:jc w:val="both"/>
        <w:rPr>
          <w:rFonts w:ascii="David" w:hAnsi="David" w:cs="David"/>
          <w:rtl/>
        </w:rPr>
      </w:pPr>
    </w:p>
    <w:p w:rsidR="00CF51FC" w:rsidRPr="00805006" w:rsidRDefault="00CE241A" w:rsidP="00FE6832">
      <w:pPr>
        <w:spacing w:line="360" w:lineRule="auto"/>
        <w:jc w:val="both"/>
        <w:rPr>
          <w:rFonts w:ascii="David" w:hAnsi="David" w:cs="David"/>
          <w:rtl/>
        </w:rPr>
      </w:pPr>
      <w:r w:rsidRPr="00805006">
        <w:rPr>
          <w:rFonts w:ascii="David" w:hAnsi="David" w:cs="David" w:hint="cs"/>
          <w:rtl/>
        </w:rPr>
        <w:t>כחלק מהתמודדות עם</w:t>
      </w:r>
      <w:r w:rsidR="00B11E3D" w:rsidRPr="00805006">
        <w:rPr>
          <w:rFonts w:ascii="David" w:hAnsi="David" w:cs="David"/>
          <w:rtl/>
        </w:rPr>
        <w:t xml:space="preserve"> משבר</w:t>
      </w:r>
      <w:r w:rsidR="001B29C2">
        <w:rPr>
          <w:rFonts w:ascii="David" w:hAnsi="David" w:cs="David" w:hint="cs"/>
          <w:rtl/>
        </w:rPr>
        <w:t xml:space="preserve"> נגיף הקורונה</w:t>
      </w:r>
      <w:r w:rsidRPr="00805006">
        <w:rPr>
          <w:rFonts w:ascii="David" w:hAnsi="David" w:cs="David" w:hint="cs"/>
          <w:rtl/>
        </w:rPr>
        <w:t>,</w:t>
      </w:r>
      <w:r w:rsidR="00B11E3D" w:rsidRPr="00805006">
        <w:rPr>
          <w:rFonts w:ascii="David" w:hAnsi="David" w:cs="David"/>
          <w:rtl/>
        </w:rPr>
        <w:t xml:space="preserve"> בנק ישראל </w:t>
      </w:r>
      <w:r w:rsidR="00175C31" w:rsidRPr="00805006">
        <w:rPr>
          <w:rFonts w:ascii="David" w:hAnsi="David" w:cs="David"/>
          <w:rtl/>
        </w:rPr>
        <w:t>מגבש</w:t>
      </w:r>
      <w:r w:rsidR="009B78DE">
        <w:rPr>
          <w:rFonts w:ascii="David" w:hAnsi="David" w:cs="David" w:hint="cs"/>
          <w:rtl/>
        </w:rPr>
        <w:t xml:space="preserve"> באופן שוטף </w:t>
      </w:r>
      <w:r w:rsidR="00B11E3D" w:rsidRPr="00805006">
        <w:rPr>
          <w:rFonts w:ascii="David" w:hAnsi="David" w:cs="David"/>
          <w:rtl/>
        </w:rPr>
        <w:t xml:space="preserve">תמונת מצב של הכלכלה הישראלית, הן בצד הריאלי, והן בצד </w:t>
      </w:r>
      <w:r w:rsidR="00CF51FC" w:rsidRPr="00805006">
        <w:rPr>
          <w:rFonts w:ascii="David" w:hAnsi="David" w:cs="David"/>
          <w:rtl/>
        </w:rPr>
        <w:t>הפיננסי.</w:t>
      </w:r>
      <w:r w:rsidR="00A7364B">
        <w:rPr>
          <w:rFonts w:ascii="David" w:hAnsi="David" w:cs="David" w:hint="cs"/>
          <w:rtl/>
        </w:rPr>
        <w:t xml:space="preserve"> לצורך כך הוקמה תשתית מידע ייעודית בבנק ישראל שמנטרת אינדיקטורים מעולמות תוכן שונים.</w:t>
      </w:r>
    </w:p>
    <w:p w:rsidR="00B11E3D" w:rsidRPr="00805006" w:rsidRDefault="00684E36" w:rsidP="00FE6832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תמונת המצב הדינמית מוצגת באופן שוטף במסגרת החמ"ל שהקים נגיד בנק ישראל עם פרוץ המשבר, וכוללת, בין היתר, </w:t>
      </w:r>
      <w:r w:rsidRPr="00805006">
        <w:rPr>
          <w:rFonts w:ascii="David" w:hAnsi="David" w:cs="David"/>
          <w:rtl/>
        </w:rPr>
        <w:t>אינדיקטורים</w:t>
      </w:r>
      <w:r>
        <w:rPr>
          <w:rFonts w:ascii="David" w:hAnsi="David" w:cs="David" w:hint="cs"/>
          <w:rtl/>
        </w:rPr>
        <w:t xml:space="preserve"> </w:t>
      </w:r>
      <w:r w:rsidRPr="00422305">
        <w:rPr>
          <w:rFonts w:ascii="David" w:hAnsi="David" w:cs="David" w:hint="eastAsia"/>
          <w:rtl/>
        </w:rPr>
        <w:t>משוק</w:t>
      </w:r>
      <w:r w:rsidRPr="00422305">
        <w:rPr>
          <w:rFonts w:ascii="David" w:hAnsi="David" w:cs="David"/>
          <w:rtl/>
        </w:rPr>
        <w:t xml:space="preserve"> העבודה</w:t>
      </w:r>
      <w:r w:rsidR="001B29C2" w:rsidRPr="00422305">
        <w:rPr>
          <w:rFonts w:ascii="David" w:hAnsi="David" w:cs="David"/>
          <w:rtl/>
        </w:rPr>
        <w:t xml:space="preserve">, </w:t>
      </w:r>
      <w:r w:rsidR="00132E3B" w:rsidRPr="008E06F0">
        <w:rPr>
          <w:rFonts w:ascii="David" w:hAnsi="David" w:cs="David" w:hint="cs"/>
          <w:rtl/>
        </w:rPr>
        <w:t>שוק</w:t>
      </w:r>
      <w:r w:rsidR="00132E3B" w:rsidRPr="008E06F0">
        <w:rPr>
          <w:rFonts w:ascii="David" w:hAnsi="David" w:cs="David"/>
          <w:rtl/>
        </w:rPr>
        <w:t xml:space="preserve"> האשראי, שוק ההון ושוק </w:t>
      </w:r>
      <w:r w:rsidR="00132E3B" w:rsidRPr="008E06F0">
        <w:rPr>
          <w:rFonts w:ascii="David" w:hAnsi="David" w:cs="David" w:hint="cs"/>
          <w:rtl/>
        </w:rPr>
        <w:t>המט</w:t>
      </w:r>
      <w:r w:rsidR="00132E3B" w:rsidRPr="008E06F0">
        <w:rPr>
          <w:rFonts w:ascii="David" w:hAnsi="David" w:cs="David"/>
          <w:rtl/>
        </w:rPr>
        <w:t>"ח</w:t>
      </w:r>
      <w:r w:rsidR="00B11E3D" w:rsidRPr="00422305">
        <w:rPr>
          <w:rFonts w:ascii="David" w:hAnsi="David" w:cs="David"/>
          <w:rtl/>
        </w:rPr>
        <w:t xml:space="preserve">. </w:t>
      </w:r>
      <w:r w:rsidR="00CE241A" w:rsidRPr="00422305">
        <w:rPr>
          <w:rFonts w:ascii="David" w:hAnsi="David" w:cs="David" w:hint="eastAsia"/>
          <w:rtl/>
        </w:rPr>
        <w:t>בנוסף</w:t>
      </w:r>
      <w:r w:rsidR="00CE241A" w:rsidRPr="00422305">
        <w:rPr>
          <w:rFonts w:ascii="David" w:hAnsi="David" w:cs="David"/>
          <w:rtl/>
        </w:rPr>
        <w:t>,</w:t>
      </w:r>
      <w:r w:rsidR="00B11E3D" w:rsidRPr="00805006">
        <w:rPr>
          <w:rFonts w:ascii="David" w:hAnsi="David" w:cs="David"/>
          <w:rtl/>
        </w:rPr>
        <w:t xml:space="preserve"> </w:t>
      </w:r>
      <w:r w:rsidR="00CE241A" w:rsidRPr="00805006">
        <w:rPr>
          <w:rFonts w:ascii="David" w:hAnsi="David" w:cs="David" w:hint="cs"/>
          <w:rtl/>
        </w:rPr>
        <w:t>ל</w:t>
      </w:r>
      <w:r w:rsidR="00B11E3D" w:rsidRPr="00805006">
        <w:rPr>
          <w:rFonts w:ascii="David" w:hAnsi="David" w:cs="David"/>
          <w:rtl/>
        </w:rPr>
        <w:t xml:space="preserve">אור </w:t>
      </w:r>
      <w:r w:rsidR="00CE241A" w:rsidRPr="00805006">
        <w:rPr>
          <w:rFonts w:ascii="David" w:hAnsi="David" w:cs="David" w:hint="cs"/>
          <w:rtl/>
        </w:rPr>
        <w:t>אופי</w:t>
      </w:r>
      <w:r w:rsidR="00B11E3D" w:rsidRPr="00805006">
        <w:rPr>
          <w:rFonts w:ascii="David" w:hAnsi="David" w:cs="David"/>
          <w:rtl/>
        </w:rPr>
        <w:t xml:space="preserve"> המשבר</w:t>
      </w:r>
      <w:r w:rsidR="00CE241A" w:rsidRPr="00805006">
        <w:rPr>
          <w:rFonts w:ascii="David" w:hAnsi="David" w:cs="David" w:hint="cs"/>
          <w:rtl/>
        </w:rPr>
        <w:t>,</w:t>
      </w:r>
      <w:r w:rsidR="00B11E3D" w:rsidRPr="00805006">
        <w:rPr>
          <w:rFonts w:ascii="David" w:hAnsi="David" w:cs="David"/>
          <w:rtl/>
        </w:rPr>
        <w:t xml:space="preserve"> גיבש</w:t>
      </w:r>
      <w:r w:rsidR="00CE241A" w:rsidRPr="00805006">
        <w:rPr>
          <w:rFonts w:ascii="David" w:hAnsi="David" w:cs="David" w:hint="cs"/>
          <w:rtl/>
        </w:rPr>
        <w:t xml:space="preserve"> בנק ישראל</w:t>
      </w:r>
      <w:r w:rsidR="00B11E3D" w:rsidRPr="00805006">
        <w:rPr>
          <w:rFonts w:ascii="David" w:hAnsi="David" w:cs="David"/>
          <w:rtl/>
        </w:rPr>
        <w:t xml:space="preserve"> אינדיקטורים מהירים</w:t>
      </w:r>
      <w:r w:rsidR="00175C31" w:rsidRPr="00805006">
        <w:rPr>
          <w:rFonts w:ascii="David" w:hAnsi="David" w:cs="David"/>
          <w:rtl/>
        </w:rPr>
        <w:t xml:space="preserve"> </w:t>
      </w:r>
      <w:r w:rsidR="00132E3B">
        <w:rPr>
          <w:rFonts w:ascii="David" w:hAnsi="David" w:cs="David" w:hint="cs"/>
          <w:rtl/>
        </w:rPr>
        <w:t>ייחודיים</w:t>
      </w:r>
      <w:r w:rsidR="00132E3B" w:rsidRPr="00805006">
        <w:rPr>
          <w:rFonts w:ascii="David" w:hAnsi="David" w:cs="David"/>
          <w:rtl/>
        </w:rPr>
        <w:t xml:space="preserve"> </w:t>
      </w:r>
      <w:r w:rsidR="00B11E3D" w:rsidRPr="00805006">
        <w:rPr>
          <w:rFonts w:ascii="David" w:hAnsi="David" w:cs="David"/>
          <w:rtl/>
        </w:rPr>
        <w:t>שעשויים להעיד על שינוי</w:t>
      </w:r>
      <w:r w:rsidR="00CF51FC" w:rsidRPr="00805006">
        <w:rPr>
          <w:rFonts w:ascii="David" w:hAnsi="David" w:cs="David"/>
          <w:rtl/>
        </w:rPr>
        <w:t>י</w:t>
      </w:r>
      <w:r w:rsidR="00B11E3D" w:rsidRPr="00805006">
        <w:rPr>
          <w:rFonts w:ascii="David" w:hAnsi="David" w:cs="David"/>
          <w:rtl/>
        </w:rPr>
        <w:t xml:space="preserve"> מגמה</w:t>
      </w:r>
      <w:r w:rsidR="00132E3B">
        <w:rPr>
          <w:rFonts w:ascii="David" w:hAnsi="David" w:cs="David" w:hint="cs"/>
          <w:rtl/>
        </w:rPr>
        <w:t xml:space="preserve"> כלכליים</w:t>
      </w:r>
      <w:r w:rsidR="00B11E3D" w:rsidRPr="00805006">
        <w:rPr>
          <w:rFonts w:ascii="David" w:hAnsi="David" w:cs="David"/>
          <w:rtl/>
        </w:rPr>
        <w:t>.</w:t>
      </w:r>
      <w:r w:rsidR="008A409B" w:rsidRPr="00805006">
        <w:rPr>
          <w:rFonts w:ascii="David" w:hAnsi="David" w:cs="David"/>
          <w:rtl/>
        </w:rPr>
        <w:t xml:space="preserve"> עולם מערכות ואמצעי התשלום </w:t>
      </w:r>
      <w:r w:rsidR="00CE241A" w:rsidRPr="00805006">
        <w:rPr>
          <w:rFonts w:ascii="David" w:hAnsi="David" w:cs="David" w:hint="cs"/>
          <w:rtl/>
        </w:rPr>
        <w:t xml:space="preserve">רלוונטי במיוחד </w:t>
      </w:r>
      <w:r w:rsidR="008A409B" w:rsidRPr="00805006">
        <w:rPr>
          <w:rFonts w:ascii="David" w:hAnsi="David" w:cs="David"/>
          <w:rtl/>
        </w:rPr>
        <w:t xml:space="preserve"> -  עולם זה מהווה למעשה את התשתית שדרכה מבוצעות התנועות הכלכליות של הציבור</w:t>
      </w:r>
      <w:r w:rsidR="001B29C2">
        <w:rPr>
          <w:rFonts w:ascii="David" w:hAnsi="David" w:cs="David" w:hint="cs"/>
          <w:rtl/>
        </w:rPr>
        <w:t xml:space="preserve"> </w:t>
      </w:r>
      <w:r w:rsidR="001B29C2">
        <w:rPr>
          <w:rFonts w:ascii="David" w:hAnsi="David" w:cs="David"/>
          <w:rtl/>
        </w:rPr>
        <w:t>–</w:t>
      </w:r>
      <w:r w:rsidR="001B29C2">
        <w:rPr>
          <w:rFonts w:ascii="David" w:hAnsi="David" w:cs="David" w:hint="cs"/>
          <w:rtl/>
        </w:rPr>
        <w:t>הצרכנים והעסקים</w:t>
      </w:r>
      <w:r w:rsidR="008A409B" w:rsidRPr="00805006">
        <w:rPr>
          <w:rFonts w:ascii="David" w:hAnsi="David" w:cs="David"/>
          <w:rtl/>
        </w:rPr>
        <w:t xml:space="preserve">. </w:t>
      </w:r>
      <w:r w:rsidR="00CE241A" w:rsidRPr="00805006">
        <w:rPr>
          <w:rFonts w:ascii="David" w:hAnsi="David" w:cs="David" w:hint="cs"/>
          <w:rtl/>
        </w:rPr>
        <w:t>א</w:t>
      </w:r>
      <w:r w:rsidR="008A409B" w:rsidRPr="00805006">
        <w:rPr>
          <w:rFonts w:ascii="David" w:hAnsi="David" w:cs="David"/>
          <w:rtl/>
        </w:rPr>
        <w:t>ינדיקטורים</w:t>
      </w:r>
      <w:r w:rsidR="00CE241A" w:rsidRPr="00805006">
        <w:rPr>
          <w:rFonts w:ascii="David" w:hAnsi="David" w:cs="David" w:hint="cs"/>
          <w:rtl/>
        </w:rPr>
        <w:t xml:space="preserve"> מעולם זה כוללים</w:t>
      </w:r>
      <w:r w:rsidR="001B29C2">
        <w:rPr>
          <w:rFonts w:ascii="David" w:hAnsi="David" w:cs="David" w:hint="cs"/>
          <w:rtl/>
        </w:rPr>
        <w:t xml:space="preserve"> לדוגמה</w:t>
      </w:r>
      <w:r w:rsidR="00CE241A" w:rsidRPr="00805006">
        <w:rPr>
          <w:rFonts w:ascii="David" w:hAnsi="David" w:cs="David" w:hint="cs"/>
          <w:rtl/>
        </w:rPr>
        <w:t xml:space="preserve"> </w:t>
      </w:r>
      <w:r w:rsidR="008A409B" w:rsidRPr="00805006">
        <w:rPr>
          <w:rFonts w:ascii="David" w:hAnsi="David" w:cs="David"/>
          <w:rtl/>
        </w:rPr>
        <w:t xml:space="preserve">משיכות מזומן של הציבור בכספומטים, פעילות בשיקים, </w:t>
      </w:r>
      <w:r w:rsidR="003E521A" w:rsidRPr="00805006">
        <w:rPr>
          <w:rFonts w:ascii="David" w:hAnsi="David" w:cs="David"/>
          <w:rtl/>
        </w:rPr>
        <w:t>ו</w:t>
      </w:r>
      <w:r w:rsidR="008A409B" w:rsidRPr="00805006">
        <w:rPr>
          <w:rFonts w:ascii="David" w:hAnsi="David" w:cs="David"/>
          <w:rtl/>
        </w:rPr>
        <w:t xml:space="preserve">פעילות בכרטיסי </w:t>
      </w:r>
      <w:r w:rsidR="009B78DE">
        <w:rPr>
          <w:rFonts w:ascii="David" w:hAnsi="David" w:cs="David" w:hint="cs"/>
          <w:rtl/>
        </w:rPr>
        <w:t>חיוב</w:t>
      </w:r>
      <w:r w:rsidR="008A409B" w:rsidRPr="00805006">
        <w:rPr>
          <w:rFonts w:ascii="David" w:hAnsi="David" w:cs="David"/>
          <w:rtl/>
        </w:rPr>
        <w:t>.</w:t>
      </w:r>
    </w:p>
    <w:p w:rsidR="00B11E3D" w:rsidRPr="008E06F0" w:rsidRDefault="00CE241A" w:rsidP="009B78DE">
      <w:pPr>
        <w:spacing w:line="360" w:lineRule="auto"/>
        <w:jc w:val="both"/>
        <w:rPr>
          <w:rFonts w:ascii="David" w:hAnsi="David" w:cs="David"/>
          <w:rtl/>
        </w:rPr>
      </w:pPr>
      <w:r w:rsidRPr="00805006">
        <w:rPr>
          <w:rFonts w:ascii="David" w:hAnsi="David" w:cs="David" w:hint="cs"/>
          <w:rtl/>
        </w:rPr>
        <w:t xml:space="preserve">אינדיקטור מעניין במיוחד הינו </w:t>
      </w:r>
      <w:r w:rsidR="00FE6832">
        <w:rPr>
          <w:rFonts w:ascii="David" w:hAnsi="David" w:cs="David" w:hint="cs"/>
          <w:rtl/>
        </w:rPr>
        <w:t>ה</w:t>
      </w:r>
      <w:r w:rsidR="003E521A" w:rsidRPr="00805006">
        <w:rPr>
          <w:rFonts w:ascii="David" w:hAnsi="David" w:cs="David"/>
          <w:rtl/>
        </w:rPr>
        <w:t>פעילות בכרטיסי אשראי לפי ענפים</w:t>
      </w:r>
      <w:r w:rsidRPr="00805006">
        <w:rPr>
          <w:rFonts w:ascii="David" w:hAnsi="David" w:cs="David" w:hint="cs"/>
          <w:rtl/>
        </w:rPr>
        <w:t>.</w:t>
      </w:r>
      <w:r w:rsidRPr="00805006">
        <w:rPr>
          <w:rFonts w:ascii="David" w:hAnsi="David" w:cs="David" w:hint="cs"/>
        </w:rPr>
        <w:t xml:space="preserve"> </w:t>
      </w:r>
      <w:r w:rsidRPr="00805006">
        <w:rPr>
          <w:rFonts w:ascii="David" w:hAnsi="David" w:cs="David" w:hint="cs"/>
          <w:rtl/>
        </w:rPr>
        <w:t xml:space="preserve"> אינדיקטור זה מאפשר</w:t>
      </w:r>
      <w:r w:rsidR="001C33D4" w:rsidRPr="00805006">
        <w:rPr>
          <w:rFonts w:ascii="David" w:hAnsi="David" w:cs="David"/>
          <w:rtl/>
        </w:rPr>
        <w:t xml:space="preserve"> לקבל </w:t>
      </w:r>
      <w:r w:rsidR="00132E3B" w:rsidRPr="00805006">
        <w:rPr>
          <w:rFonts w:ascii="David" w:hAnsi="David" w:cs="David"/>
          <w:rtl/>
        </w:rPr>
        <w:t>תמונ</w:t>
      </w:r>
      <w:r w:rsidR="00132E3B">
        <w:rPr>
          <w:rFonts w:ascii="David" w:hAnsi="David" w:cs="David" w:hint="cs"/>
          <w:rtl/>
        </w:rPr>
        <w:t xml:space="preserve">ת </w:t>
      </w:r>
      <w:r w:rsidR="00132E3B" w:rsidRPr="008E06F0">
        <w:rPr>
          <w:rFonts w:ascii="David" w:hAnsi="David" w:cs="David"/>
          <w:rtl/>
        </w:rPr>
        <w:t xml:space="preserve">מצב </w:t>
      </w:r>
      <w:r w:rsidR="001C33D4" w:rsidRPr="008E06F0">
        <w:rPr>
          <w:rFonts w:ascii="David" w:hAnsi="David" w:cs="David"/>
          <w:rtl/>
        </w:rPr>
        <w:t xml:space="preserve">מאוד ברורה של עוצמת הפגיעה </w:t>
      </w:r>
      <w:r w:rsidR="003E521A" w:rsidRPr="008E06F0">
        <w:rPr>
          <w:rFonts w:ascii="David" w:hAnsi="David" w:cs="David"/>
          <w:rtl/>
        </w:rPr>
        <w:t xml:space="preserve">של המשבר </w:t>
      </w:r>
      <w:r w:rsidR="00132E3B" w:rsidRPr="008E06F0">
        <w:rPr>
          <w:rFonts w:ascii="David" w:hAnsi="David" w:cs="David"/>
          <w:rtl/>
        </w:rPr>
        <w:t>בענפי משק שונים, ומסייע לגיבוש צעדי מדיניות של הבנק</w:t>
      </w:r>
      <w:r w:rsidR="001C33D4" w:rsidRPr="008E06F0">
        <w:rPr>
          <w:rFonts w:ascii="David" w:hAnsi="David" w:cs="David"/>
          <w:rtl/>
        </w:rPr>
        <w:t>.</w:t>
      </w:r>
      <w:r w:rsidR="003E521A" w:rsidRPr="008E06F0">
        <w:rPr>
          <w:rFonts w:ascii="David" w:hAnsi="David" w:cs="David"/>
          <w:rtl/>
        </w:rPr>
        <w:t xml:space="preserve"> </w:t>
      </w:r>
    </w:p>
    <w:p w:rsidR="00805006" w:rsidRPr="008E06F0" w:rsidRDefault="00FE6832" w:rsidP="00FE6832">
      <w:pPr>
        <w:spacing w:line="360" w:lineRule="auto"/>
        <w:jc w:val="both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rtl/>
        </w:rPr>
        <w:t>התרשים מציג את</w:t>
      </w:r>
      <w:r w:rsidR="001D10F3" w:rsidRPr="008E06F0">
        <w:rPr>
          <w:rFonts w:ascii="David" w:hAnsi="David" w:cs="David"/>
          <w:rtl/>
        </w:rPr>
        <w:t xml:space="preserve"> השינוי </w:t>
      </w:r>
      <w:r w:rsidR="00AC0E1C" w:rsidRPr="008E06F0">
        <w:rPr>
          <w:rFonts w:ascii="David" w:hAnsi="David" w:cs="David"/>
          <w:rtl/>
        </w:rPr>
        <w:t xml:space="preserve">בהוצאה בכרטיס </w:t>
      </w:r>
      <w:r w:rsidR="009B78DE">
        <w:rPr>
          <w:rFonts w:ascii="David" w:hAnsi="David" w:cs="David" w:hint="cs"/>
          <w:rtl/>
        </w:rPr>
        <w:t xml:space="preserve">חיוב </w:t>
      </w:r>
      <w:r w:rsidR="001B29C2" w:rsidRPr="008E06F0">
        <w:rPr>
          <w:rFonts w:ascii="David" w:hAnsi="David" w:cs="David"/>
          <w:rtl/>
        </w:rPr>
        <w:t>בענפים נבחרים ביחס לתחילת השנה</w:t>
      </w:r>
      <w:r>
        <w:rPr>
          <w:rFonts w:ascii="David" w:hAnsi="David" w:cs="David" w:hint="cs"/>
          <w:rtl/>
        </w:rPr>
        <w:t xml:space="preserve">. </w:t>
      </w:r>
      <w:r w:rsidR="00132E3B" w:rsidRPr="008E06F0">
        <w:rPr>
          <w:rFonts w:ascii="David" w:hAnsi="David" w:cs="David"/>
          <w:noProof/>
          <w:rtl/>
        </w:rPr>
        <w:t>מדובר בנתונים שמתקבלים ברמה היומית משב"א</w:t>
      </w:r>
      <w:r w:rsidR="007575B8">
        <w:rPr>
          <w:rFonts w:ascii="David" w:hAnsi="David" w:cs="David" w:hint="cs"/>
          <w:noProof/>
          <w:rtl/>
        </w:rPr>
        <w:t xml:space="preserve"> (שירותי בנק אוטומטיים) שהיא מערכת התשלומים לעסקאות בכרטיסי חיוב בישראל,</w:t>
      </w:r>
      <w:r w:rsidR="00132E3B" w:rsidRPr="008E06F0">
        <w:rPr>
          <w:rFonts w:ascii="David" w:hAnsi="David" w:cs="David"/>
          <w:noProof/>
          <w:rtl/>
        </w:rPr>
        <w:t xml:space="preserve"> </w:t>
      </w:r>
      <w:r>
        <w:rPr>
          <w:rFonts w:ascii="David" w:hAnsi="David" w:cs="David" w:hint="cs"/>
          <w:noProof/>
          <w:rtl/>
        </w:rPr>
        <w:t>ו</w:t>
      </w:r>
      <w:r w:rsidR="00132E3B" w:rsidRPr="008E06F0">
        <w:rPr>
          <w:rFonts w:ascii="David" w:hAnsi="David" w:cs="David"/>
          <w:noProof/>
          <w:rtl/>
        </w:rPr>
        <w:t>מעובדים ומנותחים בבנק ישראל.</w:t>
      </w:r>
    </w:p>
    <w:p w:rsidR="00422305" w:rsidRPr="008E06F0" w:rsidRDefault="00AC0E1C" w:rsidP="00FE6832">
      <w:pPr>
        <w:spacing w:line="360" w:lineRule="auto"/>
        <w:jc w:val="both"/>
        <w:rPr>
          <w:rFonts w:ascii="David" w:hAnsi="David" w:cs="David"/>
          <w:rtl/>
        </w:rPr>
      </w:pPr>
      <w:r w:rsidRPr="008E06F0">
        <w:rPr>
          <w:rFonts w:ascii="David" w:hAnsi="David" w:cs="David"/>
          <w:rtl/>
        </w:rPr>
        <w:t xml:space="preserve">ניתן לראות כי הירידה המשמעותית בהיקפי העסקאות החלה בתאריך </w:t>
      </w:r>
      <w:r w:rsidR="001B29C2" w:rsidRPr="008E06F0">
        <w:rPr>
          <w:rFonts w:ascii="David" w:hAnsi="David" w:cs="David"/>
          <w:rtl/>
        </w:rPr>
        <w:t>הכרזת</w:t>
      </w:r>
      <w:r w:rsidRPr="008E06F0">
        <w:rPr>
          <w:rFonts w:ascii="David" w:hAnsi="David" w:cs="David"/>
          <w:rtl/>
        </w:rPr>
        <w:t xml:space="preserve"> </w:t>
      </w:r>
      <w:r w:rsidR="001B29C2" w:rsidRPr="008E06F0">
        <w:rPr>
          <w:rFonts w:ascii="David" w:hAnsi="David" w:cs="David"/>
          <w:rtl/>
        </w:rPr>
        <w:t>ה</w:t>
      </w:r>
      <w:r w:rsidRPr="008E06F0">
        <w:rPr>
          <w:rFonts w:ascii="David" w:hAnsi="David" w:cs="David"/>
          <w:rtl/>
        </w:rPr>
        <w:t xml:space="preserve">הגבלות </w:t>
      </w:r>
      <w:r w:rsidR="001B29C2" w:rsidRPr="008E06F0">
        <w:rPr>
          <w:rFonts w:ascii="David" w:hAnsi="David" w:cs="David"/>
          <w:rtl/>
        </w:rPr>
        <w:t xml:space="preserve">על </w:t>
      </w:r>
      <w:r w:rsidRPr="008E06F0">
        <w:rPr>
          <w:rFonts w:ascii="David" w:hAnsi="David" w:cs="David"/>
          <w:rtl/>
        </w:rPr>
        <w:t>הפעילות במשק והחריפ</w:t>
      </w:r>
      <w:r w:rsidR="009B78DE">
        <w:rPr>
          <w:rFonts w:ascii="David" w:hAnsi="David" w:cs="David" w:hint="cs"/>
          <w:rtl/>
        </w:rPr>
        <w:t>ה</w:t>
      </w:r>
      <w:r w:rsidRPr="008E06F0">
        <w:rPr>
          <w:rFonts w:ascii="David" w:hAnsi="David" w:cs="David"/>
          <w:rtl/>
        </w:rPr>
        <w:t xml:space="preserve"> עם כל גל הגבלות נוסף</w:t>
      </w:r>
      <w:r w:rsidR="00132E3B" w:rsidRPr="008E06F0">
        <w:rPr>
          <w:rFonts w:ascii="David" w:hAnsi="David" w:cs="David"/>
          <w:rtl/>
        </w:rPr>
        <w:t>:</w:t>
      </w:r>
      <w:r w:rsidRPr="008E06F0">
        <w:rPr>
          <w:rFonts w:ascii="David" w:hAnsi="David" w:cs="David"/>
          <w:rtl/>
        </w:rPr>
        <w:t xml:space="preserve"> </w:t>
      </w:r>
      <w:r w:rsidR="00805006" w:rsidRPr="008E06F0">
        <w:rPr>
          <w:rFonts w:ascii="David" w:hAnsi="David" w:cs="David"/>
          <w:rtl/>
        </w:rPr>
        <w:t xml:space="preserve">בחודש אפריל, </w:t>
      </w:r>
      <w:r w:rsidR="00FC6914">
        <w:rPr>
          <w:rFonts w:ascii="David" w:hAnsi="David" w:cs="David" w:hint="cs"/>
          <w:rtl/>
        </w:rPr>
        <w:t xml:space="preserve">הרכישות ברמה היומית </w:t>
      </w:r>
      <w:r w:rsidR="009B78DE">
        <w:rPr>
          <w:rFonts w:ascii="David" w:hAnsi="David" w:cs="David" w:hint="cs"/>
          <w:rtl/>
        </w:rPr>
        <w:t>בכרטיסי חיוב</w:t>
      </w:r>
      <w:r w:rsidR="00FE6832">
        <w:rPr>
          <w:rFonts w:ascii="David" w:hAnsi="David" w:cs="David" w:hint="cs"/>
          <w:rtl/>
        </w:rPr>
        <w:t xml:space="preserve"> </w:t>
      </w:r>
      <w:r w:rsidR="00FC6914">
        <w:rPr>
          <w:rFonts w:ascii="David" w:hAnsi="David" w:cs="David" w:hint="cs"/>
          <w:rtl/>
        </w:rPr>
        <w:t xml:space="preserve">בענפי </w:t>
      </w:r>
      <w:r w:rsidR="001B29C2" w:rsidRPr="008E06F0">
        <w:rPr>
          <w:rFonts w:ascii="David" w:hAnsi="David" w:cs="David"/>
          <w:rtl/>
        </w:rPr>
        <w:t>מוצרי חשמל</w:t>
      </w:r>
      <w:r w:rsidR="00FE6832">
        <w:rPr>
          <w:rFonts w:ascii="David" w:hAnsi="David" w:cs="David" w:hint="cs"/>
          <w:rtl/>
        </w:rPr>
        <w:t>,</w:t>
      </w:r>
      <w:r w:rsidR="001B29C2" w:rsidRPr="008E06F0">
        <w:rPr>
          <w:rFonts w:ascii="David" w:hAnsi="David" w:cs="David"/>
          <w:rtl/>
        </w:rPr>
        <w:t xml:space="preserve"> ביגוד ו</w:t>
      </w:r>
      <w:r w:rsidR="00805006" w:rsidRPr="008E06F0">
        <w:rPr>
          <w:rFonts w:ascii="David" w:hAnsi="David" w:cs="David"/>
          <w:rtl/>
        </w:rPr>
        <w:t xml:space="preserve">ריהוט </w:t>
      </w:r>
      <w:r w:rsidR="00FE6832">
        <w:rPr>
          <w:rFonts w:ascii="David" w:hAnsi="David" w:cs="David" w:hint="cs"/>
          <w:rtl/>
        </w:rPr>
        <w:t>ירדו ב</w:t>
      </w:r>
      <w:r w:rsidR="00805006" w:rsidRPr="008E06F0">
        <w:rPr>
          <w:rFonts w:ascii="David" w:hAnsi="David" w:cs="David"/>
          <w:rtl/>
        </w:rPr>
        <w:t>כ-50%</w:t>
      </w:r>
      <w:r w:rsidR="00805006" w:rsidRPr="008E06F0">
        <w:rPr>
          <w:rFonts w:ascii="David" w:hAnsi="David" w:cs="David"/>
        </w:rPr>
        <w:t xml:space="preserve"> </w:t>
      </w:r>
      <w:r w:rsidR="00FC6914">
        <w:rPr>
          <w:rFonts w:ascii="David" w:hAnsi="David" w:cs="David" w:hint="cs"/>
          <w:rtl/>
        </w:rPr>
        <w:t>ביחס ל</w:t>
      </w:r>
      <w:r w:rsidR="007F5705" w:rsidRPr="008E06F0">
        <w:rPr>
          <w:rFonts w:ascii="David" w:hAnsi="David" w:cs="David"/>
          <w:rtl/>
        </w:rPr>
        <w:t>תחילת</w:t>
      </w:r>
      <w:r w:rsidR="00805006" w:rsidRPr="008E06F0">
        <w:rPr>
          <w:rFonts w:ascii="David" w:hAnsi="David" w:cs="David"/>
          <w:rtl/>
        </w:rPr>
        <w:t xml:space="preserve"> השנה, </w:t>
      </w:r>
      <w:r w:rsidR="001B29C2" w:rsidRPr="008E06F0">
        <w:rPr>
          <w:rFonts w:ascii="David" w:hAnsi="David" w:cs="David"/>
          <w:rtl/>
        </w:rPr>
        <w:t>בענף</w:t>
      </w:r>
      <w:r w:rsidR="00805006" w:rsidRPr="008E06F0">
        <w:rPr>
          <w:rFonts w:ascii="David" w:hAnsi="David" w:cs="David"/>
          <w:rtl/>
        </w:rPr>
        <w:t xml:space="preserve"> </w:t>
      </w:r>
      <w:r w:rsidR="00FC6914">
        <w:rPr>
          <w:rFonts w:ascii="David" w:hAnsi="David" w:cs="David" w:hint="cs"/>
          <w:rtl/>
        </w:rPr>
        <w:t>ה</w:t>
      </w:r>
      <w:r w:rsidR="001B29C2" w:rsidRPr="008E06F0">
        <w:rPr>
          <w:rFonts w:ascii="David" w:hAnsi="David" w:cs="David"/>
          <w:rtl/>
        </w:rPr>
        <w:t>דלק ו</w:t>
      </w:r>
      <w:r w:rsidR="00FC6914">
        <w:rPr>
          <w:rFonts w:ascii="David" w:hAnsi="David" w:cs="David" w:hint="cs"/>
          <w:rtl/>
        </w:rPr>
        <w:t>ה</w:t>
      </w:r>
      <w:r w:rsidR="00805006" w:rsidRPr="008E06F0">
        <w:rPr>
          <w:rFonts w:ascii="David" w:hAnsi="David" w:cs="David"/>
          <w:rtl/>
        </w:rPr>
        <w:t>תחבורה</w:t>
      </w:r>
      <w:r w:rsidR="00FC6914">
        <w:rPr>
          <w:rFonts w:ascii="David" w:hAnsi="David" w:cs="David" w:hint="cs"/>
          <w:rtl/>
        </w:rPr>
        <w:t xml:space="preserve"> נראתה </w:t>
      </w:r>
      <w:r w:rsidR="00805006" w:rsidRPr="008E06F0">
        <w:rPr>
          <w:rFonts w:ascii="David" w:hAnsi="David" w:cs="David"/>
          <w:rtl/>
        </w:rPr>
        <w:t>ירידה של כ-60%</w:t>
      </w:r>
      <w:r w:rsidR="00805006" w:rsidRPr="008E06F0">
        <w:rPr>
          <w:rFonts w:ascii="David" w:hAnsi="David" w:cs="David"/>
        </w:rPr>
        <w:t xml:space="preserve"> </w:t>
      </w:r>
      <w:r w:rsidR="001B29C2" w:rsidRPr="008E06F0">
        <w:rPr>
          <w:rFonts w:ascii="David" w:hAnsi="David" w:cs="David"/>
          <w:rtl/>
        </w:rPr>
        <w:t>ובענפי</w:t>
      </w:r>
      <w:r w:rsidR="00805006" w:rsidRPr="008E06F0">
        <w:rPr>
          <w:rFonts w:ascii="David" w:hAnsi="David" w:cs="David"/>
          <w:rtl/>
        </w:rPr>
        <w:t xml:space="preserve"> הפנאי, חינוך, מסעדות ותיירות </w:t>
      </w:r>
      <w:r w:rsidR="00FC6914">
        <w:rPr>
          <w:rFonts w:ascii="David" w:hAnsi="David" w:cs="David" w:hint="cs"/>
          <w:rtl/>
        </w:rPr>
        <w:t xml:space="preserve">נראתה </w:t>
      </w:r>
      <w:r w:rsidR="00805006" w:rsidRPr="008E06F0">
        <w:rPr>
          <w:rFonts w:ascii="David" w:hAnsi="David" w:cs="David"/>
          <w:rtl/>
        </w:rPr>
        <w:t>ירידה של יותר מ-70%</w:t>
      </w:r>
      <w:r w:rsidR="00805006" w:rsidRPr="008E06F0">
        <w:rPr>
          <w:rFonts w:ascii="David" w:hAnsi="David" w:cs="David"/>
        </w:rPr>
        <w:t xml:space="preserve"> </w:t>
      </w:r>
      <w:r w:rsidR="00FE6832">
        <w:rPr>
          <w:rFonts w:ascii="David" w:hAnsi="David" w:cs="David" w:hint="cs"/>
          <w:rtl/>
        </w:rPr>
        <w:t>ב</w:t>
      </w:r>
      <w:r w:rsidR="00FC6914">
        <w:rPr>
          <w:rFonts w:ascii="David" w:hAnsi="David" w:cs="David" w:hint="cs"/>
          <w:rtl/>
        </w:rPr>
        <w:t>רכישות בכרטיסי חיוב ביחס ל</w:t>
      </w:r>
      <w:r w:rsidR="00805006" w:rsidRPr="008E06F0">
        <w:rPr>
          <w:rFonts w:ascii="David" w:hAnsi="David" w:cs="David"/>
          <w:rtl/>
        </w:rPr>
        <w:t>תחילת השנה.</w:t>
      </w:r>
      <w:r w:rsidR="00132E3B" w:rsidRPr="008E06F0">
        <w:rPr>
          <w:rFonts w:ascii="David" w:hAnsi="David" w:cs="David"/>
          <w:rtl/>
        </w:rPr>
        <w:t xml:space="preserve"> </w:t>
      </w:r>
    </w:p>
    <w:p w:rsidR="00805006" w:rsidRPr="008E06F0" w:rsidRDefault="00805006" w:rsidP="00FC6914">
      <w:pPr>
        <w:spacing w:line="360" w:lineRule="auto"/>
        <w:jc w:val="both"/>
        <w:rPr>
          <w:rFonts w:ascii="David" w:hAnsi="David" w:cs="David"/>
          <w:rtl/>
        </w:rPr>
      </w:pPr>
      <w:r w:rsidRPr="008E06F0">
        <w:rPr>
          <w:rFonts w:ascii="David" w:hAnsi="David" w:cs="David"/>
          <w:rtl/>
        </w:rPr>
        <w:t xml:space="preserve">לעומת זאת, </w:t>
      </w:r>
      <w:r w:rsidR="00422305" w:rsidRPr="008E06F0">
        <w:rPr>
          <w:rFonts w:ascii="David" w:hAnsi="David" w:cs="David"/>
          <w:rtl/>
        </w:rPr>
        <w:t xml:space="preserve">החל מההכרזה </w:t>
      </w:r>
      <w:r w:rsidR="00FC6914">
        <w:rPr>
          <w:rFonts w:ascii="David" w:hAnsi="David" w:cs="David" w:hint="cs"/>
          <w:rtl/>
        </w:rPr>
        <w:t xml:space="preserve">הראשונה </w:t>
      </w:r>
      <w:r w:rsidR="00422305" w:rsidRPr="008E06F0">
        <w:rPr>
          <w:rFonts w:ascii="David" w:hAnsi="David" w:cs="David"/>
          <w:rtl/>
        </w:rPr>
        <w:t xml:space="preserve">על המגבלות (16/03) </w:t>
      </w:r>
      <w:r w:rsidRPr="008E06F0">
        <w:rPr>
          <w:rFonts w:ascii="David" w:hAnsi="David" w:cs="David"/>
          <w:rtl/>
        </w:rPr>
        <w:t>נרשמה עלייה</w:t>
      </w:r>
      <w:r w:rsidR="001B29C2" w:rsidRPr="008E06F0">
        <w:rPr>
          <w:rFonts w:ascii="David" w:hAnsi="David" w:cs="David"/>
          <w:rtl/>
        </w:rPr>
        <w:t xml:space="preserve"> </w:t>
      </w:r>
      <w:r w:rsidR="00132E3B" w:rsidRPr="008E06F0">
        <w:rPr>
          <w:rFonts w:ascii="David" w:hAnsi="David" w:cs="David"/>
          <w:rtl/>
        </w:rPr>
        <w:t>של כ-</w:t>
      </w:r>
      <w:r w:rsidR="00422305" w:rsidRPr="008E06F0">
        <w:rPr>
          <w:rFonts w:ascii="David" w:hAnsi="David" w:cs="David"/>
          <w:rtl/>
        </w:rPr>
        <w:t>25%</w:t>
      </w:r>
      <w:r w:rsidR="00132E3B" w:rsidRPr="008E06F0">
        <w:rPr>
          <w:rFonts w:ascii="David" w:hAnsi="David" w:cs="David"/>
          <w:rtl/>
        </w:rPr>
        <w:t xml:space="preserve"> </w:t>
      </w:r>
      <w:r w:rsidR="00FC6914">
        <w:rPr>
          <w:rFonts w:ascii="David" w:hAnsi="David" w:cs="David" w:hint="cs"/>
          <w:rtl/>
        </w:rPr>
        <w:t>ברכישות</w:t>
      </w:r>
      <w:r w:rsidR="00FC6914" w:rsidRPr="008E06F0">
        <w:rPr>
          <w:rFonts w:ascii="David" w:hAnsi="David" w:cs="David"/>
          <w:rtl/>
        </w:rPr>
        <w:t xml:space="preserve"> </w:t>
      </w:r>
      <w:r w:rsidR="00FC6914">
        <w:rPr>
          <w:rFonts w:ascii="David" w:hAnsi="David" w:cs="David" w:hint="cs"/>
          <w:rtl/>
        </w:rPr>
        <w:t xml:space="preserve">בכרטיסי חיוב </w:t>
      </w:r>
      <w:r w:rsidR="00FC6914" w:rsidRPr="008E06F0">
        <w:rPr>
          <w:rFonts w:ascii="David" w:hAnsi="David" w:cs="David"/>
          <w:rtl/>
        </w:rPr>
        <w:t xml:space="preserve"> </w:t>
      </w:r>
      <w:r w:rsidR="001B29C2" w:rsidRPr="008E06F0">
        <w:rPr>
          <w:rFonts w:ascii="David" w:hAnsi="David" w:cs="David"/>
          <w:rtl/>
        </w:rPr>
        <w:t>ברשתות המזון</w:t>
      </w:r>
      <w:r w:rsidR="007F5705" w:rsidRPr="008E06F0">
        <w:rPr>
          <w:rFonts w:ascii="David" w:hAnsi="David" w:cs="David"/>
          <w:rtl/>
        </w:rPr>
        <w:t>.</w:t>
      </w:r>
    </w:p>
    <w:p w:rsidR="00CF51FC" w:rsidRDefault="00805006" w:rsidP="00FE6832">
      <w:pPr>
        <w:spacing w:line="360" w:lineRule="auto"/>
        <w:jc w:val="both"/>
        <w:rPr>
          <w:rFonts w:ascii="David" w:hAnsi="David" w:cs="David"/>
          <w:rtl/>
        </w:rPr>
      </w:pPr>
      <w:r w:rsidRPr="008E06F0">
        <w:rPr>
          <w:rFonts w:ascii="David" w:hAnsi="David" w:cs="David"/>
          <w:rtl/>
        </w:rPr>
        <w:t xml:space="preserve">כאשר משווים בין </w:t>
      </w:r>
      <w:r w:rsidR="00132E3B" w:rsidRPr="008E06F0">
        <w:rPr>
          <w:rFonts w:ascii="David" w:hAnsi="David" w:cs="David"/>
          <w:rtl/>
        </w:rPr>
        <w:t>שתי תקופות</w:t>
      </w:r>
      <w:r w:rsidR="00FE6832">
        <w:rPr>
          <w:rFonts w:ascii="David" w:hAnsi="David" w:cs="David" w:hint="cs"/>
          <w:rtl/>
        </w:rPr>
        <w:t xml:space="preserve"> - מ</w:t>
      </w:r>
      <w:r w:rsidRPr="008E06F0">
        <w:rPr>
          <w:rFonts w:ascii="David" w:hAnsi="David" w:cs="David"/>
          <w:rtl/>
        </w:rPr>
        <w:t xml:space="preserve">תחילת השנה </w:t>
      </w:r>
      <w:r w:rsidR="00132E3B" w:rsidRPr="008E06F0">
        <w:rPr>
          <w:rFonts w:ascii="David" w:hAnsi="David" w:cs="David"/>
          <w:rtl/>
        </w:rPr>
        <w:t>ועד ההכרזה על המגבלות</w:t>
      </w:r>
      <w:r w:rsidRPr="008E06F0">
        <w:rPr>
          <w:rFonts w:ascii="David" w:hAnsi="David" w:cs="David"/>
          <w:rtl/>
        </w:rPr>
        <w:t xml:space="preserve"> (החל מה-16.03)</w:t>
      </w:r>
      <w:r w:rsidR="00FE6832">
        <w:rPr>
          <w:rFonts w:ascii="David" w:hAnsi="David" w:cs="David" w:hint="cs"/>
          <w:rtl/>
        </w:rPr>
        <w:t xml:space="preserve">, </w:t>
      </w:r>
      <w:r w:rsidRPr="008E06F0">
        <w:rPr>
          <w:rFonts w:ascii="David" w:hAnsi="David" w:cs="David"/>
          <w:rtl/>
        </w:rPr>
        <w:t xml:space="preserve"> </w:t>
      </w:r>
      <w:r w:rsidR="00132E3B" w:rsidRPr="008E06F0">
        <w:rPr>
          <w:rFonts w:ascii="David" w:hAnsi="David" w:cs="David"/>
          <w:rtl/>
        </w:rPr>
        <w:t>ומההכרזה על המגבלות ואילך</w:t>
      </w:r>
      <w:r w:rsidR="00FE6832">
        <w:rPr>
          <w:rFonts w:ascii="David" w:hAnsi="David" w:cs="David" w:hint="cs"/>
          <w:rtl/>
        </w:rPr>
        <w:t xml:space="preserve"> - </w:t>
      </w:r>
      <w:r w:rsidR="00132E3B" w:rsidRPr="008E06F0">
        <w:rPr>
          <w:rFonts w:ascii="David" w:hAnsi="David" w:cs="David"/>
          <w:rtl/>
        </w:rPr>
        <w:t xml:space="preserve"> ניתן להבחין ב</w:t>
      </w:r>
      <w:r w:rsidR="00CF51FC" w:rsidRPr="008E06F0">
        <w:rPr>
          <w:rFonts w:ascii="David" w:hAnsi="David" w:cs="David"/>
          <w:rtl/>
        </w:rPr>
        <w:t>ירידה ממוצעת של כ</w:t>
      </w:r>
      <w:r w:rsidRPr="008E06F0">
        <w:rPr>
          <w:rFonts w:ascii="David" w:hAnsi="David" w:cs="David"/>
          <w:rtl/>
        </w:rPr>
        <w:t>-</w:t>
      </w:r>
      <w:r w:rsidR="0005135A" w:rsidRPr="008E06F0">
        <w:rPr>
          <w:rFonts w:ascii="David" w:hAnsi="David" w:cs="David"/>
          <w:rtl/>
        </w:rPr>
        <w:t>30 א</w:t>
      </w:r>
      <w:r w:rsidRPr="008E06F0">
        <w:rPr>
          <w:rFonts w:ascii="David" w:hAnsi="David" w:cs="David"/>
          <w:rtl/>
        </w:rPr>
        <w:t>חוזים</w:t>
      </w:r>
      <w:r w:rsidR="005B2DE3" w:rsidRPr="008E06F0">
        <w:rPr>
          <w:rFonts w:ascii="David" w:hAnsi="David" w:cs="David"/>
          <w:rtl/>
        </w:rPr>
        <w:t xml:space="preserve"> מהפעילות הכוללת </w:t>
      </w:r>
      <w:r w:rsidR="00FC6914">
        <w:rPr>
          <w:rFonts w:ascii="David" w:hAnsi="David" w:cs="David" w:hint="cs"/>
          <w:rtl/>
        </w:rPr>
        <w:t xml:space="preserve">בכרטיסי חיוב </w:t>
      </w:r>
      <w:r w:rsidR="005B2DE3" w:rsidRPr="008E06F0">
        <w:rPr>
          <w:rFonts w:ascii="David" w:hAnsi="David" w:cs="David"/>
          <w:rtl/>
        </w:rPr>
        <w:t>בתקופת ההסגר</w:t>
      </w:r>
      <w:r w:rsidR="00FE6832">
        <w:rPr>
          <w:rFonts w:ascii="David" w:hAnsi="David" w:cs="David" w:hint="cs"/>
          <w:rtl/>
        </w:rPr>
        <w:t>.</w:t>
      </w:r>
      <w:r w:rsidR="003E521A" w:rsidRPr="008E06F0">
        <w:rPr>
          <w:rFonts w:ascii="David" w:hAnsi="David" w:cs="David"/>
          <w:rtl/>
        </w:rPr>
        <w:t xml:space="preserve"> מדובר על ירידה </w:t>
      </w:r>
      <w:r w:rsidR="00132E3B" w:rsidRPr="008E06F0">
        <w:rPr>
          <w:rFonts w:ascii="David" w:hAnsi="David" w:cs="David"/>
          <w:rtl/>
        </w:rPr>
        <w:t xml:space="preserve">בהיקף עסקאות </w:t>
      </w:r>
      <w:r w:rsidR="00175C31" w:rsidRPr="008E06F0">
        <w:rPr>
          <w:rFonts w:ascii="David" w:hAnsi="David" w:cs="David"/>
          <w:rtl/>
        </w:rPr>
        <w:t>מ</w:t>
      </w:r>
      <w:r w:rsidR="003E521A" w:rsidRPr="008E06F0">
        <w:rPr>
          <w:rFonts w:ascii="David" w:hAnsi="David" w:cs="David"/>
          <w:rtl/>
        </w:rPr>
        <w:t>כ-1.1 מיליארד</w:t>
      </w:r>
      <w:r w:rsidR="00132E3B" w:rsidRPr="008E06F0">
        <w:rPr>
          <w:rFonts w:ascii="David" w:hAnsi="David" w:cs="David"/>
          <w:rtl/>
        </w:rPr>
        <w:t>י ש"ח</w:t>
      </w:r>
      <w:r w:rsidR="003E521A" w:rsidRPr="008E06F0">
        <w:rPr>
          <w:rFonts w:ascii="David" w:hAnsi="David" w:cs="David"/>
          <w:rtl/>
        </w:rPr>
        <w:t xml:space="preserve">  ליום </w:t>
      </w:r>
      <w:r w:rsidR="007F5705" w:rsidRPr="008E06F0">
        <w:rPr>
          <w:rFonts w:ascii="David" w:hAnsi="David" w:cs="David"/>
          <w:rtl/>
        </w:rPr>
        <w:t>ל-</w:t>
      </w:r>
      <w:r w:rsidR="0005135A" w:rsidRPr="008E06F0">
        <w:rPr>
          <w:rFonts w:ascii="David" w:hAnsi="David" w:cs="David"/>
          <w:rtl/>
        </w:rPr>
        <w:t>786</w:t>
      </w:r>
      <w:r w:rsidR="003E521A" w:rsidRPr="008E06F0">
        <w:rPr>
          <w:rFonts w:ascii="David" w:hAnsi="David" w:cs="David"/>
          <w:rtl/>
        </w:rPr>
        <w:t xml:space="preserve"> </w:t>
      </w:r>
      <w:r w:rsidR="00132E3B" w:rsidRPr="008E06F0">
        <w:rPr>
          <w:rFonts w:ascii="David" w:hAnsi="David" w:cs="David"/>
          <w:rtl/>
        </w:rPr>
        <w:t>מיליוני ש"ח</w:t>
      </w:r>
      <w:r w:rsidR="005B2DE3" w:rsidRPr="008E06F0">
        <w:rPr>
          <w:rFonts w:ascii="David" w:hAnsi="David" w:cs="David"/>
          <w:rtl/>
        </w:rPr>
        <w:t xml:space="preserve"> בממוצע בתקופת ההסגר.</w:t>
      </w:r>
    </w:p>
    <w:p w:rsidR="001973CC" w:rsidRDefault="001973CC" w:rsidP="00FE6832">
      <w:pPr>
        <w:spacing w:line="360" w:lineRule="auto"/>
        <w:jc w:val="both"/>
        <w:rPr>
          <w:rFonts w:ascii="David" w:hAnsi="David" w:cs="David"/>
          <w:rtl/>
        </w:rPr>
      </w:pPr>
      <w:r w:rsidRPr="00805006">
        <w:rPr>
          <w:rFonts w:ascii="David" w:hAnsi="David" w:cs="David" w:hint="cs"/>
          <w:rtl/>
        </w:rPr>
        <w:t>נתונים</w:t>
      </w:r>
      <w:r w:rsidRPr="00805006">
        <w:rPr>
          <w:rFonts w:ascii="David" w:hAnsi="David" w:cs="David"/>
          <w:rtl/>
        </w:rPr>
        <w:t xml:space="preserve"> אלו משמשים </w:t>
      </w:r>
      <w:r w:rsidRPr="00805006">
        <w:rPr>
          <w:rFonts w:ascii="David" w:hAnsi="David" w:cs="David" w:hint="cs"/>
          <w:rtl/>
        </w:rPr>
        <w:t>את בנק ישראל</w:t>
      </w:r>
      <w:r>
        <w:rPr>
          <w:rFonts w:ascii="David" w:hAnsi="David" w:cs="David"/>
          <w:rtl/>
        </w:rPr>
        <w:t xml:space="preserve"> לזהות סיכונים </w:t>
      </w:r>
      <w:r>
        <w:rPr>
          <w:rFonts w:ascii="David" w:hAnsi="David" w:cs="David" w:hint="cs"/>
          <w:rtl/>
        </w:rPr>
        <w:t>במערכת הפיננסית, לרבות סיכוני אשראי</w:t>
      </w:r>
      <w:r w:rsidRPr="00805006">
        <w:rPr>
          <w:rFonts w:ascii="David" w:hAnsi="David" w:cs="David"/>
          <w:rtl/>
        </w:rPr>
        <w:t>,  לתקף את תחזיות הצמיחה למשק</w:t>
      </w:r>
      <w:r w:rsidR="00FE6832">
        <w:rPr>
          <w:rFonts w:ascii="David" w:hAnsi="David" w:cs="David" w:hint="cs"/>
          <w:rtl/>
        </w:rPr>
        <w:t>,</w:t>
      </w:r>
      <w:r w:rsidRPr="00805006">
        <w:rPr>
          <w:rFonts w:ascii="David" w:hAnsi="David" w:cs="David"/>
          <w:rtl/>
        </w:rPr>
        <w:t xml:space="preserve"> </w:t>
      </w:r>
      <w:r w:rsidR="00FE6832">
        <w:rPr>
          <w:rFonts w:ascii="David" w:hAnsi="David" w:cs="David" w:hint="cs"/>
          <w:rtl/>
        </w:rPr>
        <w:t xml:space="preserve">והמליץ על </w:t>
      </w:r>
      <w:r w:rsidRPr="00805006">
        <w:rPr>
          <w:rFonts w:ascii="David" w:hAnsi="David" w:cs="David"/>
          <w:rtl/>
        </w:rPr>
        <w:t xml:space="preserve">צעדי מדיניות </w:t>
      </w:r>
      <w:r w:rsidR="00FE6832">
        <w:rPr>
          <w:rFonts w:ascii="David" w:hAnsi="David" w:cs="David" w:hint="cs"/>
          <w:rtl/>
        </w:rPr>
        <w:t>בהתאם למידת הפגיעה בכל ענף</w:t>
      </w:r>
      <w:r w:rsidRPr="00805006">
        <w:rPr>
          <w:rFonts w:ascii="David" w:hAnsi="David" w:cs="David"/>
          <w:rtl/>
        </w:rPr>
        <w:t>.</w:t>
      </w:r>
      <w:r>
        <w:rPr>
          <w:rFonts w:ascii="David" w:hAnsi="David" w:cs="David" w:hint="cs"/>
          <w:rtl/>
        </w:rPr>
        <w:t xml:space="preserve"> </w:t>
      </w:r>
      <w:r w:rsidR="00FE6832">
        <w:rPr>
          <w:rFonts w:ascii="David" w:hAnsi="David" w:cs="David" w:hint="cs"/>
          <w:rtl/>
        </w:rPr>
        <w:t xml:space="preserve">כשתחל </w:t>
      </w:r>
      <w:r w:rsidR="00684E36">
        <w:rPr>
          <w:rFonts w:ascii="David" w:hAnsi="David" w:cs="David" w:hint="cs"/>
          <w:rtl/>
        </w:rPr>
        <w:t>מג</w:t>
      </w:r>
      <w:r w:rsidR="00684E36">
        <w:rPr>
          <w:rFonts w:ascii="David" w:hAnsi="David" w:cs="David" w:hint="eastAsia"/>
          <w:rtl/>
        </w:rPr>
        <w:t>מה</w:t>
      </w:r>
      <w:r w:rsidR="00FC6914">
        <w:rPr>
          <w:rFonts w:ascii="David" w:hAnsi="David" w:cs="David" w:hint="cs"/>
          <w:rtl/>
        </w:rPr>
        <w:t xml:space="preserve"> של </w:t>
      </w:r>
      <w:r>
        <w:rPr>
          <w:rFonts w:ascii="David" w:hAnsi="David" w:cs="David" w:hint="cs"/>
          <w:rtl/>
        </w:rPr>
        <w:t xml:space="preserve">חזרה לפעילות של המשק </w:t>
      </w:r>
      <w:r w:rsidR="00FE6832">
        <w:rPr>
          <w:rFonts w:ascii="David" w:hAnsi="David" w:cs="David" w:hint="cs"/>
          <w:rtl/>
        </w:rPr>
        <w:t xml:space="preserve">היא </w:t>
      </w:r>
      <w:r w:rsidR="00080D6B">
        <w:rPr>
          <w:rFonts w:ascii="David" w:hAnsi="David" w:cs="David" w:hint="cs"/>
          <w:rtl/>
        </w:rPr>
        <w:t>צ</w:t>
      </w:r>
      <w:r>
        <w:rPr>
          <w:rFonts w:ascii="David" w:hAnsi="David" w:cs="David" w:hint="cs"/>
          <w:rtl/>
        </w:rPr>
        <w:t xml:space="preserve">פויה להשתקף גם כן בנתונים אלו. בכוונתו </w:t>
      </w:r>
      <w:r w:rsidR="00FC6914">
        <w:rPr>
          <w:rFonts w:ascii="David" w:hAnsi="David" w:cs="David" w:hint="cs"/>
          <w:rtl/>
        </w:rPr>
        <w:t xml:space="preserve">של בנק ישראל </w:t>
      </w:r>
      <w:r>
        <w:rPr>
          <w:rFonts w:ascii="David" w:hAnsi="David" w:cs="David" w:hint="cs"/>
          <w:rtl/>
        </w:rPr>
        <w:t xml:space="preserve">לעדכן ולפרסם נתונים אלו בהמשך. </w:t>
      </w:r>
    </w:p>
    <w:p w:rsidR="001973CC" w:rsidRPr="008E06F0" w:rsidRDefault="001973CC" w:rsidP="00132E3B">
      <w:pPr>
        <w:spacing w:line="360" w:lineRule="auto"/>
        <w:jc w:val="both"/>
        <w:rPr>
          <w:rFonts w:ascii="David" w:hAnsi="David" w:cs="David"/>
          <w:rtl/>
        </w:rPr>
      </w:pPr>
    </w:p>
    <w:tbl>
      <w:tblPr>
        <w:bidiVisual/>
        <w:tblW w:w="93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4"/>
        <w:gridCol w:w="1285"/>
        <w:gridCol w:w="1594"/>
        <w:gridCol w:w="1106"/>
        <w:gridCol w:w="715"/>
        <w:gridCol w:w="1203"/>
        <w:gridCol w:w="715"/>
        <w:gridCol w:w="715"/>
        <w:gridCol w:w="715"/>
      </w:tblGrid>
      <w:tr w:rsidR="001B29C2" w:rsidRPr="008E06F0" w:rsidTr="001973CC">
        <w:trPr>
          <w:trHeight w:val="240"/>
        </w:trPr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bottom"/>
              <w:rPr>
                <w:rFonts w:ascii="David" w:eastAsia="Times New Roman" w:hAnsi="David" w:cs="David"/>
                <w:sz w:val="36"/>
                <w:szCs w:val="36"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הוצאה יומית ממוצעת במיליונים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בתי מרקחת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פנאי וחינוך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רשתות מזון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מסעדות</w:t>
            </w:r>
          </w:p>
        </w:tc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תיירות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חשמל, ביגוד, ריהוט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7F5705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 xml:space="preserve">דלק </w:t>
            </w:r>
            <w:r w:rsidR="001B29C2"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תחבורה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סה"כ</w:t>
            </w:r>
          </w:p>
        </w:tc>
      </w:tr>
      <w:tr w:rsidR="007F5705" w:rsidRPr="008E06F0" w:rsidTr="001973CC">
        <w:trPr>
          <w:trHeight w:val="240"/>
        </w:trPr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bottom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מתחילת השנה עד ההכרזה על המגבלות (16/03)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21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31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189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B40959" w:rsidRDefault="00684E36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>6</w:t>
            </w:r>
            <w:r w:rsidR="00B40959">
              <w:rPr>
                <w:rFonts w:ascii="David" w:eastAsia="Times New Roman" w:hAnsi="David" w:cs="David" w:hint="cs"/>
                <w:sz w:val="20"/>
                <w:szCs w:val="20"/>
                <w:rtl/>
              </w:rPr>
              <w:t>0</w:t>
            </w:r>
          </w:p>
        </w:tc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44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111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684E36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64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1133</w:t>
            </w:r>
          </w:p>
        </w:tc>
      </w:tr>
      <w:tr w:rsidR="007F5705" w:rsidRPr="008E06F0" w:rsidTr="001973CC">
        <w:trPr>
          <w:trHeight w:val="145"/>
        </w:trPr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B29C2" w:rsidRPr="008E06F0" w:rsidRDefault="001B29C2" w:rsidP="001B29C2">
            <w:pPr>
              <w:spacing w:after="0" w:line="240" w:lineRule="auto"/>
              <w:jc w:val="center"/>
              <w:textAlignment w:val="bottom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תקופת ההסגר</w:t>
            </w:r>
            <w:r w:rsidR="00422305"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 xml:space="preserve"> (16/03 – 19/04)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21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10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237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16</w:t>
            </w:r>
          </w:p>
        </w:tc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14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59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29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B29C2" w:rsidRPr="008E06F0" w:rsidRDefault="008E06F0" w:rsidP="001B29C2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786</w:t>
            </w:r>
          </w:p>
        </w:tc>
      </w:tr>
      <w:tr w:rsidR="0042526B" w:rsidRPr="008E06F0" w:rsidTr="001973CC">
        <w:trPr>
          <w:trHeight w:val="145"/>
        </w:trPr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bottom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הפרש (במיליונים)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8E06F0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0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21-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48+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43-</w:t>
            </w:r>
          </w:p>
        </w:tc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8E06F0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30</w:t>
            </w:r>
            <w:r w:rsidR="0042526B"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51-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35-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34</w:t>
            </w:r>
            <w:r w:rsidR="008E06F0">
              <w:rPr>
                <w:rFonts w:ascii="David" w:eastAsia="Times New Roman" w:hAnsi="David" w:cs="David" w:hint="cs"/>
                <w:color w:val="000000" w:themeColor="dark1"/>
                <w:kern w:val="24"/>
                <w:sz w:val="20"/>
                <w:szCs w:val="20"/>
                <w:rtl/>
              </w:rPr>
              <w:t>7</w:t>
            </w: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-</w:t>
            </w:r>
          </w:p>
        </w:tc>
      </w:tr>
      <w:tr w:rsidR="0042526B" w:rsidRPr="008E06F0" w:rsidTr="001973CC">
        <w:trPr>
          <w:trHeight w:val="145"/>
        </w:trPr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bottom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הפרש (אחוזים)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0%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69%-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8E06F0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+25%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73%-</w:t>
            </w:r>
          </w:p>
        </w:tc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68%-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46%-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55%-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2526B" w:rsidRPr="008E06F0" w:rsidRDefault="0042526B" w:rsidP="0042526B">
            <w:pPr>
              <w:spacing w:after="0" w:line="240" w:lineRule="auto"/>
              <w:jc w:val="center"/>
              <w:textAlignment w:val="top"/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</w:pPr>
            <w:r w:rsidRPr="008E06F0">
              <w:rPr>
                <w:rFonts w:ascii="David" w:eastAsia="Times New Roman" w:hAnsi="David" w:cs="David"/>
                <w:color w:val="000000" w:themeColor="dark1"/>
                <w:kern w:val="24"/>
                <w:sz w:val="20"/>
                <w:szCs w:val="20"/>
                <w:rtl/>
              </w:rPr>
              <w:t>31%-</w:t>
            </w:r>
          </w:p>
        </w:tc>
      </w:tr>
    </w:tbl>
    <w:p w:rsidR="001B29C2" w:rsidRDefault="001B29C2" w:rsidP="001B29C2">
      <w:pPr>
        <w:spacing w:line="360" w:lineRule="auto"/>
        <w:jc w:val="both"/>
        <w:rPr>
          <w:rFonts w:ascii="David" w:hAnsi="David" w:cs="David"/>
          <w:rtl/>
        </w:rPr>
      </w:pPr>
    </w:p>
    <w:p w:rsidR="008E06F0" w:rsidRDefault="008E06F0" w:rsidP="00C31825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</w:rPr>
        <w:drawing>
          <wp:inline distT="0" distB="0" distL="0" distR="0" wp14:anchorId="08D8D9DB" wp14:editId="022A6C65">
            <wp:extent cx="5543550" cy="30496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878" cy="3057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6F0" w:rsidRPr="001973CC" w:rsidRDefault="001973CC" w:rsidP="00FE6832">
      <w:pPr>
        <w:pStyle w:val="a3"/>
        <w:spacing w:line="360" w:lineRule="auto"/>
        <w:ind w:left="108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 w:rsidR="00FE6832">
        <w:rPr>
          <w:rFonts w:ascii="David" w:hAnsi="David" w:cs="David" w:hint="cs"/>
          <w:rtl/>
        </w:rPr>
        <w:t xml:space="preserve"> מקור: נתוני שב"א ועיבודי בנק ישראל</w:t>
      </w:r>
    </w:p>
    <w:sectPr w:rsidR="008E06F0" w:rsidRPr="001973CC" w:rsidSect="00E763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96D25"/>
    <w:multiLevelType w:val="hybridMultilevel"/>
    <w:tmpl w:val="480AFE10"/>
    <w:lvl w:ilvl="0" w:tplc="CCCEBAF8">
      <w:start w:val="346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2548D7"/>
    <w:multiLevelType w:val="hybridMultilevel"/>
    <w:tmpl w:val="25989258"/>
    <w:lvl w:ilvl="0" w:tplc="C91CED6A">
      <w:start w:val="1"/>
      <w:numFmt w:val="bullet"/>
      <w:lvlText w:val="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color w:val="auto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0754D"/>
    <w:multiLevelType w:val="hybridMultilevel"/>
    <w:tmpl w:val="D0002A0C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 w15:restartNumberingAfterBreak="0">
    <w:nsid w:val="78825C35"/>
    <w:multiLevelType w:val="hybridMultilevel"/>
    <w:tmpl w:val="2DEAC30E"/>
    <w:lvl w:ilvl="0" w:tplc="06F4274E">
      <w:start w:val="34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3D"/>
    <w:rsid w:val="0005135A"/>
    <w:rsid w:val="00080D6B"/>
    <w:rsid w:val="00132E3B"/>
    <w:rsid w:val="001609FD"/>
    <w:rsid w:val="00175C31"/>
    <w:rsid w:val="00193C1F"/>
    <w:rsid w:val="0019443F"/>
    <w:rsid w:val="001973CC"/>
    <w:rsid w:val="001A5251"/>
    <w:rsid w:val="001B29C2"/>
    <w:rsid w:val="001C31BF"/>
    <w:rsid w:val="001C33D4"/>
    <w:rsid w:val="001D10F3"/>
    <w:rsid w:val="00244876"/>
    <w:rsid w:val="00246674"/>
    <w:rsid w:val="003E521A"/>
    <w:rsid w:val="00422305"/>
    <w:rsid w:val="0042396C"/>
    <w:rsid w:val="0042526B"/>
    <w:rsid w:val="004D1A32"/>
    <w:rsid w:val="0050674A"/>
    <w:rsid w:val="005B2DE3"/>
    <w:rsid w:val="00684E36"/>
    <w:rsid w:val="00717442"/>
    <w:rsid w:val="007575B8"/>
    <w:rsid w:val="007F5705"/>
    <w:rsid w:val="00805006"/>
    <w:rsid w:val="008875BC"/>
    <w:rsid w:val="008A409B"/>
    <w:rsid w:val="008E06F0"/>
    <w:rsid w:val="009906D3"/>
    <w:rsid w:val="009B78DE"/>
    <w:rsid w:val="00A314C5"/>
    <w:rsid w:val="00A7364B"/>
    <w:rsid w:val="00AA5010"/>
    <w:rsid w:val="00AC0E1C"/>
    <w:rsid w:val="00B1130A"/>
    <w:rsid w:val="00B11E3D"/>
    <w:rsid w:val="00B13CC7"/>
    <w:rsid w:val="00B15937"/>
    <w:rsid w:val="00B40959"/>
    <w:rsid w:val="00B47276"/>
    <w:rsid w:val="00B64093"/>
    <w:rsid w:val="00B74F0A"/>
    <w:rsid w:val="00C31825"/>
    <w:rsid w:val="00CB52DD"/>
    <w:rsid w:val="00CE241A"/>
    <w:rsid w:val="00CF51FC"/>
    <w:rsid w:val="00D659CF"/>
    <w:rsid w:val="00E24E70"/>
    <w:rsid w:val="00E763F5"/>
    <w:rsid w:val="00F547C3"/>
    <w:rsid w:val="00F907E8"/>
    <w:rsid w:val="00FC6914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78990-3592-4568-B851-B0754EF4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1A"/>
    <w:pPr>
      <w:spacing w:after="160" w:line="259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CE241A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1B29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2E3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32E3B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8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78DE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9B78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8DE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9B7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aveListOrderValue xmlns="http://schemas.microsoft.com/sharepoint/v3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E77ACC-7C19-48A1-B858-87FCCB9BA93B}"/>
</file>

<file path=customXml/itemProps2.xml><?xml version="1.0" encoding="utf-8"?>
<ds:datastoreItem xmlns:ds="http://schemas.openxmlformats.org/officeDocument/2006/customXml" ds:itemID="{C668ED95-FCCA-4ECD-9C73-9DE088EA15A9}"/>
</file>

<file path=customXml/itemProps3.xml><?xml version="1.0" encoding="utf-8"?>
<ds:datastoreItem xmlns:ds="http://schemas.openxmlformats.org/officeDocument/2006/customXml" ds:itemID="{FE55607D-4796-4A4C-8725-12E64F1D180D}"/>
</file>

<file path=customXml/itemProps4.xml><?xml version="1.0" encoding="utf-8"?>
<ds:datastoreItem xmlns:ds="http://schemas.openxmlformats.org/officeDocument/2006/customXml" ds:itemID="{52E4BB29-600C-490A-8FF3-6F97746F7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רועי פריברג</dc:creator>
  <cp:keywords/>
  <dc:description/>
  <cp:lastModifiedBy>boiuser</cp:lastModifiedBy>
  <cp:revision>2</cp:revision>
  <dcterms:created xsi:type="dcterms:W3CDTF">2020-04-22T08:31:00Z</dcterms:created>
  <dcterms:modified xsi:type="dcterms:W3CDTF">2020-04-22T08:31:00Z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