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43A58" w:rsidTr="0029736D">
        <w:tc>
          <w:tcPr>
            <w:tcW w:w="3343" w:type="dxa"/>
            <w:tcBorders>
              <w:top w:val="nil"/>
              <w:left w:val="nil"/>
              <w:bottom w:val="nil"/>
              <w:right w:val="nil"/>
            </w:tcBorders>
            <w:vAlign w:val="center"/>
          </w:tcPr>
          <w:p w:rsidR="009005BA" w:rsidRPr="00E43A58" w:rsidRDefault="009005BA" w:rsidP="0029736D">
            <w:pPr>
              <w:rPr>
                <w:rFonts w:ascii="Calibri" w:hAnsi="Calibri" w:cs="Calibri"/>
                <w:b/>
                <w:bCs/>
                <w:rtl/>
              </w:rPr>
            </w:pPr>
            <w:r w:rsidRPr="00E43A58">
              <w:rPr>
                <w:rFonts w:ascii="Calibri" w:hAnsi="Calibri" w:cs="Calibri"/>
                <w:b/>
                <w:bCs/>
                <w:rtl/>
              </w:rPr>
              <w:t>בנק ישראל</w:t>
            </w:r>
          </w:p>
          <w:p w:rsidR="009005BA" w:rsidRPr="00E43A58" w:rsidRDefault="009005BA" w:rsidP="0029736D">
            <w:pPr>
              <w:rPr>
                <w:rFonts w:ascii="Calibri" w:hAnsi="Calibri" w:cs="Calibri"/>
                <w:b/>
                <w:bCs/>
              </w:rPr>
            </w:pPr>
            <w:r w:rsidRPr="00E43A58">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43A58" w:rsidRDefault="009005BA" w:rsidP="0029736D">
            <w:pPr>
              <w:jc w:val="center"/>
              <w:rPr>
                <w:rFonts w:ascii="Calibri" w:hAnsi="Calibri" w:cs="Calibri"/>
              </w:rPr>
            </w:pPr>
            <w:r w:rsidRPr="00E43A58">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43A58" w:rsidRDefault="009005BA" w:rsidP="009005BA">
            <w:pPr>
              <w:jc w:val="right"/>
              <w:rPr>
                <w:rFonts w:ascii="Calibri" w:hAnsi="Calibri" w:cs="Calibri"/>
                <w:rtl/>
              </w:rPr>
            </w:pPr>
            <w:r w:rsidRPr="00E43A58">
              <w:rPr>
                <w:rFonts w:ascii="Calibri" w:hAnsi="Calibri" w:cs="Calibri"/>
                <w:highlight w:val="green"/>
                <w:rtl/>
              </w:rPr>
              <w:t>‏</w:t>
            </w:r>
            <w:r w:rsidRPr="00E43A58">
              <w:rPr>
                <w:rFonts w:ascii="Calibri" w:hAnsi="Calibri" w:cs="Calibri"/>
                <w:rtl/>
              </w:rPr>
              <w:t xml:space="preserve">ירושלים, </w:t>
            </w:r>
            <w:r w:rsidRPr="00E43A58">
              <w:rPr>
                <w:rFonts w:ascii="Calibri" w:hAnsi="Calibri" w:cs="Calibri"/>
                <w:rtl/>
              </w:rPr>
              <w:fldChar w:fldCharType="begin"/>
            </w:r>
            <w:r w:rsidRPr="00E43A58">
              <w:rPr>
                <w:rFonts w:ascii="Calibri" w:hAnsi="Calibri" w:cs="Calibri"/>
                <w:rtl/>
              </w:rPr>
              <w:instrText xml:space="preserve"> </w:instrText>
            </w:r>
            <w:r w:rsidRPr="00E43A58">
              <w:rPr>
                <w:rFonts w:ascii="Calibri" w:hAnsi="Calibri" w:cs="Calibri"/>
              </w:rPr>
              <w:instrText>DATE</w:instrText>
            </w:r>
            <w:r w:rsidRPr="00E43A58">
              <w:rPr>
                <w:rFonts w:ascii="Calibri" w:hAnsi="Calibri" w:cs="Calibri"/>
                <w:rtl/>
              </w:rPr>
              <w:instrText xml:space="preserve"> \@ "</w:instrText>
            </w:r>
            <w:r w:rsidRPr="00E43A58">
              <w:rPr>
                <w:rFonts w:ascii="Calibri" w:hAnsi="Calibri" w:cs="Calibri"/>
              </w:rPr>
              <w:instrText>d MMMM, yyyy" \h</w:instrText>
            </w:r>
            <w:r w:rsidRPr="00E43A58">
              <w:rPr>
                <w:rFonts w:ascii="Calibri" w:hAnsi="Calibri" w:cs="Calibri"/>
                <w:rtl/>
              </w:rPr>
              <w:instrText xml:space="preserve"> </w:instrText>
            </w:r>
            <w:r w:rsidRPr="00E43A58">
              <w:rPr>
                <w:rFonts w:ascii="Calibri" w:hAnsi="Calibri" w:cs="Calibri"/>
                <w:rtl/>
              </w:rPr>
              <w:fldChar w:fldCharType="separate"/>
            </w:r>
            <w:r w:rsidR="00E43A58" w:rsidRPr="00E43A58">
              <w:rPr>
                <w:rFonts w:ascii="Calibri" w:hAnsi="Calibri" w:cs="Calibri"/>
                <w:noProof/>
                <w:rtl/>
              </w:rPr>
              <w:t>‏כ"ז סיון, תשפ"ה</w:t>
            </w:r>
            <w:r w:rsidRPr="00E43A58">
              <w:rPr>
                <w:rFonts w:ascii="Calibri" w:hAnsi="Calibri" w:cs="Calibri"/>
                <w:rtl/>
              </w:rPr>
              <w:fldChar w:fldCharType="end"/>
            </w:r>
          </w:p>
          <w:p w:rsidR="009005BA" w:rsidRPr="00E43A58" w:rsidRDefault="009005BA" w:rsidP="009005BA">
            <w:pPr>
              <w:jc w:val="right"/>
              <w:rPr>
                <w:rFonts w:ascii="Calibri" w:hAnsi="Calibri" w:cs="Calibri"/>
                <w:highlight w:val="green"/>
              </w:rPr>
            </w:pPr>
            <w:r w:rsidRPr="00E43A58">
              <w:rPr>
                <w:rFonts w:ascii="Calibri" w:hAnsi="Calibri" w:cs="Calibri"/>
                <w:rtl/>
              </w:rPr>
              <w:fldChar w:fldCharType="begin"/>
            </w:r>
            <w:r w:rsidRPr="00E43A58">
              <w:rPr>
                <w:rFonts w:ascii="Calibri" w:hAnsi="Calibri" w:cs="Calibri"/>
                <w:rtl/>
              </w:rPr>
              <w:instrText xml:space="preserve"> </w:instrText>
            </w:r>
            <w:r w:rsidRPr="00E43A58">
              <w:rPr>
                <w:rFonts w:ascii="Calibri" w:hAnsi="Calibri" w:cs="Calibri"/>
              </w:rPr>
              <w:instrText>DATE</w:instrText>
            </w:r>
            <w:r w:rsidRPr="00E43A58">
              <w:rPr>
                <w:rFonts w:ascii="Calibri" w:hAnsi="Calibri" w:cs="Calibri"/>
                <w:rtl/>
              </w:rPr>
              <w:instrText xml:space="preserve"> \@ "</w:instrText>
            </w:r>
            <w:r w:rsidRPr="00E43A58">
              <w:rPr>
                <w:rFonts w:ascii="Calibri" w:hAnsi="Calibri" w:cs="Calibri"/>
              </w:rPr>
              <w:instrText>d MMMM, yyyy</w:instrText>
            </w:r>
            <w:r w:rsidRPr="00E43A58">
              <w:rPr>
                <w:rFonts w:ascii="Calibri" w:hAnsi="Calibri" w:cs="Calibri"/>
                <w:rtl/>
              </w:rPr>
              <w:instrText xml:space="preserve">" </w:instrText>
            </w:r>
            <w:r w:rsidRPr="00E43A58">
              <w:rPr>
                <w:rFonts w:ascii="Calibri" w:hAnsi="Calibri" w:cs="Calibri"/>
                <w:rtl/>
              </w:rPr>
              <w:fldChar w:fldCharType="separate"/>
            </w:r>
            <w:r w:rsidR="00E43A58" w:rsidRPr="00E43A58">
              <w:rPr>
                <w:rFonts w:ascii="Calibri" w:hAnsi="Calibri" w:cs="Calibri"/>
                <w:noProof/>
                <w:rtl/>
              </w:rPr>
              <w:t>‏23 יוני, 2025</w:t>
            </w:r>
            <w:r w:rsidRPr="00E43A58">
              <w:rPr>
                <w:rFonts w:ascii="Calibri" w:hAnsi="Calibri" w:cs="Calibri"/>
                <w:rtl/>
              </w:rPr>
              <w:fldChar w:fldCharType="end"/>
            </w:r>
          </w:p>
        </w:tc>
      </w:tr>
    </w:tbl>
    <w:p w:rsidR="009005BA" w:rsidRPr="00E43A58" w:rsidRDefault="009005BA" w:rsidP="007B0741">
      <w:pPr>
        <w:tabs>
          <w:tab w:val="left" w:pos="2315"/>
        </w:tabs>
        <w:rPr>
          <w:rFonts w:ascii="Calibri" w:hAnsi="Calibri" w:cs="Calibri"/>
          <w:rtl/>
        </w:rPr>
      </w:pPr>
    </w:p>
    <w:p w:rsidR="00D66255" w:rsidRPr="00E43A58" w:rsidRDefault="008E761A" w:rsidP="009005BA">
      <w:pPr>
        <w:tabs>
          <w:tab w:val="left" w:pos="2315"/>
        </w:tabs>
        <w:rPr>
          <w:rFonts w:ascii="Calibri" w:hAnsi="Calibri" w:cs="Calibri"/>
          <w:rtl/>
        </w:rPr>
      </w:pPr>
      <w:r w:rsidRPr="00E43A58">
        <w:rPr>
          <w:rFonts w:ascii="Calibri" w:hAnsi="Calibri" w:cs="Calibri"/>
          <w:rtl/>
        </w:rPr>
        <w:t>הודעה לעיתונות:</w:t>
      </w:r>
    </w:p>
    <w:p w:rsidR="00E43A58" w:rsidRPr="00E43A58" w:rsidRDefault="00E43A58" w:rsidP="00E43A58">
      <w:pPr>
        <w:pStyle w:val="af6"/>
        <w:rPr>
          <w:sz w:val="28"/>
          <w:szCs w:val="28"/>
          <w:rtl/>
        </w:rPr>
      </w:pPr>
      <w:bookmarkStart w:id="0" w:name="_GoBack"/>
      <w:r w:rsidRPr="00E43A58">
        <w:rPr>
          <w:sz w:val="28"/>
          <w:szCs w:val="28"/>
          <w:rtl/>
        </w:rPr>
        <w:t>התפתחות החוב של המגזר הפרטי הלא-פיננסי ברביע הראשון של 2025</w:t>
      </w:r>
    </w:p>
    <w:bookmarkEnd w:id="0"/>
    <w:p w:rsidR="00E43A58" w:rsidRPr="00E43A58" w:rsidRDefault="00E43A58" w:rsidP="00E43A58">
      <w:pPr>
        <w:spacing w:line="360" w:lineRule="auto"/>
        <w:jc w:val="both"/>
        <w:rPr>
          <w:rFonts w:ascii="Calibri" w:hAnsi="Calibri" w:cs="Calibri"/>
          <w:sz w:val="24"/>
          <w:szCs w:val="24"/>
          <w:highlight w:val="yellow"/>
          <w:rtl/>
        </w:rPr>
      </w:pPr>
    </w:p>
    <w:p w:rsidR="00E43A58" w:rsidRPr="00E43A58" w:rsidRDefault="00E43A58" w:rsidP="00E43A58">
      <w:pPr>
        <w:spacing w:line="360" w:lineRule="auto"/>
        <w:jc w:val="both"/>
        <w:rPr>
          <w:rFonts w:ascii="Calibri" w:hAnsi="Calibri" w:cs="Calibri"/>
          <w:sz w:val="24"/>
          <w:szCs w:val="24"/>
          <w:rtl/>
        </w:rPr>
      </w:pPr>
      <w:r w:rsidRPr="00E43A58">
        <w:rPr>
          <w:rFonts w:ascii="Calibri" w:hAnsi="Calibri" w:cs="Calibri"/>
          <w:sz w:val="24"/>
          <w:szCs w:val="24"/>
          <w:rtl/>
        </w:rPr>
        <w:t>להלן תמצית ההתפתחויות בנתוני החוב של המגזר הפרטי הלא-פיננסי ברביע הראשון של השנה:</w:t>
      </w:r>
    </w:p>
    <w:p w:rsidR="00E43A58" w:rsidRPr="00E43A58" w:rsidRDefault="00E43A58" w:rsidP="00E43A58">
      <w:pPr>
        <w:pStyle w:val="a5"/>
        <w:numPr>
          <w:ilvl w:val="0"/>
          <w:numId w:val="35"/>
        </w:numPr>
        <w:spacing w:after="0" w:line="360" w:lineRule="auto"/>
        <w:jc w:val="both"/>
        <w:rPr>
          <w:rFonts w:ascii="Calibri" w:hAnsi="Calibri" w:cs="Calibri"/>
          <w:sz w:val="24"/>
          <w:szCs w:val="24"/>
        </w:rPr>
      </w:pPr>
      <w:r w:rsidRPr="00E43A58">
        <w:rPr>
          <w:rFonts w:ascii="Calibri" w:hAnsi="Calibri" w:cs="Calibri"/>
          <w:sz w:val="24"/>
          <w:szCs w:val="24"/>
          <w:rtl/>
        </w:rPr>
        <w:t xml:space="preserve">יתרת החוב של </w:t>
      </w:r>
      <w:r w:rsidRPr="00E43A58">
        <w:rPr>
          <w:rFonts w:ascii="Calibri" w:hAnsi="Calibri" w:cs="Calibri"/>
          <w:b/>
          <w:bCs/>
          <w:sz w:val="24"/>
          <w:szCs w:val="24"/>
          <w:rtl/>
        </w:rPr>
        <w:t>המגזר הפרטי הלא-פיננסי</w:t>
      </w:r>
      <w:r w:rsidRPr="00E43A58">
        <w:rPr>
          <w:rFonts w:ascii="Calibri" w:hAnsi="Calibri" w:cs="Calibri"/>
          <w:sz w:val="24"/>
          <w:szCs w:val="24"/>
          <w:rtl/>
        </w:rPr>
        <w:t xml:space="preserve"> (</w:t>
      </w:r>
      <w:r w:rsidRPr="00E43A58">
        <w:rPr>
          <w:rFonts w:ascii="Calibri" w:hAnsi="Calibri" w:cs="Calibri"/>
          <w:b/>
          <w:bCs/>
          <w:sz w:val="24"/>
          <w:szCs w:val="24"/>
          <w:rtl/>
        </w:rPr>
        <w:t>העסקי ומשקי הבית</w:t>
      </w:r>
      <w:r w:rsidRPr="00E43A58">
        <w:rPr>
          <w:rFonts w:ascii="Calibri" w:hAnsi="Calibri" w:cs="Calibri"/>
          <w:sz w:val="24"/>
          <w:szCs w:val="24"/>
          <w:rtl/>
        </w:rPr>
        <w:t xml:space="preserve">) גדלה ברביע הראשון של השנה לכ-2.3 טריליוני ש"ח (1.3%). שיעור הגידול השנתי ביתרת החוב המשיך להיות חיובי ועמד על כ-6.8% ברביע זה, אם כי נמוך מעט מזה שנרשם ברביע הקודם כ-7%. </w:t>
      </w:r>
    </w:p>
    <w:p w:rsidR="00E43A58" w:rsidRPr="00E43A58" w:rsidRDefault="00E43A58" w:rsidP="00E43A58">
      <w:pPr>
        <w:pStyle w:val="a5"/>
        <w:numPr>
          <w:ilvl w:val="0"/>
          <w:numId w:val="35"/>
        </w:numPr>
        <w:spacing w:after="0" w:line="360" w:lineRule="auto"/>
        <w:jc w:val="both"/>
        <w:rPr>
          <w:rFonts w:ascii="Calibri" w:hAnsi="Calibri" w:cs="Calibri"/>
          <w:sz w:val="24"/>
          <w:szCs w:val="24"/>
        </w:rPr>
      </w:pPr>
      <w:r w:rsidRPr="00E43A58">
        <w:rPr>
          <w:rFonts w:ascii="Calibri" w:hAnsi="Calibri" w:cs="Calibri"/>
          <w:sz w:val="24"/>
          <w:szCs w:val="24"/>
          <w:rtl/>
        </w:rPr>
        <w:t xml:space="preserve">יתרת </w:t>
      </w:r>
      <w:r w:rsidRPr="00E43A58">
        <w:rPr>
          <w:rFonts w:ascii="Calibri" w:hAnsi="Calibri" w:cs="Calibri"/>
          <w:b/>
          <w:bCs/>
          <w:sz w:val="24"/>
          <w:szCs w:val="24"/>
          <w:rtl/>
        </w:rPr>
        <w:t>החוב של המגזר העסקי</w:t>
      </w:r>
      <w:r w:rsidRPr="00E43A58">
        <w:rPr>
          <w:rFonts w:ascii="Calibri" w:hAnsi="Calibri" w:cs="Calibri"/>
          <w:sz w:val="24"/>
          <w:szCs w:val="24"/>
          <w:rtl/>
        </w:rPr>
        <w:t xml:space="preserve"> גדלה ברביע זה בשיעור של כ-1.5% (כ-21 מיליארדי ש"ח) לכ-1.4 טריליונים בעיקר כתוצאה מגיוסי חוב נטו שהורכבו מנטילת הלוואות בנקאיות וגיוסים באמצעות אג"ח סחירות בארץ.</w:t>
      </w:r>
    </w:p>
    <w:p w:rsidR="00E43A58" w:rsidRPr="00E43A58" w:rsidRDefault="00E43A58" w:rsidP="00E43A58">
      <w:pPr>
        <w:pStyle w:val="a5"/>
        <w:numPr>
          <w:ilvl w:val="0"/>
          <w:numId w:val="35"/>
        </w:numPr>
        <w:spacing w:after="0" w:line="360" w:lineRule="auto"/>
        <w:jc w:val="both"/>
        <w:rPr>
          <w:rFonts w:ascii="Calibri" w:hAnsi="Calibri" w:cs="Calibri"/>
          <w:sz w:val="24"/>
          <w:szCs w:val="24"/>
        </w:rPr>
      </w:pPr>
      <w:r w:rsidRPr="00E43A58">
        <w:rPr>
          <w:rFonts w:ascii="Calibri" w:hAnsi="Calibri" w:cs="Calibri"/>
          <w:sz w:val="24"/>
          <w:szCs w:val="24"/>
          <w:rtl/>
        </w:rPr>
        <w:t xml:space="preserve">הנפקות אג"ח של </w:t>
      </w:r>
      <w:r w:rsidRPr="00E43A58">
        <w:rPr>
          <w:rFonts w:ascii="Calibri" w:hAnsi="Calibri" w:cs="Calibri"/>
          <w:b/>
          <w:bCs/>
          <w:sz w:val="24"/>
          <w:szCs w:val="24"/>
          <w:rtl/>
        </w:rPr>
        <w:t>המגזר העסקי</w:t>
      </w:r>
      <w:r w:rsidRPr="00E43A58">
        <w:rPr>
          <w:rFonts w:ascii="Calibri" w:hAnsi="Calibri" w:cs="Calibri"/>
          <w:sz w:val="24"/>
          <w:szCs w:val="24"/>
          <w:rtl/>
        </w:rPr>
        <w:t xml:space="preserve"> בארץ הסתכמו ברביע זה בשווי של כ-16 מיליארדי ש"ח, דומה לממוצע הגיוסים הרבעוני של ארבעת הרביעים הקודמים; כמחצית מההנפקות ברביע זה בוצעו על ידי חברות מענף הנדל"ן והבינוי, ענף שממשיך להוביל בגיוסים בדומה לשנים הקודמות.</w:t>
      </w:r>
    </w:p>
    <w:p w:rsidR="00E43A58" w:rsidRPr="00E43A58" w:rsidRDefault="00E43A58" w:rsidP="00E43A58">
      <w:pPr>
        <w:pStyle w:val="a5"/>
        <w:numPr>
          <w:ilvl w:val="0"/>
          <w:numId w:val="35"/>
        </w:numPr>
        <w:spacing w:after="0" w:line="360" w:lineRule="auto"/>
        <w:jc w:val="both"/>
        <w:rPr>
          <w:rFonts w:ascii="Calibri" w:hAnsi="Calibri" w:cs="Calibri"/>
          <w:sz w:val="24"/>
          <w:szCs w:val="24"/>
          <w:rtl/>
        </w:rPr>
      </w:pPr>
      <w:r w:rsidRPr="00E43A58">
        <w:rPr>
          <w:rFonts w:ascii="Calibri" w:hAnsi="Calibri" w:cs="Calibri"/>
          <w:sz w:val="24"/>
          <w:szCs w:val="24"/>
          <w:rtl/>
        </w:rPr>
        <w:t xml:space="preserve">גם </w:t>
      </w:r>
      <w:r w:rsidRPr="00E43A58">
        <w:rPr>
          <w:rFonts w:ascii="Calibri" w:hAnsi="Calibri" w:cs="Calibri"/>
          <w:b/>
          <w:bCs/>
          <w:sz w:val="24"/>
          <w:szCs w:val="24"/>
          <w:rtl/>
        </w:rPr>
        <w:t xml:space="preserve">יתרת החוב של משקי הבית </w:t>
      </w:r>
      <w:r w:rsidRPr="00E43A58">
        <w:rPr>
          <w:rFonts w:ascii="Calibri" w:hAnsi="Calibri" w:cs="Calibri"/>
          <w:sz w:val="24"/>
          <w:szCs w:val="24"/>
          <w:rtl/>
        </w:rPr>
        <w:t xml:space="preserve">המשיכה לגדול ברביע זה לכ-855 מיליארדי ש"ח בעיקר כתוצאה מעלייה </w:t>
      </w:r>
      <w:r w:rsidRPr="00E43A58">
        <w:rPr>
          <w:rFonts w:ascii="Calibri" w:hAnsi="Calibri" w:cs="Calibri"/>
          <w:b/>
          <w:bCs/>
          <w:sz w:val="24"/>
          <w:szCs w:val="24"/>
          <w:rtl/>
        </w:rPr>
        <w:t>ביתרת החוב</w:t>
      </w:r>
      <w:r w:rsidRPr="00E43A58">
        <w:rPr>
          <w:rFonts w:ascii="Calibri" w:hAnsi="Calibri" w:cs="Calibri"/>
          <w:sz w:val="24"/>
          <w:szCs w:val="24"/>
          <w:rtl/>
        </w:rPr>
        <w:t xml:space="preserve"> </w:t>
      </w:r>
      <w:r w:rsidRPr="00E43A58">
        <w:rPr>
          <w:rFonts w:ascii="Calibri" w:hAnsi="Calibri" w:cs="Calibri"/>
          <w:b/>
          <w:bCs/>
          <w:sz w:val="24"/>
          <w:szCs w:val="24"/>
          <w:rtl/>
        </w:rPr>
        <w:t>לדיור</w:t>
      </w:r>
      <w:r w:rsidRPr="00E43A58">
        <w:rPr>
          <w:rFonts w:ascii="Calibri" w:hAnsi="Calibri" w:cs="Calibri"/>
          <w:sz w:val="24"/>
          <w:szCs w:val="24"/>
          <w:rtl/>
        </w:rPr>
        <w:t xml:space="preserve"> (כ-7 מיליארדים, 1.2%) שמקורה בנטילת משכנתאות חדשות מהבנקים; </w:t>
      </w:r>
      <w:r w:rsidRPr="00E43A58">
        <w:rPr>
          <w:rFonts w:ascii="Calibri" w:hAnsi="Calibri" w:cs="Calibri"/>
          <w:b/>
          <w:bCs/>
          <w:sz w:val="24"/>
          <w:szCs w:val="24"/>
          <w:rtl/>
        </w:rPr>
        <w:t>יתרת</w:t>
      </w:r>
      <w:r w:rsidRPr="00E43A58">
        <w:rPr>
          <w:rFonts w:ascii="Calibri" w:hAnsi="Calibri" w:cs="Calibri"/>
          <w:sz w:val="24"/>
          <w:szCs w:val="24"/>
          <w:rtl/>
        </w:rPr>
        <w:t xml:space="preserve"> </w:t>
      </w:r>
      <w:r w:rsidRPr="00E43A58">
        <w:rPr>
          <w:rFonts w:ascii="Calibri" w:hAnsi="Calibri" w:cs="Calibri"/>
          <w:b/>
          <w:bCs/>
          <w:sz w:val="24"/>
          <w:szCs w:val="24"/>
          <w:rtl/>
        </w:rPr>
        <w:t>החוב לא-לדיור</w:t>
      </w:r>
      <w:r w:rsidRPr="00E43A58">
        <w:rPr>
          <w:rFonts w:ascii="Calibri" w:hAnsi="Calibri" w:cs="Calibri"/>
          <w:sz w:val="24"/>
          <w:szCs w:val="24"/>
          <w:rtl/>
        </w:rPr>
        <w:t xml:space="preserve"> גדלה אף היא בכ-0.7% לכ-237 מיליארדים. </w:t>
      </w:r>
    </w:p>
    <w:p w:rsidR="00E43A58" w:rsidRPr="00E43A58" w:rsidRDefault="00E43A58" w:rsidP="00E43A58">
      <w:pPr>
        <w:pStyle w:val="a5"/>
        <w:spacing w:line="360" w:lineRule="auto"/>
        <w:jc w:val="both"/>
        <w:rPr>
          <w:rFonts w:ascii="Calibri" w:hAnsi="Calibri" w:cs="Calibri"/>
          <w:sz w:val="24"/>
          <w:szCs w:val="24"/>
          <w:rtl/>
        </w:rPr>
      </w:pPr>
    </w:p>
    <w:p w:rsidR="00E43A58" w:rsidRPr="00E43A58" w:rsidRDefault="00E43A58" w:rsidP="00E43A58">
      <w:pPr>
        <w:pStyle w:val="a5"/>
        <w:numPr>
          <w:ilvl w:val="0"/>
          <w:numId w:val="34"/>
        </w:numPr>
        <w:spacing w:after="0" w:line="360" w:lineRule="auto"/>
        <w:jc w:val="both"/>
        <w:rPr>
          <w:rFonts w:ascii="Calibri" w:hAnsi="Calibri" w:cs="Calibri"/>
          <w:b/>
          <w:bCs/>
          <w:sz w:val="24"/>
          <w:szCs w:val="24"/>
        </w:rPr>
      </w:pPr>
      <w:r w:rsidRPr="00E43A58">
        <w:rPr>
          <w:rStyle w:val="11"/>
          <w:rFonts w:ascii="Calibri" w:eastAsiaTheme="minorHAnsi" w:hAnsi="Calibri" w:cs="Calibri"/>
          <w:sz w:val="24"/>
          <w:szCs w:val="24"/>
          <w:rtl/>
        </w:rPr>
        <w:t>החוב של המגזר העסקי הלא-פיננסי</w:t>
      </w:r>
      <w:r w:rsidRPr="00E43A58">
        <w:rPr>
          <w:rStyle w:val="af2"/>
          <w:rFonts w:ascii="Calibri" w:hAnsi="Calibri" w:cs="Calibri"/>
          <w:b/>
          <w:bCs/>
          <w:sz w:val="24"/>
          <w:szCs w:val="24"/>
          <w:rtl/>
        </w:rPr>
        <w:footnoteReference w:id="1"/>
      </w:r>
      <w:r w:rsidRPr="00E43A58">
        <w:rPr>
          <w:rFonts w:ascii="Calibri" w:hAnsi="Calibri" w:cs="Calibri"/>
          <w:b/>
          <w:bCs/>
          <w:sz w:val="24"/>
          <w:szCs w:val="24"/>
          <w:rtl/>
        </w:rPr>
        <w:t xml:space="preserve"> </w:t>
      </w:r>
    </w:p>
    <w:p w:rsidR="00E43A58" w:rsidRPr="00E43A58" w:rsidRDefault="00E43A58" w:rsidP="00E43A58">
      <w:pPr>
        <w:pStyle w:val="a5"/>
        <w:numPr>
          <w:ilvl w:val="0"/>
          <w:numId w:val="32"/>
        </w:numPr>
        <w:spacing w:after="0" w:line="360" w:lineRule="auto"/>
        <w:jc w:val="both"/>
        <w:rPr>
          <w:rFonts w:ascii="Calibri" w:hAnsi="Calibri" w:cs="Calibri"/>
          <w:sz w:val="24"/>
          <w:szCs w:val="24"/>
        </w:rPr>
      </w:pPr>
      <w:r w:rsidRPr="00E43A58">
        <w:rPr>
          <w:rFonts w:ascii="Calibri" w:hAnsi="Calibri" w:cs="Calibri"/>
          <w:sz w:val="24"/>
          <w:szCs w:val="24"/>
          <w:rtl/>
        </w:rPr>
        <w:t xml:space="preserve">מהחטיבה למידע ולסטטיסטיקה נמסר, כי ברביע הראשון של שנת 2025 גדלה יתרת </w:t>
      </w:r>
      <w:r w:rsidRPr="00E43A58">
        <w:rPr>
          <w:rFonts w:ascii="Calibri" w:hAnsi="Calibri" w:cs="Calibri"/>
          <w:b/>
          <w:bCs/>
          <w:sz w:val="24"/>
          <w:szCs w:val="24"/>
          <w:rtl/>
        </w:rPr>
        <w:t>החוב של המגזר העסקי</w:t>
      </w:r>
      <w:r w:rsidRPr="00E43A58">
        <w:rPr>
          <w:rFonts w:ascii="Calibri" w:hAnsi="Calibri" w:cs="Calibri"/>
          <w:sz w:val="24"/>
          <w:szCs w:val="24"/>
          <w:rtl/>
        </w:rPr>
        <w:t xml:space="preserve"> בהיקף של כ-21 מיליארדי ש"ח לרמה של כ-1.4 טריליונים – שיעור גידול של כ-1.5%, דומה לשיעור הגידול ברביע הקודם.</w:t>
      </w:r>
    </w:p>
    <w:p w:rsidR="00E43A58" w:rsidRPr="00E43A58" w:rsidRDefault="00E43A58" w:rsidP="00E43A58">
      <w:pPr>
        <w:pStyle w:val="a5"/>
        <w:spacing w:line="360" w:lineRule="auto"/>
        <w:jc w:val="both"/>
        <w:rPr>
          <w:rFonts w:ascii="Calibri" w:hAnsi="Calibri" w:cs="Calibri"/>
          <w:sz w:val="24"/>
          <w:szCs w:val="24"/>
        </w:rPr>
      </w:pPr>
      <w:r w:rsidRPr="00E43A58">
        <w:rPr>
          <w:rFonts w:ascii="Calibri" w:hAnsi="Calibri" w:cs="Calibri"/>
          <w:sz w:val="24"/>
          <w:szCs w:val="24"/>
          <w:rtl/>
        </w:rPr>
        <w:t xml:space="preserve">העלייה ביתרה נבעה מגיוסי חוב נטו שהסתכמו בכ-14 מיליארדי ש"ח, היקף הנמוך מאלו שנרשמו בשני הרבעים הקודמים (כ-33 מיליארדי ש"ח בממוצע לרביע). גיוסי חוב אלו הורכבו ברובם מנטילת הלוואות בנקאיות ובנוסף מגיוסים באמצעות אג"ח סחירות בארץ ואלו קוזזו חלקית מפירעונות נטו בחוב שגויס בחו"ל </w:t>
      </w:r>
      <w:r w:rsidRPr="00E43A58">
        <w:rPr>
          <w:rFonts w:ascii="Calibri" w:hAnsi="Calibri" w:cs="Calibri"/>
          <w:sz w:val="24"/>
          <w:szCs w:val="24"/>
          <w:rtl/>
        </w:rPr>
        <w:lastRenderedPageBreak/>
        <w:t>ובאג"ח לא-סחירות בארץ; פיחות של כ-1.9% בשקל מול הדולר ועלייה של כ-0.3% במדד המחירים לצרכן</w:t>
      </w:r>
      <w:r w:rsidRPr="00E43A58">
        <w:rPr>
          <w:rStyle w:val="af2"/>
          <w:rFonts w:ascii="Calibri" w:hAnsi="Calibri" w:cs="Calibri"/>
          <w:rtl/>
        </w:rPr>
        <w:footnoteReference w:id="2"/>
      </w:r>
      <w:r w:rsidRPr="00E43A58">
        <w:rPr>
          <w:rFonts w:ascii="Calibri" w:hAnsi="Calibri" w:cs="Calibri"/>
          <w:sz w:val="24"/>
          <w:szCs w:val="24"/>
          <w:rtl/>
        </w:rPr>
        <w:t xml:space="preserve"> תרמו אף הם לעלייה בשווי של החוב הנקוב במט"ח והצמוד לו וכן הצמוד-מדד.  </w:t>
      </w:r>
    </w:p>
    <w:p w:rsidR="00E43A58" w:rsidRPr="00E43A58" w:rsidRDefault="00E43A58" w:rsidP="00E43A58">
      <w:pPr>
        <w:pStyle w:val="a5"/>
        <w:numPr>
          <w:ilvl w:val="0"/>
          <w:numId w:val="32"/>
        </w:numPr>
        <w:spacing w:after="0" w:line="360" w:lineRule="auto"/>
        <w:jc w:val="both"/>
        <w:rPr>
          <w:rFonts w:ascii="Calibri" w:hAnsi="Calibri" w:cs="Calibri"/>
          <w:sz w:val="24"/>
          <w:szCs w:val="24"/>
        </w:rPr>
      </w:pPr>
      <w:r w:rsidRPr="00E43A58">
        <w:rPr>
          <w:rFonts w:ascii="Calibri" w:hAnsi="Calibri" w:cs="Calibri"/>
          <w:sz w:val="24"/>
          <w:szCs w:val="24"/>
          <w:rtl/>
        </w:rPr>
        <w:t xml:space="preserve">השפעות אלו הביאו לעלייה בשיעור הגידול השנתי של יתרת החוב לבנקים – כ-10% לעומת 8% ברביע הקודם, ואילו שיעור הגידול השנתי בחוב למלווים החוץ-בנקאיים נותר חיובי אך ירד ברביע זה– כ-3% לעומת 6%.(איורים 1, 2). </w:t>
      </w:r>
    </w:p>
    <w:p w:rsidR="00E43A58" w:rsidRPr="00E43A58" w:rsidRDefault="00E43A58" w:rsidP="00E43A58">
      <w:pPr>
        <w:pStyle w:val="a5"/>
        <w:numPr>
          <w:ilvl w:val="0"/>
          <w:numId w:val="32"/>
        </w:numPr>
        <w:spacing w:after="0" w:line="360" w:lineRule="auto"/>
        <w:jc w:val="both"/>
        <w:rPr>
          <w:rFonts w:ascii="Calibri" w:hAnsi="Calibri" w:cs="Calibri"/>
          <w:sz w:val="24"/>
          <w:szCs w:val="24"/>
        </w:rPr>
      </w:pPr>
      <w:r w:rsidRPr="00E43A58">
        <w:rPr>
          <w:rFonts w:ascii="Calibri" w:hAnsi="Calibri" w:cs="Calibri"/>
          <w:sz w:val="24"/>
          <w:szCs w:val="24"/>
          <w:rtl/>
        </w:rPr>
        <w:t xml:space="preserve">ברביע הראשון של השנה </w:t>
      </w:r>
      <w:r w:rsidRPr="00E43A58">
        <w:rPr>
          <w:rFonts w:ascii="Calibri" w:hAnsi="Calibri" w:cs="Calibri"/>
          <w:b/>
          <w:bCs/>
          <w:sz w:val="24"/>
          <w:szCs w:val="24"/>
          <w:rtl/>
        </w:rPr>
        <w:t>הנפיק המגזר העסקי</w:t>
      </w:r>
      <w:r w:rsidRPr="00E43A58">
        <w:rPr>
          <w:rFonts w:ascii="Calibri" w:hAnsi="Calibri" w:cs="Calibri"/>
          <w:sz w:val="24"/>
          <w:szCs w:val="24"/>
          <w:rtl/>
        </w:rPr>
        <w:t xml:space="preserve"> אג"ח בשווי של כ-16 מיליארדי ש"ח דומה לממוצע הגיוסים הרבעוני של ארבעת הרביעים הקודמים. כמחצית מההנפקות ברביע זה בוצעו על ידי חברות מענף הנדל"ן והבינוי, ענף שממשיך להוביל בגיוסים בדומה לשנים הקודמות. (איור 3).</w:t>
      </w:r>
    </w:p>
    <w:p w:rsidR="00E43A58" w:rsidRPr="00E43A58" w:rsidRDefault="00E43A58" w:rsidP="00E43A58">
      <w:pPr>
        <w:pStyle w:val="a5"/>
        <w:spacing w:line="360" w:lineRule="auto"/>
        <w:jc w:val="both"/>
        <w:rPr>
          <w:rFonts w:ascii="Calibri" w:hAnsi="Calibri" w:cs="Calibri"/>
          <w:sz w:val="24"/>
          <w:szCs w:val="24"/>
        </w:rPr>
      </w:pPr>
      <w:r w:rsidRPr="00E43A58">
        <w:rPr>
          <w:rFonts w:ascii="Calibri" w:hAnsi="Calibri" w:cs="Calibri"/>
          <w:sz w:val="24"/>
          <w:szCs w:val="24"/>
          <w:rtl/>
        </w:rPr>
        <w:t xml:space="preserve">בחודש אפריל 2025 הנפיק המגזר העסקי אג"ח בשווי של כ-5 מיליארדי ש"ח כמחצית מהן הונפקו ע"י חברות מענף הנדל"ן והבינוי. </w:t>
      </w:r>
    </w:p>
    <w:p w:rsidR="00E43A58" w:rsidRPr="00E43A58" w:rsidRDefault="00E43A58" w:rsidP="00E43A58">
      <w:pPr>
        <w:pStyle w:val="a5"/>
        <w:numPr>
          <w:ilvl w:val="0"/>
          <w:numId w:val="32"/>
        </w:numPr>
        <w:spacing w:before="240" w:after="120" w:line="360" w:lineRule="auto"/>
        <w:jc w:val="both"/>
        <w:rPr>
          <w:rFonts w:ascii="Calibri" w:hAnsi="Calibri" w:cs="Calibri"/>
          <w:sz w:val="24"/>
          <w:szCs w:val="24"/>
        </w:rPr>
      </w:pPr>
      <w:r w:rsidRPr="00E43A58">
        <w:rPr>
          <w:rFonts w:ascii="Calibri" w:hAnsi="Calibri" w:cs="Calibri"/>
          <w:sz w:val="24"/>
          <w:szCs w:val="24"/>
          <w:rtl/>
        </w:rPr>
        <w:t>ברביע הראשון של השנה</w:t>
      </w:r>
      <w:r w:rsidRPr="00E43A58">
        <w:rPr>
          <w:rFonts w:ascii="Calibri" w:hAnsi="Calibri" w:cs="Calibri"/>
          <w:b/>
          <w:bCs/>
          <w:sz w:val="24"/>
          <w:szCs w:val="24"/>
          <w:rtl/>
        </w:rPr>
        <w:t xml:space="preserve"> המרווח</w:t>
      </w:r>
      <w:r w:rsidRPr="00E43A58">
        <w:rPr>
          <w:rStyle w:val="af2"/>
          <w:rFonts w:ascii="Calibri" w:hAnsi="Calibri" w:cs="Calibri"/>
          <w:b/>
          <w:bCs/>
          <w:sz w:val="24"/>
          <w:szCs w:val="24"/>
          <w:rtl/>
        </w:rPr>
        <w:footnoteReference w:id="3"/>
      </w:r>
      <w:r w:rsidRPr="00E43A58">
        <w:rPr>
          <w:rFonts w:ascii="Calibri" w:hAnsi="Calibri" w:cs="Calibri"/>
          <w:b/>
          <w:bCs/>
          <w:sz w:val="24"/>
          <w:szCs w:val="24"/>
          <w:rtl/>
        </w:rPr>
        <w:t xml:space="preserve"> בין תשואת האג"ח הקונצרניות הכלולות במדד תל בונד 60, לבין תשואת האג"ח הממשלתיות הצמודות</w:t>
      </w:r>
      <w:r w:rsidRPr="00E43A58">
        <w:rPr>
          <w:rFonts w:ascii="Calibri" w:hAnsi="Calibri" w:cs="Calibri"/>
          <w:sz w:val="24"/>
          <w:szCs w:val="24"/>
          <w:rtl/>
        </w:rPr>
        <w:t xml:space="preserve"> המשיך להצטמצם לכ-0.94 נק' אחוז, הצטמצמות שנמשכה גם בחודשים אפריל-מאי 2025 עד לרמה של כ-0.92 נק' אחוז, רמה נמוכה יחסית לשלוש השנים האחרונות. (איור 4).</w:t>
      </w:r>
    </w:p>
    <w:p w:rsidR="00E43A58" w:rsidRPr="00E43A58" w:rsidRDefault="00E43A58" w:rsidP="00E43A58">
      <w:pPr>
        <w:pStyle w:val="a5"/>
        <w:spacing w:before="240" w:after="120" w:line="360" w:lineRule="auto"/>
        <w:jc w:val="both"/>
        <w:rPr>
          <w:rFonts w:ascii="Calibri" w:hAnsi="Calibri" w:cs="Calibri"/>
          <w:sz w:val="24"/>
          <w:szCs w:val="24"/>
        </w:rPr>
      </w:pPr>
    </w:p>
    <w:p w:rsidR="00E43A58" w:rsidRPr="00E43A58" w:rsidRDefault="00E43A58" w:rsidP="00E43A58">
      <w:pPr>
        <w:pStyle w:val="NormalWeb"/>
        <w:bidi/>
        <w:spacing w:before="0" w:beforeAutospacing="0" w:after="0" w:afterAutospacing="0" w:line="360" w:lineRule="auto"/>
        <w:ind w:left="720"/>
        <w:jc w:val="center"/>
        <w:rPr>
          <w:rFonts w:ascii="Calibri" w:hAnsi="Calibri" w:cs="Calibri"/>
          <w:rtl/>
        </w:rPr>
      </w:pPr>
      <w:r w:rsidRPr="00E43A58">
        <w:rPr>
          <w:rFonts w:ascii="Calibri" w:hAnsi="Calibri" w:cs="Calibri"/>
          <w:b/>
          <w:bCs/>
          <w:rtl/>
        </w:rPr>
        <w:t>לוח 1: התפלגות החוב של המגזר העסקי הלא-פיננסי</w:t>
      </w:r>
      <w:r w:rsidRPr="00E43A58">
        <w:rPr>
          <w:rFonts w:ascii="Calibri" w:hAnsi="Calibri" w:cs="Calibri"/>
          <w:sz w:val="22"/>
          <w:szCs w:val="22"/>
          <w:vertAlign w:val="superscript"/>
          <w:rtl/>
        </w:rPr>
        <w:t xml:space="preserve">1 </w:t>
      </w:r>
    </w:p>
    <w:p w:rsidR="00E43A58" w:rsidRPr="00E43A58" w:rsidRDefault="00E43A58" w:rsidP="00E43A58">
      <w:pPr>
        <w:pStyle w:val="NormalWeb"/>
        <w:bidi/>
        <w:spacing w:before="0" w:beforeAutospacing="0" w:after="0" w:afterAutospacing="0" w:line="360" w:lineRule="auto"/>
        <w:jc w:val="center"/>
        <w:rPr>
          <w:rFonts w:ascii="Calibri" w:hAnsi="Calibri" w:cs="Calibri"/>
          <w:b/>
          <w:bCs/>
          <w:rtl/>
        </w:rPr>
      </w:pPr>
      <w:r w:rsidRPr="00E43A58">
        <w:rPr>
          <w:rFonts w:ascii="Calibri" w:hAnsi="Calibri" w:cs="Calibri"/>
          <w:noProof/>
          <w:rtl/>
        </w:rPr>
        <w:drawing>
          <wp:inline distT="0" distB="0" distL="0" distR="0" wp14:anchorId="1C99E6D7" wp14:editId="573989EA">
            <wp:extent cx="5278120" cy="2774825"/>
            <wp:effectExtent l="0" t="0" r="0" b="6985"/>
            <wp:docPr id="10" name="תמונה 10" descr="לוח 1: התפלגות החוב של המגזר העסקי הלא-פיננסי" title="לוח 1: התפלגות החוב של המגזר העסקי הלא-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2774825"/>
                    </a:xfrm>
                    <a:prstGeom prst="rect">
                      <a:avLst/>
                    </a:prstGeom>
                    <a:noFill/>
                    <a:ln>
                      <a:noFill/>
                    </a:ln>
                  </pic:spPr>
                </pic:pic>
              </a:graphicData>
            </a:graphic>
          </wp:inline>
        </w:drawing>
      </w:r>
    </w:p>
    <w:p w:rsidR="00E43A58" w:rsidRPr="00E43A58" w:rsidRDefault="00E43A58" w:rsidP="00E43A58">
      <w:pPr>
        <w:pStyle w:val="NormalWeb"/>
        <w:bidi/>
        <w:spacing w:before="0" w:beforeAutospacing="0" w:after="0" w:afterAutospacing="0" w:line="360" w:lineRule="auto"/>
        <w:jc w:val="center"/>
        <w:rPr>
          <w:rFonts w:ascii="Calibri" w:hAnsi="Calibri" w:cs="Calibri"/>
          <w:b/>
          <w:bCs/>
          <w:rtl/>
        </w:rPr>
      </w:pPr>
    </w:p>
    <w:p w:rsidR="00E43A58" w:rsidRPr="00E43A58" w:rsidRDefault="00E43A58" w:rsidP="00E43A58">
      <w:pPr>
        <w:rPr>
          <w:rFonts w:ascii="Calibri" w:hAnsi="Calibri" w:cs="Calibri"/>
        </w:rPr>
      </w:pPr>
      <w:r w:rsidRPr="00E43A58">
        <w:rPr>
          <w:rFonts w:ascii="Calibri" w:hAnsi="Calibri" w:cs="Calibri"/>
          <w:b/>
          <w:bCs/>
          <w:rtl/>
        </w:rPr>
        <w:br w:type="page"/>
      </w:r>
      <w:r w:rsidRPr="00E43A58">
        <w:rPr>
          <w:rFonts w:ascii="Calibri" w:hAnsi="Calibri" w:cs="Calibri"/>
          <w:b/>
          <w:bCs/>
          <w:rtl/>
        </w:rPr>
        <w:lastRenderedPageBreak/>
        <w:t>איור 1: אומדן לתנועות של סך החוב של המגזר העסקי הלא-פיננסי</w:t>
      </w:r>
    </w:p>
    <w:p w:rsidR="00E43A58" w:rsidRPr="00E43A58" w:rsidRDefault="00E43A58" w:rsidP="00E43A58">
      <w:pPr>
        <w:pStyle w:val="a5"/>
        <w:spacing w:line="360" w:lineRule="auto"/>
        <w:ind w:left="0"/>
        <w:jc w:val="center"/>
        <w:rPr>
          <w:rFonts w:ascii="Calibri" w:hAnsi="Calibri" w:cs="Calibri"/>
          <w:b/>
          <w:bCs/>
          <w:sz w:val="24"/>
          <w:szCs w:val="24"/>
        </w:rPr>
      </w:pPr>
      <w:r w:rsidRPr="00E43A58">
        <w:rPr>
          <w:rFonts w:ascii="Calibri" w:hAnsi="Calibri" w:cs="Calibri"/>
          <w:b/>
          <w:bCs/>
          <w:noProof/>
          <w:sz w:val="24"/>
          <w:szCs w:val="24"/>
        </w:rPr>
        <w:drawing>
          <wp:inline distT="0" distB="0" distL="0" distR="0" wp14:anchorId="556CBE9B" wp14:editId="47D93007">
            <wp:extent cx="5261610" cy="2719070"/>
            <wp:effectExtent l="0" t="0" r="0" b="5080"/>
            <wp:docPr id="15" name="תמונה 15" descr="איור 1: אומדן לתנועות של סך החוב של המגזר העסקי הלא-פיננסי" title="איור 1: אומדן לתנועות של סך החוב של המגזר העסקי הלא-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1610" cy="2719070"/>
                    </a:xfrm>
                    <a:prstGeom prst="rect">
                      <a:avLst/>
                    </a:prstGeom>
                    <a:noFill/>
                  </pic:spPr>
                </pic:pic>
              </a:graphicData>
            </a:graphic>
          </wp:inline>
        </w:drawing>
      </w:r>
    </w:p>
    <w:p w:rsidR="00E43A58" w:rsidRPr="00E43A58" w:rsidRDefault="00E43A58" w:rsidP="00E43A58">
      <w:pPr>
        <w:spacing w:line="360" w:lineRule="auto"/>
        <w:jc w:val="center"/>
        <w:rPr>
          <w:rFonts w:ascii="Calibri" w:hAnsi="Calibri" w:cs="Calibri"/>
          <w:b/>
          <w:bCs/>
          <w:sz w:val="24"/>
          <w:szCs w:val="24"/>
          <w:rtl/>
        </w:rPr>
      </w:pPr>
    </w:p>
    <w:p w:rsidR="00E43A58" w:rsidRPr="00E43A58" w:rsidRDefault="00E43A58" w:rsidP="00E43A58">
      <w:pPr>
        <w:spacing w:line="360" w:lineRule="auto"/>
        <w:jc w:val="center"/>
        <w:rPr>
          <w:rFonts w:ascii="Calibri" w:hAnsi="Calibri" w:cs="Calibri"/>
          <w:b/>
          <w:bCs/>
          <w:sz w:val="24"/>
          <w:szCs w:val="24"/>
          <w:rtl/>
        </w:rPr>
      </w:pPr>
      <w:r w:rsidRPr="00E43A58">
        <w:rPr>
          <w:rFonts w:ascii="Calibri" w:hAnsi="Calibri" w:cs="Calibri"/>
          <w:b/>
          <w:bCs/>
          <w:sz w:val="24"/>
          <w:szCs w:val="24"/>
          <w:rtl/>
        </w:rPr>
        <w:t>איור 2: שיעורי השינוי לעומת הרביע המקביל בשנה הקודמת בחוב הבנקאי והחוץ-בנקאי של המגזר העסקי הלא-פיננסי</w:t>
      </w:r>
    </w:p>
    <w:p w:rsidR="00E43A58" w:rsidRPr="00E43A58" w:rsidRDefault="00E43A58" w:rsidP="00E43A58">
      <w:pPr>
        <w:spacing w:line="360" w:lineRule="auto"/>
        <w:jc w:val="center"/>
        <w:rPr>
          <w:rFonts w:ascii="Calibri" w:hAnsi="Calibri" w:cs="Calibri"/>
          <w:b/>
          <w:bCs/>
          <w:sz w:val="24"/>
          <w:szCs w:val="24"/>
          <w:rtl/>
        </w:rPr>
      </w:pPr>
      <w:r w:rsidRPr="00E43A58">
        <w:rPr>
          <w:rFonts w:ascii="Calibri" w:hAnsi="Calibri" w:cs="Calibri"/>
          <w:b/>
          <w:bCs/>
          <w:noProof/>
          <w:sz w:val="24"/>
          <w:szCs w:val="24"/>
        </w:rPr>
        <w:drawing>
          <wp:inline distT="0" distB="0" distL="0" distR="0" wp14:anchorId="72144FB6" wp14:editId="1042EAC9">
            <wp:extent cx="5261610" cy="2542540"/>
            <wp:effectExtent l="0" t="0" r="0" b="0"/>
            <wp:docPr id="4" name="תמונה 4" descr="איור 2: שיעורי השינוי לעומת הרביע המקביל בשנה הקודמת בחוב הבנקאי והחוץ-בנקאי של המגזר העסקי הלא-פיננסי" title="איור 2: שיעורי השינוי לעומת הרביע המקביל בשנה הקודמת בחוב הבנקאי והחוץ-בנקאי של המגזר העסקי הלא-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1610" cy="2542540"/>
                    </a:xfrm>
                    <a:prstGeom prst="rect">
                      <a:avLst/>
                    </a:prstGeom>
                    <a:noFill/>
                  </pic:spPr>
                </pic:pic>
              </a:graphicData>
            </a:graphic>
          </wp:inline>
        </w:drawing>
      </w:r>
    </w:p>
    <w:p w:rsidR="00E43A58" w:rsidRPr="00E43A58" w:rsidRDefault="00E43A58" w:rsidP="00E43A58">
      <w:pPr>
        <w:spacing w:line="360" w:lineRule="auto"/>
        <w:jc w:val="center"/>
        <w:rPr>
          <w:rFonts w:ascii="Calibri" w:hAnsi="Calibri" w:cs="Calibri"/>
          <w:b/>
          <w:bCs/>
          <w:sz w:val="24"/>
          <w:szCs w:val="24"/>
          <w:rtl/>
        </w:rPr>
      </w:pPr>
    </w:p>
    <w:p w:rsidR="00E43A58" w:rsidRPr="00E43A58" w:rsidRDefault="00E43A58" w:rsidP="00E43A58">
      <w:pPr>
        <w:spacing w:line="360" w:lineRule="auto"/>
        <w:jc w:val="center"/>
        <w:rPr>
          <w:rFonts w:ascii="Calibri" w:hAnsi="Calibri" w:cs="Calibri"/>
          <w:b/>
          <w:bCs/>
          <w:sz w:val="24"/>
          <w:szCs w:val="24"/>
          <w:rtl/>
        </w:rPr>
      </w:pPr>
    </w:p>
    <w:p w:rsidR="00E43A58" w:rsidRPr="00E43A58" w:rsidRDefault="00E43A58" w:rsidP="00E43A58">
      <w:pPr>
        <w:spacing w:line="360" w:lineRule="auto"/>
        <w:jc w:val="center"/>
        <w:rPr>
          <w:rFonts w:ascii="Calibri" w:hAnsi="Calibri" w:cs="Calibri"/>
          <w:b/>
          <w:bCs/>
          <w:sz w:val="24"/>
          <w:szCs w:val="24"/>
          <w:rtl/>
        </w:rPr>
      </w:pPr>
    </w:p>
    <w:p w:rsidR="00E43A58" w:rsidRPr="00E43A58" w:rsidRDefault="00E43A58" w:rsidP="00E43A58">
      <w:pPr>
        <w:spacing w:line="360" w:lineRule="auto"/>
        <w:jc w:val="center"/>
        <w:rPr>
          <w:rFonts w:ascii="Calibri" w:hAnsi="Calibri" w:cs="Calibri"/>
          <w:b/>
          <w:bCs/>
          <w:sz w:val="24"/>
          <w:szCs w:val="24"/>
        </w:rPr>
      </w:pPr>
      <w:r w:rsidRPr="00E43A58">
        <w:rPr>
          <w:rFonts w:ascii="Calibri" w:hAnsi="Calibri" w:cs="Calibri"/>
          <w:b/>
          <w:bCs/>
          <w:sz w:val="24"/>
          <w:szCs w:val="24"/>
          <w:rtl/>
        </w:rPr>
        <w:lastRenderedPageBreak/>
        <w:t xml:space="preserve">איור </w:t>
      </w:r>
      <w:r w:rsidRPr="00E43A58">
        <w:rPr>
          <w:rFonts w:ascii="Calibri" w:hAnsi="Calibri" w:cs="Calibri"/>
          <w:b/>
          <w:bCs/>
          <w:sz w:val="24"/>
          <w:szCs w:val="24"/>
        </w:rPr>
        <w:t>3</w:t>
      </w:r>
      <w:r w:rsidRPr="00E43A58">
        <w:rPr>
          <w:rFonts w:ascii="Calibri" w:hAnsi="Calibri" w:cs="Calibri"/>
          <w:b/>
          <w:bCs/>
          <w:sz w:val="24"/>
          <w:szCs w:val="24"/>
          <w:rtl/>
        </w:rPr>
        <w:t xml:space="preserve">: הנפקות אג"ח של המגזר העסקי הלא-פיננסי במהלך הרביע, לפי ענפים </w:t>
      </w:r>
    </w:p>
    <w:p w:rsidR="00E43A58" w:rsidRPr="00E43A58" w:rsidRDefault="00E43A58" w:rsidP="00E43A58">
      <w:pPr>
        <w:pStyle w:val="a5"/>
        <w:spacing w:line="360" w:lineRule="auto"/>
        <w:ind w:left="0"/>
        <w:jc w:val="center"/>
        <w:rPr>
          <w:rFonts w:ascii="Calibri" w:hAnsi="Calibri" w:cs="Calibri"/>
          <w:b/>
          <w:bCs/>
          <w:sz w:val="24"/>
          <w:szCs w:val="24"/>
        </w:rPr>
      </w:pPr>
      <w:r w:rsidRPr="00E43A58">
        <w:rPr>
          <w:rFonts w:ascii="Calibri" w:hAnsi="Calibri" w:cs="Calibri"/>
          <w:b/>
          <w:bCs/>
          <w:noProof/>
          <w:sz w:val="24"/>
          <w:szCs w:val="24"/>
        </w:rPr>
        <w:drawing>
          <wp:inline distT="0" distB="0" distL="0" distR="0" wp14:anchorId="7235E99F" wp14:editId="19507957">
            <wp:extent cx="5218430" cy="2962910"/>
            <wp:effectExtent l="0" t="0" r="1270" b="8890"/>
            <wp:docPr id="22" name="תמונה 22" descr="איור 3: הנפקות אג&quot;ח של המגזר העסקי הלא-פיננסי במהלך הרביע, לפי ענפים " title="איור 3: הנפקות אג&quot;ח של המגזר העסקי הלא-פיננסי במהלך הרביע, לפי ענפ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8430" cy="2962910"/>
                    </a:xfrm>
                    <a:prstGeom prst="rect">
                      <a:avLst/>
                    </a:prstGeom>
                    <a:noFill/>
                  </pic:spPr>
                </pic:pic>
              </a:graphicData>
            </a:graphic>
          </wp:inline>
        </w:drawing>
      </w:r>
    </w:p>
    <w:p w:rsidR="00E43A58" w:rsidRPr="00E43A58" w:rsidRDefault="00E43A58" w:rsidP="00E43A58">
      <w:pPr>
        <w:pStyle w:val="a5"/>
        <w:spacing w:line="360" w:lineRule="auto"/>
        <w:ind w:left="360" w:right="-101"/>
        <w:jc w:val="center"/>
        <w:rPr>
          <w:rFonts w:ascii="Calibri" w:hAnsi="Calibri" w:cs="Calibri"/>
          <w:b/>
          <w:bCs/>
          <w:sz w:val="24"/>
          <w:szCs w:val="24"/>
          <w:rtl/>
        </w:rPr>
      </w:pPr>
    </w:p>
    <w:p w:rsidR="00E43A58" w:rsidRPr="00E43A58" w:rsidRDefault="00E43A58" w:rsidP="00E43A58">
      <w:pPr>
        <w:pStyle w:val="a5"/>
        <w:spacing w:line="360" w:lineRule="auto"/>
        <w:ind w:left="360" w:right="-101"/>
        <w:jc w:val="center"/>
        <w:rPr>
          <w:rFonts w:ascii="Calibri" w:hAnsi="Calibri" w:cs="Calibri"/>
          <w:b/>
          <w:bCs/>
          <w:sz w:val="24"/>
          <w:szCs w:val="24"/>
          <w:rtl/>
        </w:rPr>
      </w:pPr>
      <w:r w:rsidRPr="00E43A58">
        <w:rPr>
          <w:rFonts w:ascii="Calibri" w:hAnsi="Calibri" w:cs="Calibri"/>
          <w:b/>
          <w:bCs/>
          <w:sz w:val="24"/>
          <w:szCs w:val="24"/>
          <w:rtl/>
        </w:rPr>
        <w:t xml:space="preserve">איור </w:t>
      </w:r>
      <w:r w:rsidRPr="00E43A58">
        <w:rPr>
          <w:rFonts w:ascii="Calibri" w:hAnsi="Calibri" w:cs="Calibri"/>
          <w:b/>
          <w:bCs/>
          <w:sz w:val="24"/>
          <w:szCs w:val="24"/>
        </w:rPr>
        <w:t>4</w:t>
      </w:r>
      <w:r w:rsidRPr="00E43A58">
        <w:rPr>
          <w:rFonts w:ascii="Calibri" w:hAnsi="Calibri" w:cs="Calibri"/>
          <w:b/>
          <w:bCs/>
          <w:sz w:val="24"/>
          <w:szCs w:val="24"/>
          <w:rtl/>
        </w:rPr>
        <w:t xml:space="preserve">: המרווח בין אג"ח חברות צמודות (תל בונד 60) לאג"ח ממשלתיות צמודות </w:t>
      </w:r>
      <w:r w:rsidRPr="00E43A58">
        <w:rPr>
          <w:rFonts w:ascii="Calibri" w:hAnsi="Calibri" w:cs="Calibri"/>
          <w:b/>
          <w:bCs/>
          <w:sz w:val="24"/>
          <w:szCs w:val="24"/>
          <w:rtl/>
        </w:rPr>
        <w:br/>
        <w:t>(ממוצע חודשי)</w:t>
      </w:r>
    </w:p>
    <w:p w:rsidR="00E43A58" w:rsidRPr="00E43A58" w:rsidRDefault="00E43A58" w:rsidP="00E43A58">
      <w:pPr>
        <w:pStyle w:val="a5"/>
        <w:spacing w:line="360" w:lineRule="auto"/>
        <w:ind w:left="-52" w:right="-101"/>
        <w:jc w:val="center"/>
        <w:rPr>
          <w:rFonts w:ascii="Calibri" w:hAnsi="Calibri" w:cs="Calibri"/>
          <w:b/>
          <w:bCs/>
          <w:sz w:val="24"/>
          <w:szCs w:val="24"/>
          <w:rtl/>
        </w:rPr>
      </w:pPr>
      <w:r w:rsidRPr="00E43A58">
        <w:rPr>
          <w:rFonts w:ascii="Calibri" w:hAnsi="Calibri" w:cs="Calibri"/>
          <w:b/>
          <w:bCs/>
          <w:noProof/>
          <w:sz w:val="24"/>
          <w:szCs w:val="24"/>
        </w:rPr>
        <w:drawing>
          <wp:inline distT="0" distB="0" distL="0" distR="0" wp14:anchorId="3F4BCCC2" wp14:editId="59FAF342">
            <wp:extent cx="5255260" cy="2609215"/>
            <wp:effectExtent l="0" t="0" r="2540" b="635"/>
            <wp:docPr id="24" name="תמונה 24" descr="איור 4: המרווח בין אג&quot;ח חברות צמודות (תל בונד 60) לאג&quot;ח ממשלתיות צמודות &#10;(ממוצע חודשי)&#10;" title="איור 4: המרווח בין אג&quot;ח חברות צמודות (תל בונד 60) לאג&quot;ח ממשלתיות צמוד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5260" cy="2609215"/>
                    </a:xfrm>
                    <a:prstGeom prst="rect">
                      <a:avLst/>
                    </a:prstGeom>
                    <a:noFill/>
                  </pic:spPr>
                </pic:pic>
              </a:graphicData>
            </a:graphic>
          </wp:inline>
        </w:drawing>
      </w:r>
    </w:p>
    <w:p w:rsidR="00E43A58" w:rsidRPr="00E43A58" w:rsidRDefault="00E43A58" w:rsidP="00E43A58">
      <w:pPr>
        <w:pStyle w:val="a5"/>
        <w:spacing w:line="360" w:lineRule="auto"/>
        <w:ind w:left="360" w:right="-101"/>
        <w:jc w:val="center"/>
        <w:rPr>
          <w:rFonts w:ascii="Calibri" w:hAnsi="Calibri" w:cs="Calibri"/>
          <w:sz w:val="24"/>
          <w:szCs w:val="24"/>
          <w:u w:val="single"/>
          <w:rtl/>
        </w:rPr>
      </w:pPr>
    </w:p>
    <w:p w:rsidR="00E43A58" w:rsidRPr="00E43A58" w:rsidRDefault="00E43A58" w:rsidP="00E43A58">
      <w:pPr>
        <w:pStyle w:val="a5"/>
        <w:numPr>
          <w:ilvl w:val="0"/>
          <w:numId w:val="34"/>
        </w:numPr>
        <w:spacing w:after="0" w:line="360" w:lineRule="auto"/>
        <w:jc w:val="both"/>
        <w:rPr>
          <w:rStyle w:val="11"/>
          <w:rFonts w:ascii="Calibri" w:eastAsiaTheme="minorHAnsi" w:hAnsi="Calibri" w:cs="Calibri"/>
          <w:sz w:val="24"/>
          <w:szCs w:val="24"/>
        </w:rPr>
      </w:pPr>
      <w:r w:rsidRPr="00E43A58">
        <w:rPr>
          <w:rStyle w:val="11"/>
          <w:rFonts w:ascii="Calibri" w:eastAsiaTheme="minorHAnsi" w:hAnsi="Calibri" w:cs="Calibri"/>
          <w:sz w:val="24"/>
          <w:szCs w:val="24"/>
          <w:rtl/>
        </w:rPr>
        <w:t>החוב של משקי הבית</w:t>
      </w:r>
    </w:p>
    <w:p w:rsidR="00E43A58" w:rsidRPr="00E43A58" w:rsidRDefault="00E43A58" w:rsidP="00E43A58">
      <w:pPr>
        <w:pStyle w:val="a5"/>
        <w:numPr>
          <w:ilvl w:val="0"/>
          <w:numId w:val="33"/>
        </w:numPr>
        <w:spacing w:before="240" w:after="120" w:line="360" w:lineRule="auto"/>
        <w:rPr>
          <w:rFonts w:ascii="Calibri" w:hAnsi="Calibri" w:cs="Calibri"/>
          <w:sz w:val="24"/>
          <w:szCs w:val="24"/>
          <w:rtl/>
        </w:rPr>
      </w:pPr>
      <w:r w:rsidRPr="00E43A58">
        <w:rPr>
          <w:rFonts w:ascii="Calibri" w:hAnsi="Calibri" w:cs="Calibri"/>
          <w:sz w:val="24"/>
          <w:szCs w:val="24"/>
          <w:rtl/>
        </w:rPr>
        <w:t xml:space="preserve">ברביע הראשון של שנת 2025 </w:t>
      </w:r>
      <w:r w:rsidRPr="00E43A58">
        <w:rPr>
          <w:rFonts w:ascii="Calibri" w:hAnsi="Calibri" w:cs="Calibri"/>
          <w:b/>
          <w:bCs/>
          <w:sz w:val="24"/>
          <w:szCs w:val="24"/>
          <w:rtl/>
        </w:rPr>
        <w:t xml:space="preserve">יתרת החוב של משקי הבית </w:t>
      </w:r>
      <w:r w:rsidRPr="00E43A58">
        <w:rPr>
          <w:rFonts w:ascii="Calibri" w:hAnsi="Calibri" w:cs="Calibri"/>
          <w:sz w:val="24"/>
          <w:szCs w:val="24"/>
          <w:rtl/>
        </w:rPr>
        <w:t>המשיכה לגדול</w:t>
      </w:r>
      <w:r w:rsidRPr="00E43A58">
        <w:rPr>
          <w:rFonts w:ascii="Calibri" w:hAnsi="Calibri" w:cs="Calibri"/>
          <w:b/>
          <w:bCs/>
          <w:sz w:val="24"/>
          <w:szCs w:val="24"/>
          <w:rtl/>
        </w:rPr>
        <w:t xml:space="preserve"> </w:t>
      </w:r>
      <w:r w:rsidRPr="00E43A58">
        <w:rPr>
          <w:rFonts w:ascii="Calibri" w:hAnsi="Calibri" w:cs="Calibri"/>
          <w:sz w:val="24"/>
          <w:szCs w:val="24"/>
          <w:rtl/>
        </w:rPr>
        <w:t>לכ-855 מיליארדי ש"ח – עלייה של כ-9 מיליארדים - אם כי חלה האטה בקצב גידולה של יתרה זו הרביע, כ-1.1% לעומת 1.8% ברביע הקודם: עיקר העלייה (כ-7 מיליארדי ש"ח, 1%) מקורה</w:t>
      </w:r>
      <w:r w:rsidRPr="00E43A58">
        <w:rPr>
          <w:rFonts w:ascii="Calibri" w:hAnsi="Calibri" w:cs="Calibri"/>
          <w:b/>
          <w:bCs/>
          <w:sz w:val="24"/>
          <w:szCs w:val="24"/>
          <w:rtl/>
        </w:rPr>
        <w:t xml:space="preserve"> בעלייה ביתרת החוב לדיור</w:t>
      </w:r>
      <w:r w:rsidRPr="00E43A58">
        <w:rPr>
          <w:rFonts w:ascii="Calibri" w:hAnsi="Calibri" w:cs="Calibri"/>
          <w:sz w:val="24"/>
          <w:szCs w:val="24"/>
          <w:rtl/>
        </w:rPr>
        <w:t xml:space="preserve">, כמעט כולה לבנקים, </w:t>
      </w:r>
      <w:r w:rsidRPr="00E43A58">
        <w:rPr>
          <w:rFonts w:ascii="Calibri" w:hAnsi="Calibri" w:cs="Calibri"/>
          <w:sz w:val="24"/>
          <w:szCs w:val="24"/>
          <w:rtl/>
        </w:rPr>
        <w:lastRenderedPageBreak/>
        <w:t xml:space="preserve">לכ-618 מיליארדי ש"ח; </w:t>
      </w:r>
      <w:r w:rsidRPr="00E43A58">
        <w:rPr>
          <w:rFonts w:ascii="Calibri" w:hAnsi="Calibri" w:cs="Calibri"/>
          <w:b/>
          <w:bCs/>
          <w:sz w:val="24"/>
          <w:szCs w:val="24"/>
          <w:rtl/>
        </w:rPr>
        <w:t>יתרת</w:t>
      </w:r>
      <w:r w:rsidRPr="00E43A58">
        <w:rPr>
          <w:rFonts w:ascii="Calibri" w:hAnsi="Calibri" w:cs="Calibri"/>
          <w:sz w:val="24"/>
          <w:szCs w:val="24"/>
          <w:rtl/>
        </w:rPr>
        <w:t xml:space="preserve"> </w:t>
      </w:r>
      <w:r w:rsidRPr="00E43A58">
        <w:rPr>
          <w:rFonts w:ascii="Calibri" w:hAnsi="Calibri" w:cs="Calibri"/>
          <w:b/>
          <w:bCs/>
          <w:sz w:val="24"/>
          <w:szCs w:val="24"/>
          <w:rtl/>
        </w:rPr>
        <w:t>החוב לא-לדיור</w:t>
      </w:r>
      <w:r w:rsidRPr="00E43A58">
        <w:rPr>
          <w:rFonts w:ascii="Calibri" w:hAnsi="Calibri" w:cs="Calibri"/>
          <w:sz w:val="24"/>
          <w:szCs w:val="24"/>
          <w:rtl/>
        </w:rPr>
        <w:t xml:space="preserve"> גדלה מעט אף היא ברביע זה בשיעור של כ-0.7% (כ-2 מיליארדי ש"ח) לכ-237 מיליארדים, כאשר הגידול בה התרכז ביתרת החוב לבנקים ולחברות כרטיסי האשראי. </w:t>
      </w:r>
    </w:p>
    <w:p w:rsidR="00E43A58" w:rsidRPr="00E43A58" w:rsidRDefault="00E43A58" w:rsidP="00E43A58">
      <w:pPr>
        <w:pStyle w:val="a5"/>
        <w:numPr>
          <w:ilvl w:val="0"/>
          <w:numId w:val="33"/>
        </w:numPr>
        <w:spacing w:before="240" w:after="120" w:line="360" w:lineRule="auto"/>
        <w:rPr>
          <w:rFonts w:ascii="Calibri" w:hAnsi="Calibri" w:cs="Calibri"/>
          <w:sz w:val="24"/>
          <w:szCs w:val="24"/>
        </w:rPr>
      </w:pPr>
      <w:r w:rsidRPr="00E43A58">
        <w:rPr>
          <w:rFonts w:ascii="Calibri" w:hAnsi="Calibri" w:cs="Calibri"/>
          <w:sz w:val="24"/>
          <w:szCs w:val="24"/>
          <w:rtl/>
        </w:rPr>
        <w:t xml:space="preserve">השפעות אלו הביאו לכך ששיעור הגידול השנתי של יתרת החוב לדיור עלה מעט ברביע זה – 8% לעומת 7% ברביע הקודם. ואילו שיעור הגידול השנתי של יתרת החוב שלא-לדיור נותר חיובי, אך ירד מעט – 4% לעומת 5% ברביע הקודם. (איור 5). </w:t>
      </w:r>
    </w:p>
    <w:p w:rsidR="00E43A58" w:rsidRPr="00E43A58" w:rsidRDefault="00E43A58" w:rsidP="00E43A58">
      <w:pPr>
        <w:pStyle w:val="a5"/>
        <w:numPr>
          <w:ilvl w:val="0"/>
          <w:numId w:val="33"/>
        </w:numPr>
        <w:spacing w:before="240" w:after="120" w:line="360" w:lineRule="auto"/>
        <w:rPr>
          <w:rFonts w:ascii="Calibri" w:hAnsi="Calibri" w:cs="Calibri"/>
          <w:sz w:val="24"/>
          <w:szCs w:val="24"/>
        </w:rPr>
      </w:pPr>
      <w:r w:rsidRPr="00E43A58">
        <w:rPr>
          <w:rFonts w:ascii="Calibri" w:hAnsi="Calibri" w:cs="Calibri"/>
          <w:sz w:val="24"/>
          <w:szCs w:val="24"/>
          <w:rtl/>
        </w:rPr>
        <w:t xml:space="preserve">העלייה בחוב לדיור היא תוצאה של המשך נטילת משכנתאות חדשות מהבנקים, שהחלה בסוף שנת 2023, והן הסתכמו ברביע הראשון של השנה, לאחר ניכוי עונתיות, בכ-26 מיליארדי ש"ח, גבוה מהתקופה המקבילה אשתקד (כ-18 מיליארדים). </w:t>
      </w:r>
    </w:p>
    <w:p w:rsidR="00E43A58" w:rsidRPr="00E43A58" w:rsidRDefault="00E43A58" w:rsidP="00E43A58">
      <w:pPr>
        <w:pStyle w:val="a5"/>
        <w:spacing w:before="240" w:after="120" w:line="360" w:lineRule="auto"/>
        <w:rPr>
          <w:rFonts w:ascii="Calibri" w:hAnsi="Calibri" w:cs="Calibri"/>
          <w:sz w:val="24"/>
          <w:szCs w:val="24"/>
        </w:rPr>
      </w:pPr>
      <w:r w:rsidRPr="00E43A58">
        <w:rPr>
          <w:rFonts w:ascii="Calibri" w:hAnsi="Calibri" w:cs="Calibri"/>
          <w:sz w:val="24"/>
          <w:szCs w:val="24"/>
          <w:rtl/>
        </w:rPr>
        <w:t>גם בחודשים אפריל-מאי 2025 נמשכה העלייה בנטילת משכנתאות חדשות מהבנקים והן הסתכמו, לאחר ניכוי עונתיות, בכ-9 מיליארדי ש"ח בממוצע לחודש. (איור 6).</w:t>
      </w:r>
    </w:p>
    <w:p w:rsidR="00E43A58" w:rsidRPr="00E43A58" w:rsidRDefault="00E43A58" w:rsidP="00E43A58">
      <w:pPr>
        <w:spacing w:line="360" w:lineRule="auto"/>
        <w:jc w:val="center"/>
        <w:rPr>
          <w:rFonts w:ascii="Calibri" w:hAnsi="Calibri" w:cs="Calibri"/>
          <w:b/>
          <w:bCs/>
          <w:sz w:val="24"/>
          <w:szCs w:val="24"/>
          <w:rtl/>
        </w:rPr>
      </w:pPr>
    </w:p>
    <w:p w:rsidR="00E43A58" w:rsidRPr="00E43A58" w:rsidRDefault="00E43A58" w:rsidP="00E43A58">
      <w:pPr>
        <w:spacing w:line="360" w:lineRule="auto"/>
        <w:jc w:val="center"/>
        <w:rPr>
          <w:rFonts w:ascii="Calibri" w:hAnsi="Calibri" w:cs="Calibri"/>
          <w:b/>
          <w:bCs/>
          <w:sz w:val="24"/>
          <w:szCs w:val="24"/>
          <w:rtl/>
        </w:rPr>
      </w:pPr>
      <w:r w:rsidRPr="00E43A58">
        <w:rPr>
          <w:rFonts w:ascii="Calibri" w:hAnsi="Calibri" w:cs="Calibri"/>
          <w:b/>
          <w:bCs/>
          <w:sz w:val="24"/>
          <w:szCs w:val="24"/>
          <w:rtl/>
        </w:rPr>
        <w:lastRenderedPageBreak/>
        <w:t xml:space="preserve">לוח </w:t>
      </w:r>
      <w:r w:rsidRPr="00E43A58">
        <w:rPr>
          <w:rFonts w:ascii="Calibri" w:hAnsi="Calibri" w:cs="Calibri"/>
          <w:b/>
          <w:bCs/>
          <w:sz w:val="24"/>
          <w:szCs w:val="24"/>
        </w:rPr>
        <w:t>2</w:t>
      </w:r>
      <w:r w:rsidRPr="00E43A58">
        <w:rPr>
          <w:rFonts w:ascii="Calibri" w:hAnsi="Calibri" w:cs="Calibri"/>
          <w:b/>
          <w:bCs/>
          <w:sz w:val="24"/>
          <w:szCs w:val="24"/>
          <w:rtl/>
        </w:rPr>
        <w:t>: יתרות החוב של משקי הבית</w:t>
      </w:r>
      <w:r w:rsidRPr="00E43A58">
        <w:rPr>
          <w:rFonts w:ascii="Calibri" w:hAnsi="Calibri" w:cs="Calibri"/>
          <w:b/>
          <w:bCs/>
          <w:sz w:val="24"/>
          <w:szCs w:val="24"/>
          <w:vertAlign w:val="superscript"/>
          <w:rtl/>
        </w:rPr>
        <w:t>1</w:t>
      </w:r>
      <w:r w:rsidRPr="00E43A58">
        <w:rPr>
          <w:rFonts w:ascii="Calibri" w:hAnsi="Calibri" w:cs="Calibri"/>
          <w:sz w:val="24"/>
          <w:szCs w:val="24"/>
        </w:rPr>
        <w:t xml:space="preserve"> </w:t>
      </w:r>
      <w:r w:rsidRPr="00E43A58">
        <w:rPr>
          <w:rFonts w:ascii="Calibri" w:hAnsi="Calibri" w:cs="Calibri"/>
          <w:noProof/>
          <w:rtl/>
        </w:rPr>
        <w:drawing>
          <wp:inline distT="0" distB="0" distL="0" distR="0" wp14:anchorId="0B532171" wp14:editId="0F36A633">
            <wp:extent cx="5278120" cy="4843750"/>
            <wp:effectExtent l="0" t="0" r="0" b="0"/>
            <wp:docPr id="9" name="תמונה 9" descr="לוח 2: יתרות החוב של משקי הבית" title="לוח 2: יתרות החוב של משקי ה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4843750"/>
                    </a:xfrm>
                    <a:prstGeom prst="rect">
                      <a:avLst/>
                    </a:prstGeom>
                    <a:noFill/>
                    <a:ln>
                      <a:noFill/>
                    </a:ln>
                  </pic:spPr>
                </pic:pic>
              </a:graphicData>
            </a:graphic>
          </wp:inline>
        </w:drawing>
      </w: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r w:rsidRPr="00E43A58">
        <w:rPr>
          <w:rFonts w:ascii="Calibri" w:hAnsi="Calibri" w:cs="Calibri"/>
          <w:b/>
          <w:bCs/>
          <w:sz w:val="24"/>
          <w:szCs w:val="24"/>
          <w:rtl/>
        </w:rPr>
        <w:t xml:space="preserve">איור </w:t>
      </w:r>
      <w:r w:rsidRPr="00E43A58">
        <w:rPr>
          <w:rFonts w:ascii="Calibri" w:hAnsi="Calibri" w:cs="Calibri"/>
          <w:b/>
          <w:bCs/>
          <w:sz w:val="24"/>
          <w:szCs w:val="24"/>
        </w:rPr>
        <w:t>5</w:t>
      </w:r>
      <w:r w:rsidRPr="00E43A58">
        <w:rPr>
          <w:rFonts w:ascii="Calibri" w:hAnsi="Calibri" w:cs="Calibri"/>
          <w:b/>
          <w:bCs/>
          <w:sz w:val="24"/>
          <w:szCs w:val="24"/>
          <w:rtl/>
        </w:rPr>
        <w:t>: שיעורי השינוי לעומת הרביע המקביל בשנה הקודמת בחוב של משקי הבית לדיור ושלא לדיור</w:t>
      </w:r>
    </w:p>
    <w:p w:rsidR="00E43A58" w:rsidRPr="00E43A58" w:rsidRDefault="00E43A58" w:rsidP="00E43A58">
      <w:pPr>
        <w:jc w:val="center"/>
        <w:rPr>
          <w:rFonts w:ascii="Calibri" w:hAnsi="Calibri" w:cs="Calibri"/>
          <w:b/>
          <w:bCs/>
          <w:sz w:val="24"/>
          <w:szCs w:val="24"/>
        </w:rPr>
      </w:pPr>
    </w:p>
    <w:p w:rsidR="00E43A58" w:rsidRPr="00E43A58" w:rsidRDefault="00E43A58" w:rsidP="00E43A58">
      <w:pPr>
        <w:jc w:val="center"/>
        <w:rPr>
          <w:rFonts w:ascii="Calibri" w:hAnsi="Calibri" w:cs="Calibri"/>
          <w:b/>
          <w:bCs/>
          <w:sz w:val="24"/>
          <w:szCs w:val="24"/>
          <w:rtl/>
        </w:rPr>
      </w:pPr>
      <w:r w:rsidRPr="00E43A58">
        <w:rPr>
          <w:rFonts w:ascii="Calibri" w:hAnsi="Calibri" w:cs="Calibri"/>
          <w:b/>
          <w:bCs/>
          <w:noProof/>
          <w:sz w:val="24"/>
          <w:szCs w:val="24"/>
        </w:rPr>
        <w:drawing>
          <wp:inline distT="0" distB="0" distL="0" distR="0" wp14:anchorId="3E92A435" wp14:editId="1AB24924">
            <wp:extent cx="5255260" cy="2731135"/>
            <wp:effectExtent l="0" t="0" r="2540" b="0"/>
            <wp:docPr id="13" name="תמונה 13" descr="איור 5: שיעורי השינוי לעומת הרביע המקביל בשנה הקודמת בחוב של משקי הבית לדיור ושלא לדיור" title="איור 5: שיעורי השינוי לעומת הרביע המקביל בשנה הקודמת בחוב של משקי הבית לדיור ושלא לד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5260" cy="2731135"/>
                    </a:xfrm>
                    <a:prstGeom prst="rect">
                      <a:avLst/>
                    </a:prstGeom>
                    <a:noFill/>
                  </pic:spPr>
                </pic:pic>
              </a:graphicData>
            </a:graphic>
          </wp:inline>
        </w:drawing>
      </w:r>
    </w:p>
    <w:p w:rsidR="00E43A58" w:rsidRPr="00E43A58" w:rsidRDefault="00E43A58" w:rsidP="00E43A58">
      <w:pPr>
        <w:jc w:val="center"/>
        <w:rPr>
          <w:rFonts w:ascii="Calibri" w:hAnsi="Calibri" w:cs="Calibri"/>
          <w:b/>
          <w:bCs/>
          <w:sz w:val="24"/>
          <w:szCs w:val="24"/>
          <w:rtl/>
        </w:rPr>
      </w:pPr>
    </w:p>
    <w:p w:rsidR="00E43A58" w:rsidRPr="00E43A58" w:rsidRDefault="00E43A58" w:rsidP="00E43A58">
      <w:pPr>
        <w:jc w:val="center"/>
        <w:rPr>
          <w:rFonts w:ascii="Calibri" w:hAnsi="Calibri" w:cs="Calibri"/>
          <w:b/>
          <w:bCs/>
          <w:sz w:val="24"/>
          <w:szCs w:val="24"/>
          <w:rtl/>
        </w:rPr>
      </w:pPr>
      <w:r w:rsidRPr="00E43A58">
        <w:rPr>
          <w:rFonts w:ascii="Calibri" w:hAnsi="Calibri" w:cs="Calibri"/>
          <w:b/>
          <w:bCs/>
          <w:sz w:val="24"/>
          <w:szCs w:val="24"/>
          <w:rtl/>
        </w:rPr>
        <w:t>איור 6: סכום ההלוואות החדשות לרכישת דירת מגורים שהעמידו הבנקים לציבור (משכנתאות)</w:t>
      </w:r>
    </w:p>
    <w:p w:rsidR="00E43A58" w:rsidRPr="00E43A58" w:rsidRDefault="00E43A58" w:rsidP="00E43A58">
      <w:pPr>
        <w:pStyle w:val="a5"/>
        <w:spacing w:before="480" w:line="360" w:lineRule="auto"/>
        <w:ind w:left="0"/>
        <w:rPr>
          <w:rFonts w:ascii="Calibri" w:hAnsi="Calibri" w:cs="Calibri"/>
          <w:sz w:val="24"/>
          <w:szCs w:val="24"/>
          <w:rtl/>
        </w:rPr>
      </w:pPr>
      <w:r w:rsidRPr="00E43A58">
        <w:rPr>
          <w:rFonts w:ascii="Calibri" w:hAnsi="Calibri" w:cs="Calibri"/>
          <w:noProof/>
          <w:sz w:val="24"/>
          <w:szCs w:val="24"/>
        </w:rPr>
        <w:drawing>
          <wp:inline distT="0" distB="0" distL="0" distR="0" wp14:anchorId="44ACB348" wp14:editId="3066BCC1">
            <wp:extent cx="5248910" cy="2712720"/>
            <wp:effectExtent l="0" t="0" r="8890" b="0"/>
            <wp:docPr id="18" name="תמונה 18" descr="איור 6: סכום ההלוואות החדשות לרכישת דירת מגורים שהעמידו הבנקים לציבור (משכנתאות)" title="איור 6: סכום ההלוואות החדשות לרכישת דירת מגורים שהעמידו הבנקים לציבור (משכנת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8910" cy="2712720"/>
                    </a:xfrm>
                    <a:prstGeom prst="rect">
                      <a:avLst/>
                    </a:prstGeom>
                    <a:noFill/>
                  </pic:spPr>
                </pic:pic>
              </a:graphicData>
            </a:graphic>
          </wp:inline>
        </w:drawing>
      </w:r>
    </w:p>
    <w:p w:rsidR="00E43A58" w:rsidRPr="00E43A58" w:rsidRDefault="00E43A58" w:rsidP="00E43A58">
      <w:pPr>
        <w:pStyle w:val="a5"/>
        <w:spacing w:before="480" w:line="360" w:lineRule="auto"/>
        <w:ind w:left="0"/>
        <w:rPr>
          <w:rFonts w:ascii="Calibri" w:hAnsi="Calibri" w:cs="Calibri"/>
          <w:sz w:val="24"/>
          <w:szCs w:val="24"/>
          <w:rtl/>
        </w:rPr>
      </w:pPr>
    </w:p>
    <w:p w:rsidR="00570C50" w:rsidRPr="00E43A58" w:rsidRDefault="00E43A58" w:rsidP="00E43A58">
      <w:pPr>
        <w:pStyle w:val="a5"/>
        <w:spacing w:before="480" w:line="360" w:lineRule="auto"/>
        <w:ind w:left="0"/>
        <w:rPr>
          <w:rFonts w:ascii="Calibri" w:hAnsi="Calibri" w:cs="Calibri"/>
          <w:sz w:val="24"/>
          <w:szCs w:val="24"/>
          <w:rtl/>
        </w:rPr>
      </w:pPr>
      <w:r w:rsidRPr="00E43A58">
        <w:rPr>
          <w:rFonts w:ascii="Calibri" w:hAnsi="Calibri" w:cs="Calibri"/>
          <w:sz w:val="24"/>
          <w:szCs w:val="24"/>
          <w:rtl/>
        </w:rPr>
        <w:t xml:space="preserve">ראה קישור למידע נוסף בנושא המופיע באתר הבנק בדף </w:t>
      </w:r>
      <w:hyperlink r:id="rId17" w:anchor="mainContent" w:history="1">
        <w:r w:rsidRPr="00E43A58">
          <w:rPr>
            <w:rStyle w:val="Hyperlink"/>
            <w:rFonts w:ascii="Calibri" w:hAnsi="Calibri" w:cs="Calibri"/>
            <w:sz w:val="24"/>
            <w:szCs w:val="24"/>
            <w:rtl/>
          </w:rPr>
          <w:t>יתרות האשראי במשק</w:t>
        </w:r>
      </w:hyperlink>
      <w:r w:rsidRPr="00E43A58">
        <w:rPr>
          <w:rFonts w:ascii="Calibri" w:hAnsi="Calibri" w:cs="Calibri"/>
          <w:sz w:val="24"/>
          <w:szCs w:val="24"/>
          <w:rtl/>
        </w:rPr>
        <w:t xml:space="preserve">, קישור </w:t>
      </w:r>
      <w:hyperlink r:id="rId18" w:anchor="mainContent" w:history="1">
        <w:r w:rsidRPr="00E43A58">
          <w:rPr>
            <w:rStyle w:val="Hyperlink"/>
            <w:rFonts w:ascii="Calibri" w:hAnsi="Calibri" w:cs="Calibri"/>
            <w:sz w:val="24"/>
            <w:szCs w:val="24"/>
            <w:rtl/>
          </w:rPr>
          <w:t>לנתוני משכנתאות</w:t>
        </w:r>
      </w:hyperlink>
      <w:r w:rsidRPr="00E43A58">
        <w:rPr>
          <w:rFonts w:ascii="Calibri" w:hAnsi="Calibri" w:cs="Calibri"/>
          <w:sz w:val="24"/>
          <w:szCs w:val="24"/>
          <w:rtl/>
        </w:rPr>
        <w:t xml:space="preserve">, קישור לנתוני </w:t>
      </w:r>
      <w:hyperlink r:id="rId19" w:anchor="mainContent" w:history="1">
        <w:r w:rsidRPr="00E43A58">
          <w:rPr>
            <w:rStyle w:val="Hyperlink"/>
            <w:rFonts w:ascii="Calibri" w:hAnsi="Calibri" w:cs="Calibri"/>
            <w:sz w:val="24"/>
            <w:szCs w:val="24"/>
            <w:rtl/>
          </w:rPr>
          <w:t>מחירים בבנקים</w:t>
        </w:r>
      </w:hyperlink>
      <w:r w:rsidRPr="00E43A58">
        <w:rPr>
          <w:rFonts w:ascii="Calibri" w:hAnsi="Calibri" w:cs="Calibri"/>
          <w:sz w:val="24"/>
          <w:szCs w:val="24"/>
          <w:rtl/>
        </w:rPr>
        <w:t xml:space="preserve">. </w:t>
      </w:r>
    </w:p>
    <w:sectPr w:rsidR="00570C50" w:rsidRPr="00E43A58" w:rsidSect="001D340E">
      <w:footerReference w:type="first" r:id="rId2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E43A58" w:rsidRPr="00E43A58" w:rsidRDefault="00E43A58" w:rsidP="00E43A58">
      <w:pPr>
        <w:pStyle w:val="af0"/>
        <w:rPr>
          <w:rFonts w:cstheme="minorHAnsi"/>
          <w:sz w:val="22"/>
          <w:szCs w:val="22"/>
          <w:rtl/>
        </w:rPr>
      </w:pPr>
      <w:r w:rsidRPr="00E43A58">
        <w:rPr>
          <w:rStyle w:val="af2"/>
          <w:rFonts w:cstheme="minorHAnsi"/>
          <w:sz w:val="22"/>
          <w:szCs w:val="22"/>
        </w:rPr>
        <w:footnoteRef/>
      </w:r>
      <w:r w:rsidRPr="00E43A58">
        <w:rPr>
          <w:rFonts w:cstheme="minorHAnsi"/>
          <w:sz w:val="22"/>
          <w:szCs w:val="22"/>
        </w:rPr>
        <w:t xml:space="preserve"> </w:t>
      </w:r>
      <w:r w:rsidRPr="00E43A58">
        <w:rPr>
          <w:rFonts w:cstheme="minorHAnsi"/>
          <w:rtl/>
        </w:rPr>
        <w:t>חברות עסקיות ישראליות, ללא בנקים, חברות כרטיסי אשראי וחברות ביטוח.</w:t>
      </w:r>
    </w:p>
  </w:footnote>
  <w:footnote w:id="2">
    <w:p w:rsidR="00E43A58" w:rsidRPr="00E43A58" w:rsidRDefault="00E43A58" w:rsidP="00E43A58">
      <w:pPr>
        <w:pStyle w:val="af0"/>
        <w:rPr>
          <w:rFonts w:cstheme="minorHAnsi"/>
          <w:rtl/>
        </w:rPr>
      </w:pPr>
      <w:r w:rsidRPr="00E43A58">
        <w:rPr>
          <w:rStyle w:val="af2"/>
          <w:rFonts w:cstheme="minorHAnsi"/>
        </w:rPr>
        <w:footnoteRef/>
      </w:r>
      <w:r w:rsidRPr="00E43A58">
        <w:rPr>
          <w:rFonts w:cstheme="minorHAnsi"/>
          <w:rtl/>
        </w:rPr>
        <w:t xml:space="preserve"> יתרות צמודות מדד מחושבות לפי מדד ידוע בעת עריכת הדוחות הכספיים, על כן שינוי במדד המחירים מתייחס לשינוי בין מדד ידוע לבין המדד בחודש שקדם לו.</w:t>
      </w:r>
    </w:p>
  </w:footnote>
  <w:footnote w:id="3">
    <w:p w:rsidR="00E43A58" w:rsidRPr="00E43A58" w:rsidRDefault="00E43A58" w:rsidP="00E43A58">
      <w:pPr>
        <w:pStyle w:val="af0"/>
        <w:rPr>
          <w:rFonts w:cstheme="minorHAnsi"/>
        </w:rPr>
      </w:pPr>
      <w:r w:rsidRPr="00E43A58">
        <w:rPr>
          <w:rStyle w:val="af2"/>
          <w:rFonts w:cstheme="minorHAnsi"/>
          <w:sz w:val="22"/>
          <w:szCs w:val="22"/>
        </w:rPr>
        <w:footnoteRef/>
      </w:r>
      <w:r w:rsidRPr="00E43A58">
        <w:rPr>
          <w:rFonts w:cstheme="minorHAnsi"/>
          <w:sz w:val="22"/>
          <w:szCs w:val="22"/>
        </w:rPr>
        <w:t xml:space="preserve"> </w:t>
      </w:r>
      <w:r w:rsidRPr="00E43A58">
        <w:rPr>
          <w:rFonts w:cstheme="minorHAnsi"/>
          <w:rtl/>
        </w:rPr>
        <w:t>השינוי במרווח בין רביע לרביע מחושב כהפרש בין המרווח הממוצע בחודש האחרון של הרביע הנסקר לבין המרווח הממוצע בחודש האחרון של הרביע הקודם.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6411A"/>
    <w:multiLevelType w:val="hybridMultilevel"/>
    <w:tmpl w:val="F7C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53F2"/>
    <w:multiLevelType w:val="hybridMultilevel"/>
    <w:tmpl w:val="12EE86AA"/>
    <w:lvl w:ilvl="0" w:tplc="C098428A">
      <w:start w:val="1"/>
      <w:numFmt w:val="bullet"/>
      <w:lvlText w:val=""/>
      <w:lvlJc w:val="left"/>
      <w:pPr>
        <w:ind w:left="78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E60E9F"/>
    <w:multiLevelType w:val="hybridMultilevel"/>
    <w:tmpl w:val="33606C72"/>
    <w:lvl w:ilvl="0" w:tplc="C4C8AB0E">
      <w:start w:val="1"/>
      <w:numFmt w:val="decimal"/>
      <w:lvlText w:val="%1."/>
      <w:lvlJc w:val="left"/>
      <w:pPr>
        <w:tabs>
          <w:tab w:val="num" w:pos="720"/>
        </w:tabs>
        <w:ind w:left="720" w:hanging="360"/>
      </w:pPr>
    </w:lvl>
    <w:lvl w:ilvl="1" w:tplc="C30C1A26">
      <w:start w:val="1"/>
      <w:numFmt w:val="hebrew2"/>
      <w:lvlText w:val="%2-"/>
      <w:lvlJc w:val="left"/>
      <w:pPr>
        <w:tabs>
          <w:tab w:val="num" w:pos="1440"/>
        </w:tabs>
        <w:ind w:left="1440" w:hanging="360"/>
      </w:pPr>
    </w:lvl>
    <w:lvl w:ilvl="2" w:tplc="81EA5B78" w:tentative="1">
      <w:start w:val="1"/>
      <w:numFmt w:val="decimal"/>
      <w:lvlText w:val="%3."/>
      <w:lvlJc w:val="left"/>
      <w:pPr>
        <w:tabs>
          <w:tab w:val="num" w:pos="2160"/>
        </w:tabs>
        <w:ind w:left="2160" w:hanging="360"/>
      </w:pPr>
    </w:lvl>
    <w:lvl w:ilvl="3" w:tplc="60F4CBE4" w:tentative="1">
      <w:start w:val="1"/>
      <w:numFmt w:val="decimal"/>
      <w:lvlText w:val="%4."/>
      <w:lvlJc w:val="left"/>
      <w:pPr>
        <w:tabs>
          <w:tab w:val="num" w:pos="2880"/>
        </w:tabs>
        <w:ind w:left="2880" w:hanging="360"/>
      </w:pPr>
    </w:lvl>
    <w:lvl w:ilvl="4" w:tplc="A7840580" w:tentative="1">
      <w:start w:val="1"/>
      <w:numFmt w:val="decimal"/>
      <w:lvlText w:val="%5."/>
      <w:lvlJc w:val="left"/>
      <w:pPr>
        <w:tabs>
          <w:tab w:val="num" w:pos="3600"/>
        </w:tabs>
        <w:ind w:left="3600" w:hanging="360"/>
      </w:pPr>
    </w:lvl>
    <w:lvl w:ilvl="5" w:tplc="49828028" w:tentative="1">
      <w:start w:val="1"/>
      <w:numFmt w:val="decimal"/>
      <w:lvlText w:val="%6."/>
      <w:lvlJc w:val="left"/>
      <w:pPr>
        <w:tabs>
          <w:tab w:val="num" w:pos="4320"/>
        </w:tabs>
        <w:ind w:left="4320" w:hanging="360"/>
      </w:pPr>
    </w:lvl>
    <w:lvl w:ilvl="6" w:tplc="13D63AC2" w:tentative="1">
      <w:start w:val="1"/>
      <w:numFmt w:val="decimal"/>
      <w:lvlText w:val="%7."/>
      <w:lvlJc w:val="left"/>
      <w:pPr>
        <w:tabs>
          <w:tab w:val="num" w:pos="5040"/>
        </w:tabs>
        <w:ind w:left="5040" w:hanging="360"/>
      </w:pPr>
    </w:lvl>
    <w:lvl w:ilvl="7" w:tplc="9D00938A" w:tentative="1">
      <w:start w:val="1"/>
      <w:numFmt w:val="decimal"/>
      <w:lvlText w:val="%8."/>
      <w:lvlJc w:val="left"/>
      <w:pPr>
        <w:tabs>
          <w:tab w:val="num" w:pos="5760"/>
        </w:tabs>
        <w:ind w:left="5760" w:hanging="360"/>
      </w:pPr>
    </w:lvl>
    <w:lvl w:ilvl="8" w:tplc="C23AC158" w:tentative="1">
      <w:start w:val="1"/>
      <w:numFmt w:val="decimal"/>
      <w:lvlText w:val="%9."/>
      <w:lvlJc w:val="left"/>
      <w:pPr>
        <w:tabs>
          <w:tab w:val="num" w:pos="6480"/>
        </w:tabs>
        <w:ind w:left="6480" w:hanging="360"/>
      </w:pPr>
    </w:lvl>
  </w:abstractNum>
  <w:abstractNum w:abstractNumId="16" w15:restartNumberingAfterBreak="0">
    <w:nsid w:val="3E034AED"/>
    <w:multiLevelType w:val="hybridMultilevel"/>
    <w:tmpl w:val="440A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D5319A"/>
    <w:multiLevelType w:val="hybridMultilevel"/>
    <w:tmpl w:val="919C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2" w15:restartNumberingAfterBreak="0">
    <w:nsid w:val="6E7007A1"/>
    <w:multiLevelType w:val="hybridMultilevel"/>
    <w:tmpl w:val="773A65F2"/>
    <w:lvl w:ilvl="0" w:tplc="AAE6AD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7"/>
  </w:num>
  <w:num w:numId="4">
    <w:abstractNumId w:val="9"/>
  </w:num>
  <w:num w:numId="5">
    <w:abstractNumId w:val="8"/>
  </w:num>
  <w:num w:numId="6">
    <w:abstractNumId w:val="4"/>
  </w:num>
  <w:num w:numId="7">
    <w:abstractNumId w:val="19"/>
  </w:num>
  <w:num w:numId="8">
    <w:abstractNumId w:val="25"/>
  </w:num>
  <w:num w:numId="9">
    <w:abstractNumId w:val="28"/>
  </w:num>
  <w:num w:numId="10">
    <w:abstractNumId w:val="22"/>
  </w:num>
  <w:num w:numId="11">
    <w:abstractNumId w:val="17"/>
  </w:num>
  <w:num w:numId="12">
    <w:abstractNumId w:val="23"/>
  </w:num>
  <w:num w:numId="13">
    <w:abstractNumId w:val="14"/>
  </w:num>
  <w:num w:numId="14">
    <w:abstractNumId w:val="5"/>
  </w:num>
  <w:num w:numId="15">
    <w:abstractNumId w:val="24"/>
  </w:num>
  <w:num w:numId="16">
    <w:abstractNumId w:val="2"/>
  </w:num>
  <w:num w:numId="17">
    <w:abstractNumId w:val="33"/>
  </w:num>
  <w:num w:numId="18">
    <w:abstractNumId w:val="29"/>
  </w:num>
  <w:num w:numId="19">
    <w:abstractNumId w:val="27"/>
  </w:num>
  <w:num w:numId="20">
    <w:abstractNumId w:val="26"/>
  </w:num>
  <w:num w:numId="21">
    <w:abstractNumId w:val="0"/>
  </w:num>
  <w:num w:numId="22">
    <w:abstractNumId w:val="10"/>
  </w:num>
  <w:num w:numId="23">
    <w:abstractNumId w:val="30"/>
  </w:num>
  <w:num w:numId="24">
    <w:abstractNumId w:val="12"/>
  </w:num>
  <w:num w:numId="25">
    <w:abstractNumId w:val="15"/>
  </w:num>
  <w:num w:numId="26">
    <w:abstractNumId w:val="31"/>
  </w:num>
  <w:num w:numId="27">
    <w:abstractNumId w:val="21"/>
  </w:num>
  <w:num w:numId="28">
    <w:abstractNumId w:val="13"/>
  </w:num>
  <w:num w:numId="29">
    <w:abstractNumId w:val="18"/>
  </w:num>
  <w:num w:numId="30">
    <w:abstractNumId w:val="3"/>
  </w:num>
  <w:num w:numId="31">
    <w:abstractNumId w:val="21"/>
    <w:lvlOverride w:ilvl="0">
      <w:startOverride w:val="4"/>
    </w:lvlOverride>
  </w:num>
  <w:num w:numId="32">
    <w:abstractNumId w:val="16"/>
  </w:num>
  <w:num w:numId="33">
    <w:abstractNumId w:val="1"/>
  </w:num>
  <w:num w:numId="34">
    <w:abstractNumId w:val="32"/>
  </w:num>
  <w:num w:numId="3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3A58"/>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0BAD"/>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22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0">
    <w:name w:val="heading 1"/>
    <w:basedOn w:val="a"/>
    <w:link w:val="11"/>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1">
    <w:name w:val="כותרת 1 תו"/>
    <w:basedOn w:val="a0"/>
    <w:link w:val="10"/>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0"/>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0"/>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 w:type="paragraph" w:customStyle="1" w:styleId="aff1">
    <w:name w:val="כותרת ראשית"/>
    <w:basedOn w:val="af6"/>
    <w:link w:val="aff2"/>
    <w:qFormat/>
    <w:rsid w:val="00F20BAD"/>
    <w:pPr>
      <w:keepNext w:val="0"/>
      <w:keepLines w:val="0"/>
      <w:spacing w:before="240" w:after="60"/>
    </w:pPr>
    <w:rPr>
      <w:rFonts w:asciiTheme="majorHAnsi" w:eastAsiaTheme="majorEastAsia" w:hAnsiTheme="majorHAnsi" w:cs="David"/>
      <w:kern w:val="28"/>
      <w:sz w:val="28"/>
      <w:szCs w:val="28"/>
      <w:u w:val="single"/>
      <w:lang w:eastAsia="he-IL"/>
    </w:rPr>
  </w:style>
  <w:style w:type="paragraph" w:customStyle="1" w:styleId="aff3">
    <w:name w:val="כותרת לוח"/>
    <w:basedOn w:val="af6"/>
    <w:link w:val="aff4"/>
    <w:qFormat/>
    <w:rsid w:val="00F20BAD"/>
    <w:pPr>
      <w:keepNext w:val="0"/>
      <w:keepLines w:val="0"/>
      <w:spacing w:before="240" w:after="60"/>
    </w:pPr>
    <w:rPr>
      <w:rFonts w:asciiTheme="majorHAnsi" w:eastAsiaTheme="majorEastAsia" w:hAnsiTheme="majorHAnsi" w:cs="David"/>
      <w:kern w:val="28"/>
      <w:u w:val="single"/>
      <w:lang w:eastAsia="he-IL"/>
    </w:rPr>
  </w:style>
  <w:style w:type="character" w:customStyle="1" w:styleId="aff2">
    <w:name w:val="כותרת ראשית תו"/>
    <w:basedOn w:val="af7"/>
    <w:link w:val="aff1"/>
    <w:rsid w:val="00F20BAD"/>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F20BAD"/>
    <w:pPr>
      <w:keepNext/>
      <w:numPr>
        <w:numId w:val="27"/>
      </w:numPr>
      <w:bidi/>
      <w:spacing w:before="0" w:beforeAutospacing="0" w:after="0" w:afterAutospacing="0" w:line="360" w:lineRule="auto"/>
    </w:pPr>
    <w:rPr>
      <w:rFonts w:ascii="Arial" w:hAnsi="Arial" w:cs="David"/>
      <w:sz w:val="24"/>
      <w:szCs w:val="24"/>
      <w:u w:val="single"/>
      <w:lang w:eastAsia="he-IL"/>
    </w:rPr>
  </w:style>
  <w:style w:type="character" w:customStyle="1" w:styleId="aff4">
    <w:name w:val="כותרת לוח תו"/>
    <w:basedOn w:val="af7"/>
    <w:link w:val="aff3"/>
    <w:rsid w:val="00F20BAD"/>
    <w:rPr>
      <w:rFonts w:asciiTheme="majorHAnsi" w:eastAsiaTheme="majorEastAsia" w:hAnsiTheme="majorHAnsi" w:cs="David"/>
      <w:b/>
      <w:bCs/>
      <w:kern w:val="28"/>
      <w:sz w:val="24"/>
      <w:szCs w:val="24"/>
      <w:u w:val="single"/>
      <w:lang w:eastAsia="he-IL"/>
    </w:rPr>
  </w:style>
  <w:style w:type="paragraph" w:customStyle="1" w:styleId="21">
    <w:name w:val="כותרת משנה 2"/>
    <w:basedOn w:val="a"/>
    <w:link w:val="22"/>
    <w:qFormat/>
    <w:rsid w:val="00F20BAD"/>
    <w:pPr>
      <w:spacing w:after="0" w:line="360" w:lineRule="auto"/>
      <w:ind w:right="426"/>
      <w:jc w:val="both"/>
    </w:pPr>
    <w:rPr>
      <w:rFonts w:ascii="Times New Roman" w:eastAsia="Times New Roman" w:hAnsi="Times New Roman" w:cs="David"/>
      <w:sz w:val="24"/>
      <w:szCs w:val="24"/>
      <w:lang w:eastAsia="he-IL"/>
    </w:rPr>
  </w:style>
  <w:style w:type="character" w:customStyle="1" w:styleId="12">
    <w:name w:val="כותרת משנה 1 תו"/>
    <w:basedOn w:val="11"/>
    <w:link w:val="1"/>
    <w:rsid w:val="00F20BAD"/>
    <w:rPr>
      <w:rFonts w:ascii="Arial" w:eastAsia="Times New Roman" w:hAnsi="Arial" w:cs="David"/>
      <w:b/>
      <w:bCs/>
      <w:kern w:val="36"/>
      <w:sz w:val="24"/>
      <w:szCs w:val="24"/>
      <w:u w:val="single"/>
      <w:lang w:eastAsia="he-IL"/>
    </w:rPr>
  </w:style>
  <w:style w:type="character" w:customStyle="1" w:styleId="22">
    <w:name w:val="כותרת משנה 2 תו"/>
    <w:basedOn w:val="a0"/>
    <w:link w:val="21"/>
    <w:rsid w:val="00F20BAD"/>
    <w:rPr>
      <w:rFonts w:ascii="Times New Roman" w:eastAsia="Times New Roman" w:hAnsi="Times New Roman" w:cs="David"/>
      <w:sz w:val="24"/>
      <w:szCs w:val="24"/>
      <w:lang w:eastAsia="he-IL"/>
    </w:rPr>
  </w:style>
  <w:style w:type="paragraph" w:styleId="aff5">
    <w:name w:val="caption"/>
    <w:basedOn w:val="a"/>
    <w:next w:val="a"/>
    <w:unhideWhenUsed/>
    <w:qFormat/>
    <w:rsid w:val="00F20BAD"/>
    <w:pPr>
      <w:spacing w:line="240" w:lineRule="auto"/>
    </w:pPr>
    <w:rPr>
      <w:rFonts w:ascii="Times New Roman" w:eastAsia="Times New Roman" w:hAnsi="Times New Roman" w:cs="Times New Roman"/>
      <w:i/>
      <w:iCs/>
      <w:color w:val="1F497D" w:themeColor="text2"/>
      <w:sz w:val="18"/>
      <w:szCs w:val="18"/>
      <w:lang w:eastAsia="he-IL"/>
    </w:rPr>
  </w:style>
  <w:style w:type="paragraph" w:styleId="aff6">
    <w:name w:val="endnote text"/>
    <w:basedOn w:val="a"/>
    <w:link w:val="aff7"/>
    <w:semiHidden/>
    <w:unhideWhenUsed/>
    <w:rsid w:val="00F20BAD"/>
    <w:pPr>
      <w:spacing w:after="0" w:line="240" w:lineRule="auto"/>
    </w:pPr>
    <w:rPr>
      <w:rFonts w:ascii="Times New Roman" w:eastAsia="Times New Roman" w:hAnsi="Times New Roman" w:cs="Times New Roman"/>
      <w:sz w:val="20"/>
      <w:szCs w:val="20"/>
      <w:lang w:eastAsia="he-IL"/>
    </w:rPr>
  </w:style>
  <w:style w:type="character" w:customStyle="1" w:styleId="aff7">
    <w:name w:val="טקסט הערת סיום תו"/>
    <w:basedOn w:val="a0"/>
    <w:link w:val="aff6"/>
    <w:semiHidden/>
    <w:rsid w:val="00F20BAD"/>
    <w:rPr>
      <w:rFonts w:ascii="Times New Roman" w:eastAsia="Times New Roman" w:hAnsi="Times New Roman" w:cs="Times New Roman"/>
      <w:sz w:val="20"/>
      <w:szCs w:val="20"/>
      <w:lang w:eastAsia="he-IL"/>
    </w:rPr>
  </w:style>
  <w:style w:type="character" w:styleId="aff8">
    <w:name w:val="endnote reference"/>
    <w:basedOn w:val="a0"/>
    <w:semiHidden/>
    <w:unhideWhenUsed/>
    <w:rsid w:val="00F20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boi.org.il/%D7%94%D7%AA%D7%A4%D7%A7%D7%99%D7%93%D7%99%D7%9D-%D7%94%D7%9B%D7%9C%D7%9B%D7%9C%D7%99%D7%99%D7%9D/%D7%A1%D7%98%D7%98%D7%99%D7%A1%D7%98%D7%99%D7%A7%D7%94/%D7%91%D7%A0%D7%A7%D7%99%D7%9D/%D7%90%D7%A9%D7%A8%D7%90%D7%99-%D7%9C%D7%93%D7%99%D7%95%D7%A8/%D7%91%D7%99%D7%A6%D7%95%D7%A2%D7%99%D7%9D-%D7%95%D7%A8%D7%99%D7%91%D7%99%D7%95%D7%A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oi.org.il/%D7%94%D7%AA%D7%A4%D7%A7%D7%99%D7%93%D7%99%D7%9D-%D7%94%D7%9B%D7%9C%D7%9B%D7%9C%D7%99%D7%99%D7%9D/%D7%A1%D7%98%D7%98%D7%99%D7%A1%D7%98%D7%99%D7%A7%D7%94/%D7%94%D7%9E%D7%A6%D7%A8%D7%A4%D7%99%D7%9D-%D7%94%D7%A0%D7%9B%D7%A1%D7%99%D7%9D-%D7%95%D7%94%D7%90%D7%A9%D7%A8%D7%90%D7%99/%D7%94%D7%97%D7%95%D7%91-%D7%95%D7%94%D7%90%D7%A9%D7%A8%D7%90%D7%99/"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boi.org.il/%D7%94%D7%AA%D7%A4%D7%A7%D7%99%D7%93%D7%99%D7%9D-%D7%94%D7%9B%D7%9C%D7%9B%D7%9C%D7%99%D7%99%D7%9D/%D7%A1%D7%98%D7%98%D7%99%D7%A1%D7%98%D7%99%D7%A7%D7%94/%D7%91%D7%A0%D7%A7%D7%99%D7%9D/%D7%90%D7%A9%D7%A8%D7%90%D7%99/%D7%91%D7%99%D7%A6%D7%95%D7%A2%D7%99%D7%9D-%D7%95%D7%A8%D7%99%D7%91%D7%99%D7%95%D7%A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3.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12.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010E-D45C-4221-98ED-D04B948B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929</Words>
  <Characters>4647</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2025-06-23T09:15:00Z</dcterms:created>
  <dcterms:modified xsi:type="dcterms:W3CDTF">2025-06-23T09:15:00Z</dcterms:modified>
</cp:coreProperties>
</file>