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F3BB610" w:rsidR="007617BD" w:rsidRDefault="002959A5" w:rsidP="0080149A">
      <w:pPr>
        <w:pStyle w:val="regpar"/>
        <w:jc w:val="right"/>
      </w:pPr>
      <w:r>
        <w:t>February 22,</w:t>
      </w:r>
      <w:r w:rsidR="0080149A">
        <w:t xml:space="preserve"> 2023</w:t>
      </w:r>
    </w:p>
    <w:p w14:paraId="22D7AE78" w14:textId="474D030A" w:rsidR="00F23C43" w:rsidRDefault="00F23C43" w:rsidP="00F23C43">
      <w:pPr>
        <w:pStyle w:val="regpar"/>
      </w:pPr>
    </w:p>
    <w:p w14:paraId="707A817A" w14:textId="77777777" w:rsidR="00F23C43" w:rsidRPr="007617BD" w:rsidRDefault="00F23C43" w:rsidP="00F23C43">
      <w:pPr>
        <w:pStyle w:val="regpar"/>
      </w:pPr>
    </w:p>
    <w:p w14:paraId="7F193F4B" w14:textId="7C137872" w:rsidR="0080149A" w:rsidRDefault="002959A5" w:rsidP="00FE0B01">
      <w:pPr>
        <w:pStyle w:val="regpar"/>
        <w:ind w:firstLine="0"/>
        <w:jc w:val="center"/>
        <w:rPr>
          <w:b/>
          <w:bCs/>
          <w:sz w:val="26"/>
          <w:szCs w:val="26"/>
        </w:rPr>
      </w:pPr>
      <w:r>
        <w:rPr>
          <w:b/>
          <w:bCs/>
          <w:sz w:val="26"/>
          <w:szCs w:val="26"/>
        </w:rPr>
        <w:t xml:space="preserve">Geographic barriers to education among </w:t>
      </w:r>
      <w:r w:rsidR="00FE0B01">
        <w:rPr>
          <w:b/>
          <w:bCs/>
          <w:sz w:val="26"/>
          <w:szCs w:val="26"/>
        </w:rPr>
        <w:t>disadvantaged communities</w:t>
      </w:r>
      <w:r>
        <w:rPr>
          <w:b/>
          <w:bCs/>
          <w:sz w:val="26"/>
          <w:szCs w:val="26"/>
        </w:rPr>
        <w:t>:</w:t>
      </w:r>
    </w:p>
    <w:p w14:paraId="1113C863" w14:textId="30D4EF54" w:rsidR="002959A5" w:rsidRPr="0080149A" w:rsidRDefault="00B56834" w:rsidP="00FE0B01">
      <w:pPr>
        <w:pStyle w:val="regpar"/>
        <w:ind w:firstLine="0"/>
        <w:jc w:val="center"/>
        <w:rPr>
          <w:b/>
          <w:bCs/>
        </w:rPr>
      </w:pPr>
      <w:r>
        <w:rPr>
          <w:b/>
          <w:bCs/>
          <w:sz w:val="26"/>
          <w:szCs w:val="26"/>
        </w:rPr>
        <w:t>E</w:t>
      </w:r>
      <w:r w:rsidR="00FE0B01">
        <w:rPr>
          <w:b/>
          <w:bCs/>
          <w:sz w:val="26"/>
          <w:szCs w:val="26"/>
        </w:rPr>
        <w:t>vidence from high school openings in Israeli Arab localities</w:t>
      </w:r>
    </w:p>
    <w:p w14:paraId="6C7BCC69" w14:textId="37691855" w:rsidR="0080149A" w:rsidRDefault="0080149A" w:rsidP="00940505">
      <w:pPr>
        <w:pStyle w:val="regpar"/>
        <w:ind w:firstLine="0"/>
        <w:jc w:val="left"/>
      </w:pPr>
    </w:p>
    <w:p w14:paraId="55D73B29" w14:textId="2056555C" w:rsidR="002959A5" w:rsidRDefault="002959A5" w:rsidP="00B56834">
      <w:pPr>
        <w:pStyle w:val="regpar"/>
        <w:numPr>
          <w:ilvl w:val="0"/>
          <w:numId w:val="13"/>
        </w:numPr>
      </w:pPr>
      <w:r>
        <w:t xml:space="preserve">In recent decades, the geographic distribution of </w:t>
      </w:r>
      <w:r w:rsidR="009C186B">
        <w:t>high</w:t>
      </w:r>
      <w:r w:rsidR="00B56834">
        <w:t xml:space="preserve"> </w:t>
      </w:r>
      <w:r>
        <w:t xml:space="preserve">schools in Arab localities has expanded significantly.  </w:t>
      </w:r>
      <w:r w:rsidR="009C186B">
        <w:t xml:space="preserve">At the same </w:t>
      </w:r>
      <w:r w:rsidR="00B56834">
        <w:t>time</w:t>
      </w:r>
      <w:r w:rsidR="009C186B">
        <w:t>,</w:t>
      </w:r>
      <w:r>
        <w:t xml:space="preserve"> there has been a marked increase in </w:t>
      </w:r>
      <w:r w:rsidR="009C186B">
        <w:t>high</w:t>
      </w:r>
      <w:r w:rsidR="00B56834">
        <w:t xml:space="preserve"> school </w:t>
      </w:r>
      <w:r>
        <w:t>education in the Arab society.</w:t>
      </w:r>
    </w:p>
    <w:p w14:paraId="58117379" w14:textId="0F7EAAB4" w:rsidR="002959A5" w:rsidRDefault="002959A5" w:rsidP="00BC7704">
      <w:pPr>
        <w:pStyle w:val="regpar"/>
        <w:numPr>
          <w:ilvl w:val="0"/>
          <w:numId w:val="13"/>
        </w:numPr>
      </w:pPr>
      <w:r>
        <w:t xml:space="preserve">A study by the Bank of Israel Research Department examined the effect of the availability of a local </w:t>
      </w:r>
      <w:r w:rsidR="00B56834">
        <w:t xml:space="preserve">high </w:t>
      </w:r>
      <w:r>
        <w:t>school in an Arab locality on various</w:t>
      </w:r>
      <w:r w:rsidR="00B56834">
        <w:t xml:space="preserve"> </w:t>
      </w:r>
      <w:r w:rsidR="009C186B">
        <w:t>outcomes</w:t>
      </w:r>
      <w:r>
        <w:t xml:space="preserve">.  The study found that opening a </w:t>
      </w:r>
      <w:r w:rsidR="00BC7704">
        <w:t xml:space="preserve">high </w:t>
      </w:r>
      <w:r>
        <w:t xml:space="preserve">school in a locality increased the </w:t>
      </w:r>
      <w:r w:rsidR="009C186B">
        <w:t>likelihood</w:t>
      </w:r>
      <w:r w:rsidR="00B56834">
        <w:t xml:space="preserve"> </w:t>
      </w:r>
      <w:r>
        <w:t xml:space="preserve">that </w:t>
      </w:r>
      <w:r w:rsidR="009C186B">
        <w:t>youth</w:t>
      </w:r>
      <w:r w:rsidR="00B56834">
        <w:t xml:space="preserve">s </w:t>
      </w:r>
      <w:r>
        <w:t>living in that locality would complete 12 years of school</w:t>
      </w:r>
      <w:r w:rsidR="009C186B">
        <w:t>ing</w:t>
      </w:r>
      <w:r>
        <w:t xml:space="preserve"> by 5–7 percentage points.</w:t>
      </w:r>
    </w:p>
    <w:p w14:paraId="3619186D" w14:textId="66E71786" w:rsidR="002959A5" w:rsidRDefault="002959A5" w:rsidP="00B56834">
      <w:pPr>
        <w:pStyle w:val="regpar"/>
        <w:numPr>
          <w:ilvl w:val="0"/>
          <w:numId w:val="13"/>
        </w:numPr>
      </w:pPr>
      <w:r>
        <w:t xml:space="preserve">Opening a </w:t>
      </w:r>
      <w:r w:rsidR="009C186B">
        <w:t>high</w:t>
      </w:r>
      <w:r w:rsidR="00B56834">
        <w:t xml:space="preserve"> </w:t>
      </w:r>
      <w:r>
        <w:t xml:space="preserve">school in a locality </w:t>
      </w:r>
      <w:r w:rsidR="009C186B">
        <w:t>also had</w:t>
      </w:r>
      <w:r w:rsidR="00B56834">
        <w:t xml:space="preserve"> </w:t>
      </w:r>
      <w:r>
        <w:t xml:space="preserve">a positive effect on other </w:t>
      </w:r>
      <w:r w:rsidR="009C186B">
        <w:t>outcomes</w:t>
      </w:r>
      <w:r w:rsidR="00B56834">
        <w:t xml:space="preserve"> in</w:t>
      </w:r>
      <w:r>
        <w:t xml:space="preserve"> Arab society: matriculation eligibility, post-secondary education, women’s employment and income, and </w:t>
      </w:r>
      <w:r w:rsidR="009C186B">
        <w:t>a lower likelihood of receiving a juvenile criminal record</w:t>
      </w:r>
    </w:p>
    <w:p w14:paraId="0EC08EA1" w14:textId="758EBEE4" w:rsidR="002959A5" w:rsidRDefault="002959A5" w:rsidP="00B56834">
      <w:pPr>
        <w:pStyle w:val="regpar"/>
        <w:numPr>
          <w:ilvl w:val="0"/>
          <w:numId w:val="13"/>
        </w:numPr>
      </w:pPr>
      <w:r>
        <w:t xml:space="preserve">These findings point to the importance of the geographic barrier to </w:t>
      </w:r>
      <w:r w:rsidR="00B56834">
        <w:t>high school</w:t>
      </w:r>
      <w:r>
        <w:t xml:space="preserve"> education in Arab society.  This barrier is currently prevalent mainly among </w:t>
      </w:r>
      <w:r w:rsidR="008D310C">
        <w:t>Bedouin</w:t>
      </w:r>
      <w:r>
        <w:t xml:space="preserve"> society in the Negev.  The findings also </w:t>
      </w:r>
      <w:r w:rsidR="008D310C">
        <w:t>suggest</w:t>
      </w:r>
      <w:r w:rsidR="00B56834">
        <w:t xml:space="preserve"> </w:t>
      </w:r>
      <w:r>
        <w:t xml:space="preserve">that </w:t>
      </w:r>
      <w:r w:rsidR="008D310C">
        <w:t>improving</w:t>
      </w:r>
      <w:r w:rsidR="00B56834">
        <w:t xml:space="preserve"> </w:t>
      </w:r>
      <w:r>
        <w:t xml:space="preserve">the geographic availability of </w:t>
      </w:r>
      <w:r w:rsidR="00B56834">
        <w:t xml:space="preserve">high </w:t>
      </w:r>
      <w:r>
        <w:t xml:space="preserve">schools may </w:t>
      </w:r>
      <w:r w:rsidR="008D310C">
        <w:t>yield numerous benefits</w:t>
      </w:r>
      <w:r w:rsidR="00B56834">
        <w:t xml:space="preserve"> for the localities</w:t>
      </w:r>
      <w:r>
        <w:t>.</w:t>
      </w:r>
    </w:p>
    <w:p w14:paraId="154426D7" w14:textId="05CEADCD" w:rsidR="002959A5" w:rsidRDefault="002959A5" w:rsidP="004820EB">
      <w:pPr>
        <w:pStyle w:val="regpar"/>
        <w:ind w:firstLine="0"/>
      </w:pPr>
    </w:p>
    <w:p w14:paraId="64EE35F6" w14:textId="669C27AE" w:rsidR="002959A5" w:rsidRDefault="002959A5" w:rsidP="00BC7704">
      <w:pPr>
        <w:pStyle w:val="regpar"/>
        <w:ind w:firstLine="0"/>
      </w:pPr>
      <w:r>
        <w:t>Since the establishment of the State of Israel, the supply of</w:t>
      </w:r>
      <w:r w:rsidR="008D310C">
        <w:t xml:space="preserve"> high</w:t>
      </w:r>
      <w:r>
        <w:t xml:space="preserve"> schools in Arab localities has expanded.  Among </w:t>
      </w:r>
      <w:r w:rsidR="004820EB">
        <w:t xml:space="preserve">Arabs that are not Negev </w:t>
      </w:r>
      <w:r w:rsidR="008D310C">
        <w:t>Bedouin</w:t>
      </w:r>
      <w:r w:rsidR="004820EB">
        <w:t xml:space="preserve">, 28 percent lived in localities with a </w:t>
      </w:r>
      <w:r w:rsidR="00BC7704">
        <w:t>high</w:t>
      </w:r>
      <w:r w:rsidR="004820EB">
        <w:t xml:space="preserve"> school in 1970, compared with about 95 percent today (Figure 1).  There was also a significant expansion in school availability in Negev </w:t>
      </w:r>
      <w:r w:rsidR="008D310C">
        <w:t>Bedouin</w:t>
      </w:r>
      <w:r w:rsidR="004820EB">
        <w:t xml:space="preserve"> localities, even though a high number of </w:t>
      </w:r>
      <w:r w:rsidR="008D310C">
        <w:t xml:space="preserve">Negev </w:t>
      </w:r>
      <w:r w:rsidR="004820EB">
        <w:t>Bed</w:t>
      </w:r>
      <w:r w:rsidR="008D310C">
        <w:t>o</w:t>
      </w:r>
      <w:r w:rsidR="004820EB">
        <w:t xml:space="preserve">uin (about 40 percent) still live in unrecognized localities without a </w:t>
      </w:r>
      <w:r w:rsidR="008D310C">
        <w:t>high</w:t>
      </w:r>
      <w:r w:rsidR="00B56834">
        <w:t xml:space="preserve"> </w:t>
      </w:r>
      <w:r w:rsidR="004820EB">
        <w:t>school.</w:t>
      </w:r>
    </w:p>
    <w:p w14:paraId="64467047" w14:textId="7D4E4216" w:rsidR="004820EB" w:rsidRDefault="004820EB" w:rsidP="004820EB">
      <w:pPr>
        <w:pStyle w:val="regpar"/>
        <w:ind w:firstLine="0"/>
      </w:pPr>
    </w:p>
    <w:p w14:paraId="3E4A2E38" w14:textId="1EC6D6D1" w:rsidR="004820EB" w:rsidRDefault="004820EB" w:rsidP="00BC7704">
      <w:pPr>
        <w:pStyle w:val="regpar"/>
        <w:ind w:firstLine="0"/>
      </w:pPr>
      <w:r>
        <w:t xml:space="preserve">A study conducted by </w:t>
      </w:r>
      <w:proofErr w:type="spellStart"/>
      <w:r>
        <w:t>Elad</w:t>
      </w:r>
      <w:proofErr w:type="spellEnd"/>
      <w:r>
        <w:t xml:space="preserve"> </w:t>
      </w:r>
      <w:proofErr w:type="spellStart"/>
      <w:r>
        <w:t>DeMalach</w:t>
      </w:r>
      <w:proofErr w:type="spellEnd"/>
      <w:r>
        <w:t xml:space="preserve"> of the Bank of Israel Research Department examines how opening a </w:t>
      </w:r>
      <w:r w:rsidR="00B56834">
        <w:t xml:space="preserve">high </w:t>
      </w:r>
      <w:r>
        <w:t xml:space="preserve">school in the student’s residential locality has an impact on his chances of obtaining an education.  The study </w:t>
      </w:r>
      <w:r w:rsidR="008D310C">
        <w:t>exploited the variation in the timing</w:t>
      </w:r>
      <w:r w:rsidR="00B56834">
        <w:t xml:space="preserve"> </w:t>
      </w:r>
      <w:r>
        <w:t xml:space="preserve">of </w:t>
      </w:r>
      <w:r w:rsidR="008D310C">
        <w:t xml:space="preserve">the </w:t>
      </w:r>
      <w:r>
        <w:t>establish</w:t>
      </w:r>
      <w:r w:rsidR="008D310C">
        <w:t>ment of</w:t>
      </w:r>
      <w:r>
        <w:t xml:space="preserve"> </w:t>
      </w:r>
      <w:r w:rsidR="008D310C">
        <w:t>high</w:t>
      </w:r>
      <w:r w:rsidR="00B56834">
        <w:t xml:space="preserve"> </w:t>
      </w:r>
      <w:r>
        <w:t xml:space="preserve">schools in various localities and years to examine the impact of </w:t>
      </w:r>
      <w:r w:rsidR="008D310C">
        <w:t>high</w:t>
      </w:r>
      <w:r w:rsidR="00B56834">
        <w:t xml:space="preserve"> </w:t>
      </w:r>
      <w:r>
        <w:t xml:space="preserve">school availability in the locality on the </w:t>
      </w:r>
      <w:r w:rsidR="008D310C">
        <w:t>likelihood</w:t>
      </w:r>
      <w:r w:rsidR="00B56834">
        <w:t xml:space="preserve"> </w:t>
      </w:r>
      <w:r>
        <w:t xml:space="preserve">of </w:t>
      </w:r>
      <w:r w:rsidR="008D310C">
        <w:t>youth</w:t>
      </w:r>
      <w:r w:rsidR="00B56834">
        <w:t>s</w:t>
      </w:r>
      <w:r w:rsidR="00BC7704">
        <w:t xml:space="preserve"> on educational attainment</w:t>
      </w:r>
      <w:r>
        <w:t>.  The study used a broad data</w:t>
      </w:r>
      <w:r w:rsidR="008D310C">
        <w:t xml:space="preserve"> set</w:t>
      </w:r>
      <w:r w:rsidR="00B56834">
        <w:t xml:space="preserve"> </w:t>
      </w:r>
      <w:r>
        <w:t xml:space="preserve">and advanced statistical methods to identify the causal effect between the two.  It examined two different historical periods: (1) opening </w:t>
      </w:r>
      <w:r w:rsidR="00FE0B01">
        <w:t>high</w:t>
      </w:r>
      <w:r w:rsidR="00B56834">
        <w:t xml:space="preserve"> </w:t>
      </w:r>
      <w:r>
        <w:t xml:space="preserve">schools in Arab localities in the north and center of the country between 1972 and 1995; and (2) opening </w:t>
      </w:r>
      <w:r w:rsidR="00FE0B01">
        <w:t>high</w:t>
      </w:r>
      <w:r w:rsidR="00B56834">
        <w:t xml:space="preserve"> </w:t>
      </w:r>
      <w:r>
        <w:t xml:space="preserve">schools in </w:t>
      </w:r>
      <w:r w:rsidR="008D310C">
        <w:t>Bedouin</w:t>
      </w:r>
      <w:r>
        <w:t xml:space="preserve"> localities in the Negev between 2007 and 2014.</w:t>
      </w:r>
    </w:p>
    <w:p w14:paraId="119658A2" w14:textId="4FD2F46D" w:rsidR="004820EB" w:rsidRDefault="004820EB" w:rsidP="004820EB">
      <w:pPr>
        <w:pStyle w:val="regpar"/>
        <w:ind w:firstLine="0"/>
      </w:pPr>
    </w:p>
    <w:p w14:paraId="6AF7CE90" w14:textId="7E5D8CFD" w:rsidR="004820EB" w:rsidRDefault="004820EB" w:rsidP="0036506C">
      <w:pPr>
        <w:pStyle w:val="regpar"/>
        <w:ind w:firstLine="0"/>
      </w:pPr>
      <w:r>
        <w:lastRenderedPageBreak/>
        <w:t xml:space="preserve">The study found that opening a local </w:t>
      </w:r>
      <w:r w:rsidR="00FE0B01">
        <w:t>high</w:t>
      </w:r>
      <w:r>
        <w:t xml:space="preserve"> school increased the </w:t>
      </w:r>
      <w:r w:rsidR="00FE0B01">
        <w:t>proportion</w:t>
      </w:r>
      <w:r w:rsidR="00B56834">
        <w:t xml:space="preserve"> </w:t>
      </w:r>
      <w:r>
        <w:t xml:space="preserve">of residents in the locality who had 12 years of </w:t>
      </w:r>
      <w:r w:rsidR="00FE0B01">
        <w:t xml:space="preserve">schooling </w:t>
      </w:r>
      <w:r>
        <w:t>by 5–7 percentage points (Figure 2).</w:t>
      </w:r>
      <w:r>
        <w:rPr>
          <w:rStyle w:val="a6"/>
        </w:rPr>
        <w:footnoteReference w:id="1"/>
      </w:r>
      <w:r>
        <w:t xml:space="preserve">  The effect was found in separate estimations among both Arabs in the north and center and </w:t>
      </w:r>
      <w:r w:rsidR="008D310C">
        <w:t>Bedouin</w:t>
      </w:r>
      <w:r>
        <w:t xml:space="preserve"> in the Negev.  The effect of opening a </w:t>
      </w:r>
      <w:r w:rsidR="00FE0B01">
        <w:t>high</w:t>
      </w:r>
      <w:r w:rsidR="00B56834">
        <w:t xml:space="preserve"> </w:t>
      </w:r>
      <w:r>
        <w:t xml:space="preserve">school increases </w:t>
      </w:r>
      <w:r w:rsidR="00F14A4E">
        <w:t xml:space="preserve">the farther the locality is from other schools prior to the opening of the local school.  The study also found positive effects in other aspects.  In particular, among Arabs in the north and center of the country, there were increases of about 6 percent in the number of those with post-secondary education, 7 percent in women’s employment, and 11 percent in women’s income.  Among </w:t>
      </w:r>
      <w:r w:rsidR="008D310C">
        <w:t>Bedouin</w:t>
      </w:r>
      <w:r w:rsidR="00F14A4E">
        <w:t xml:space="preserve">s in the Negev, there was an increase in matriculation eligibility and a decline in the likelihood of opening a </w:t>
      </w:r>
      <w:r w:rsidR="0036506C">
        <w:t xml:space="preserve">juvenile </w:t>
      </w:r>
      <w:r w:rsidR="00F14A4E">
        <w:t xml:space="preserve">criminal </w:t>
      </w:r>
      <w:r w:rsidR="00FE0B01">
        <w:t>record</w:t>
      </w:r>
      <w:r w:rsidR="00F14A4E">
        <w:t>, particularly for property crimes.</w:t>
      </w:r>
    </w:p>
    <w:p w14:paraId="0A0947B7" w14:textId="2110DE38" w:rsidR="00F14A4E" w:rsidRDefault="00F14A4E" w:rsidP="00F14A4E">
      <w:pPr>
        <w:pStyle w:val="regpar"/>
        <w:ind w:firstLine="0"/>
      </w:pPr>
    </w:p>
    <w:p w14:paraId="1F29E0AA" w14:textId="55FEB23D" w:rsidR="00F14A4E" w:rsidRDefault="00F14A4E" w:rsidP="0036506C">
      <w:pPr>
        <w:pStyle w:val="regpar"/>
        <w:ind w:firstLine="0"/>
      </w:pPr>
      <w:r>
        <w:t xml:space="preserve">These findings point to the importance of the geographic barrier to </w:t>
      </w:r>
      <w:r w:rsidR="0036506C">
        <w:t>high school</w:t>
      </w:r>
      <w:r>
        <w:t xml:space="preserve"> education in Arab society, which is currently </w:t>
      </w:r>
      <w:r w:rsidR="00FE0B01">
        <w:t>pronounced</w:t>
      </w:r>
      <w:r w:rsidR="0036506C">
        <w:t xml:space="preserve"> </w:t>
      </w:r>
      <w:r>
        <w:t xml:space="preserve">mainly among the Negev </w:t>
      </w:r>
      <w:r w:rsidR="008D310C">
        <w:t>Bedouin</w:t>
      </w:r>
      <w:r>
        <w:t xml:space="preserve">.  They also indicate that increasing the geographic availability of </w:t>
      </w:r>
      <w:r w:rsidR="00FE0B01">
        <w:t>high</w:t>
      </w:r>
      <w:r w:rsidR="0036506C">
        <w:t xml:space="preserve"> </w:t>
      </w:r>
      <w:r>
        <w:t>schools may</w:t>
      </w:r>
      <w:r w:rsidR="00FE0B01">
        <w:t xml:space="preserve"> yield numerous benefits</w:t>
      </w:r>
      <w:r w:rsidR="0036506C">
        <w:t xml:space="preserve"> for these localities</w:t>
      </w:r>
      <w:r w:rsidR="00FE0B01">
        <w:t>.</w:t>
      </w:r>
      <w:r>
        <w:t xml:space="preserve"> </w:t>
      </w:r>
    </w:p>
    <w:p w14:paraId="42DECCBD" w14:textId="78614EDD" w:rsidR="00F14A4E" w:rsidRDefault="00F14A4E" w:rsidP="00F14A4E">
      <w:pPr>
        <w:pStyle w:val="regpar"/>
        <w:ind w:firstLine="0"/>
      </w:pPr>
    </w:p>
    <w:p w14:paraId="481B7D2E" w14:textId="619E2227" w:rsidR="00F14A4E" w:rsidRDefault="00F14A4E" w:rsidP="00F14A4E">
      <w:pPr>
        <w:pStyle w:val="regpar"/>
        <w:ind w:firstLine="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4A4E" w14:paraId="6B0BA501" w14:textId="77777777" w:rsidTr="00F14A4E">
        <w:tc>
          <w:tcPr>
            <w:tcW w:w="9062" w:type="dxa"/>
            <w:gridSpan w:val="2"/>
          </w:tcPr>
          <w:p w14:paraId="7C4480BC" w14:textId="2708AFCB" w:rsidR="00F14A4E" w:rsidRPr="00F14A4E" w:rsidRDefault="00F14A4E" w:rsidP="00D16F43">
            <w:pPr>
              <w:pStyle w:val="regpar"/>
              <w:ind w:firstLine="0"/>
              <w:jc w:val="center"/>
              <w:rPr>
                <w:b/>
                <w:bCs/>
              </w:rPr>
            </w:pPr>
            <w:r w:rsidRPr="00F14A4E">
              <w:rPr>
                <w:b/>
                <w:bCs/>
              </w:rPr>
              <w:t xml:space="preserve">Figure 1: Arab Localities with a </w:t>
            </w:r>
            <w:r w:rsidR="00D16F43">
              <w:rPr>
                <w:b/>
                <w:bCs/>
              </w:rPr>
              <w:t>High</w:t>
            </w:r>
            <w:r w:rsidR="00D16F43" w:rsidRPr="00F14A4E">
              <w:rPr>
                <w:b/>
                <w:bCs/>
              </w:rPr>
              <w:t xml:space="preserve"> </w:t>
            </w:r>
            <w:r w:rsidRPr="00F14A4E">
              <w:rPr>
                <w:b/>
                <w:bCs/>
              </w:rPr>
              <w:t>School, 1948–2020</w:t>
            </w:r>
          </w:p>
        </w:tc>
      </w:tr>
      <w:tr w:rsidR="00F14A4E" w14:paraId="5E258F95" w14:textId="77777777" w:rsidTr="00F14A4E">
        <w:tc>
          <w:tcPr>
            <w:tcW w:w="4531" w:type="dxa"/>
          </w:tcPr>
          <w:p w14:paraId="38C6092E" w14:textId="134CCC3A" w:rsidR="00F14A4E" w:rsidRPr="00F14A4E" w:rsidRDefault="00F14A4E" w:rsidP="009559FE">
            <w:pPr>
              <w:pStyle w:val="regpar"/>
              <w:numPr>
                <w:ilvl w:val="0"/>
                <w:numId w:val="14"/>
              </w:numPr>
              <w:ind w:left="591"/>
              <w:jc w:val="center"/>
              <w:rPr>
                <w:b/>
                <w:bCs/>
              </w:rPr>
            </w:pPr>
            <w:r w:rsidRPr="00F14A4E">
              <w:rPr>
                <w:b/>
                <w:bCs/>
              </w:rPr>
              <w:t xml:space="preserve">Number of localities with a </w:t>
            </w:r>
            <w:r w:rsidR="00D16F43">
              <w:rPr>
                <w:b/>
                <w:bCs/>
              </w:rPr>
              <w:t>high</w:t>
            </w:r>
            <w:r w:rsidR="00D16F43" w:rsidRPr="00F14A4E">
              <w:rPr>
                <w:b/>
                <w:bCs/>
              </w:rPr>
              <w:t xml:space="preserve"> </w:t>
            </w:r>
            <w:r w:rsidRPr="00F14A4E">
              <w:rPr>
                <w:b/>
                <w:bCs/>
              </w:rPr>
              <w:t>school</w:t>
            </w:r>
          </w:p>
        </w:tc>
        <w:tc>
          <w:tcPr>
            <w:tcW w:w="4531" w:type="dxa"/>
          </w:tcPr>
          <w:p w14:paraId="205B0041" w14:textId="2B9918B0" w:rsidR="00F14A4E" w:rsidRPr="00F14A4E" w:rsidRDefault="00F14A4E" w:rsidP="00D16F43">
            <w:pPr>
              <w:pStyle w:val="regpar"/>
              <w:numPr>
                <w:ilvl w:val="0"/>
                <w:numId w:val="14"/>
              </w:numPr>
              <w:ind w:left="604"/>
              <w:jc w:val="center"/>
              <w:rPr>
                <w:b/>
                <w:bCs/>
              </w:rPr>
            </w:pPr>
            <w:r w:rsidRPr="00F14A4E">
              <w:rPr>
                <w:b/>
                <w:bCs/>
              </w:rPr>
              <w:t xml:space="preserve">Share of localities with a </w:t>
            </w:r>
            <w:r w:rsidR="00D16F43">
              <w:rPr>
                <w:b/>
                <w:bCs/>
              </w:rPr>
              <w:t>high</w:t>
            </w:r>
            <w:r w:rsidR="0036506C">
              <w:rPr>
                <w:b/>
                <w:bCs/>
              </w:rPr>
              <w:t xml:space="preserve"> </w:t>
            </w:r>
            <w:r w:rsidRPr="00F14A4E">
              <w:rPr>
                <w:b/>
                <w:bCs/>
              </w:rPr>
              <w:t>school</w:t>
            </w:r>
          </w:p>
        </w:tc>
      </w:tr>
      <w:tr w:rsidR="00F14A4E" w14:paraId="758AEB93" w14:textId="77777777" w:rsidTr="00F14A4E">
        <w:tc>
          <w:tcPr>
            <w:tcW w:w="4531" w:type="dxa"/>
          </w:tcPr>
          <w:p w14:paraId="62023C64" w14:textId="25993D7E" w:rsidR="00F14A4E" w:rsidRDefault="00F14A4E" w:rsidP="00F14A4E">
            <w:pPr>
              <w:pStyle w:val="regpar"/>
              <w:ind w:firstLine="0"/>
              <w:jc w:val="center"/>
            </w:pPr>
            <w:r w:rsidRPr="005A67E8">
              <w:rPr>
                <w:rFonts w:asciiTheme="majorBidi" w:eastAsia="Calibri" w:hAnsiTheme="majorBidi" w:cstheme="majorBidi"/>
                <w:noProof/>
              </w:rPr>
              <w:drawing>
                <wp:anchor distT="0" distB="0" distL="114300" distR="114300" simplePos="0" relativeHeight="251658240" behindDoc="0" locked="0" layoutInCell="1" allowOverlap="1" wp14:anchorId="6373378E" wp14:editId="4745B82C">
                  <wp:simplePos x="0" y="0"/>
                  <wp:positionH relativeFrom="column">
                    <wp:posOffset>112812</wp:posOffset>
                  </wp:positionH>
                  <wp:positionV relativeFrom="paragraph">
                    <wp:posOffset>417</wp:posOffset>
                  </wp:positionV>
                  <wp:extent cx="2508885" cy="2838616"/>
                  <wp:effectExtent l="0" t="0" r="5715" b="0"/>
                  <wp:wrapSquare wrapText="bothSides"/>
                  <wp:docPr id="17" name="Picture 17" descr="Number of Arab  localities with a high school increased from 1 in 1948 to more than 80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2" cstate="print">
                            <a:extLst>
                              <a:ext uri="{28A0092B-C50C-407E-A947-70E740481C1C}">
                                <a14:useLocalDpi xmlns:a14="http://schemas.microsoft.com/office/drawing/2010/main" val="0"/>
                              </a:ext>
                            </a:extLst>
                          </a:blip>
                          <a:srcRect l="3198" b="3118"/>
                          <a:stretch/>
                        </pic:blipFill>
                        <pic:spPr bwMode="auto">
                          <a:xfrm>
                            <a:off x="0" y="0"/>
                            <a:ext cx="2508885" cy="2838616"/>
                          </a:xfrm>
                          <a:prstGeom prst="rect">
                            <a:avLst/>
                          </a:prstGeom>
                          <a:ln>
                            <a:noFill/>
                          </a:ln>
                          <a:extLst>
                            <a:ext uri="{53640926-AAD7-44D8-BBD7-CCE9431645EC}">
                              <a14:shadowObscured xmlns:a14="http://schemas.microsoft.com/office/drawing/2010/main"/>
                            </a:ext>
                          </a:extLst>
                        </pic:spPr>
                      </pic:pic>
                    </a:graphicData>
                  </a:graphic>
                </wp:anchor>
              </w:drawing>
            </w:r>
          </w:p>
        </w:tc>
        <w:tc>
          <w:tcPr>
            <w:tcW w:w="4531" w:type="dxa"/>
          </w:tcPr>
          <w:p w14:paraId="0AD3AC70" w14:textId="1370F94E" w:rsidR="00F14A4E" w:rsidRDefault="00F14A4E" w:rsidP="00F14A4E">
            <w:pPr>
              <w:pStyle w:val="regpar"/>
              <w:ind w:firstLine="0"/>
              <w:jc w:val="center"/>
            </w:pPr>
            <w:r w:rsidRPr="005A67E8">
              <w:rPr>
                <w:rFonts w:asciiTheme="majorBidi" w:eastAsia="Calibri" w:hAnsiTheme="majorBidi" w:cstheme="majorBidi"/>
                <w:b/>
                <w:bCs/>
                <w:noProof/>
              </w:rPr>
              <w:drawing>
                <wp:anchor distT="0" distB="0" distL="114300" distR="114300" simplePos="0" relativeHeight="251659264" behindDoc="0" locked="0" layoutInCell="1" allowOverlap="1" wp14:anchorId="6A696639" wp14:editId="45F0F914">
                  <wp:simplePos x="0" y="0"/>
                  <wp:positionH relativeFrom="column">
                    <wp:posOffset>114935</wp:posOffset>
                  </wp:positionH>
                  <wp:positionV relativeFrom="paragraph">
                    <wp:posOffset>0</wp:posOffset>
                  </wp:positionV>
                  <wp:extent cx="2433955" cy="2667635"/>
                  <wp:effectExtent l="0" t="0" r="4445" b="0"/>
                  <wp:wrapSquare wrapText="bothSides"/>
                  <wp:docPr id="3" name="Picture 3" descr="While in 1948 about 10% of the Arab population (not including Bedouin of the Negev) resided in a locality with a high school, 28% did so by 1970 and  84% of them did so by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059" b="3101"/>
                          <a:stretch/>
                        </pic:blipFill>
                        <pic:spPr bwMode="auto">
                          <a:xfrm>
                            <a:off x="0" y="0"/>
                            <a:ext cx="2433955" cy="2667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14A4E" w14:paraId="0C54022D" w14:textId="77777777" w:rsidTr="00F14A4E">
        <w:tc>
          <w:tcPr>
            <w:tcW w:w="9062" w:type="dxa"/>
            <w:gridSpan w:val="2"/>
          </w:tcPr>
          <w:p w14:paraId="5448EA5E" w14:textId="712B8892" w:rsidR="00F14A4E" w:rsidRPr="00F14A4E" w:rsidRDefault="00F14A4E" w:rsidP="00F14A4E">
            <w:pPr>
              <w:pStyle w:val="regpar"/>
              <w:ind w:firstLine="0"/>
              <w:jc w:val="left"/>
              <w:rPr>
                <w:sz w:val="20"/>
                <w:szCs w:val="20"/>
              </w:rPr>
            </w:pPr>
            <w:r w:rsidRPr="00F14A4E">
              <w:rPr>
                <w:sz w:val="20"/>
                <w:szCs w:val="20"/>
              </w:rPr>
              <w:t>SOURCE: Based on data from the Ministry of Education and the Central Bureau of Statistics.</w:t>
            </w:r>
          </w:p>
        </w:tc>
      </w:tr>
    </w:tbl>
    <w:p w14:paraId="5E999F51" w14:textId="6F44FC75" w:rsidR="00F14A4E" w:rsidRDefault="00F14A4E" w:rsidP="00F14A4E">
      <w:pPr>
        <w:pStyle w:val="regpar"/>
        <w:ind w:firstLine="0"/>
        <w:jc w:val="center"/>
      </w:pPr>
    </w:p>
    <w:p w14:paraId="44961588" w14:textId="77777777" w:rsidR="00F14A4E" w:rsidRDefault="00F14A4E" w:rsidP="00F14A4E">
      <w:pPr>
        <w:pStyle w:val="regpar"/>
      </w:pPr>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14A4E" w14:paraId="7B32C0E1" w14:textId="77777777" w:rsidTr="00F203D4">
        <w:tc>
          <w:tcPr>
            <w:tcW w:w="9062" w:type="dxa"/>
          </w:tcPr>
          <w:p w14:paraId="193E042C" w14:textId="4C99804F" w:rsidR="00F14A4E" w:rsidRPr="00F14A4E" w:rsidRDefault="00F14A4E" w:rsidP="00D16F43">
            <w:pPr>
              <w:pStyle w:val="regpar"/>
              <w:ind w:firstLine="0"/>
              <w:jc w:val="center"/>
              <w:rPr>
                <w:b/>
                <w:bCs/>
              </w:rPr>
            </w:pPr>
            <w:r>
              <w:rPr>
                <w:b/>
                <w:bCs/>
              </w:rPr>
              <w:lastRenderedPageBreak/>
              <w:t xml:space="preserve">Figure 2: Increase in the Likelihood of Completing 12 Years of </w:t>
            </w:r>
            <w:r w:rsidR="00D16F43">
              <w:rPr>
                <w:b/>
                <w:bCs/>
              </w:rPr>
              <w:t>Schooling</w:t>
            </w:r>
            <w:r w:rsidR="0036506C">
              <w:rPr>
                <w:b/>
                <w:bCs/>
              </w:rPr>
              <w:t xml:space="preserve"> </w:t>
            </w:r>
            <w:r>
              <w:rPr>
                <w:b/>
                <w:bCs/>
              </w:rPr>
              <w:t xml:space="preserve">as a Result of Opening a </w:t>
            </w:r>
            <w:r w:rsidR="00D16F43">
              <w:rPr>
                <w:b/>
                <w:bCs/>
              </w:rPr>
              <w:t>High</w:t>
            </w:r>
            <w:r w:rsidR="0036506C">
              <w:rPr>
                <w:b/>
                <w:bCs/>
              </w:rPr>
              <w:t xml:space="preserve"> </w:t>
            </w:r>
            <w:r>
              <w:rPr>
                <w:b/>
                <w:bCs/>
              </w:rPr>
              <w:t xml:space="preserve">School in the Locality, by Age at the Time the School Opened </w:t>
            </w:r>
            <w:r w:rsidRPr="00F14A4E">
              <w:t>(percentage points)</w:t>
            </w:r>
          </w:p>
        </w:tc>
      </w:tr>
      <w:tr w:rsidR="00F14A4E" w14:paraId="5E4ADA85" w14:textId="77777777" w:rsidTr="00F203D4">
        <w:tc>
          <w:tcPr>
            <w:tcW w:w="9062" w:type="dxa"/>
          </w:tcPr>
          <w:p w14:paraId="651E8114" w14:textId="42FC1AD7" w:rsidR="00F14A4E" w:rsidRDefault="00F203D4" w:rsidP="00F14A4E">
            <w:pPr>
              <w:pStyle w:val="regpar"/>
              <w:ind w:firstLine="0"/>
              <w:jc w:val="center"/>
            </w:pPr>
            <w:r>
              <w:rPr>
                <w:rFonts w:ascii="Arial" w:hAnsi="Arial" w:cs="Arial"/>
                <w:noProof/>
                <w:color w:val="1F497D"/>
              </w:rPr>
              <w:drawing>
                <wp:anchor distT="0" distB="0" distL="114300" distR="114300" simplePos="0" relativeHeight="251660288" behindDoc="0" locked="0" layoutInCell="1" allowOverlap="1" wp14:anchorId="5C9E7602" wp14:editId="0B313773">
                  <wp:simplePos x="0" y="0"/>
                  <wp:positionH relativeFrom="column">
                    <wp:posOffset>215170</wp:posOffset>
                  </wp:positionH>
                  <wp:positionV relativeFrom="paragraph">
                    <wp:posOffset>-133</wp:posOffset>
                  </wp:positionV>
                  <wp:extent cx="5172710" cy="2579370"/>
                  <wp:effectExtent l="0" t="0" r="8890" b="0"/>
                  <wp:wrapSquare wrapText="bothSides"/>
                  <wp:docPr id="2" name="Picture 2" descr="base_eventstudy_educreg_allgenders_completed_12_doc_engb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_eventstudy_educreg_allgenders_completed_12_doc_engboi.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72710" cy="2579370"/>
                          </a:xfrm>
                          <a:prstGeom prst="rect">
                            <a:avLst/>
                          </a:prstGeom>
                          <a:noFill/>
                          <a:ln>
                            <a:noFill/>
                          </a:ln>
                        </pic:spPr>
                      </pic:pic>
                    </a:graphicData>
                  </a:graphic>
                </wp:anchor>
              </w:drawing>
            </w:r>
          </w:p>
        </w:tc>
      </w:tr>
      <w:tr w:rsidR="00F14A4E" w14:paraId="45C17DEF" w14:textId="77777777" w:rsidTr="00F203D4">
        <w:tc>
          <w:tcPr>
            <w:tcW w:w="9062" w:type="dxa"/>
          </w:tcPr>
          <w:p w14:paraId="0F450A90" w14:textId="77777777" w:rsidR="00F14A4E" w:rsidRPr="00F203D4" w:rsidRDefault="00AF1754" w:rsidP="00AF1754">
            <w:pPr>
              <w:pStyle w:val="regpar"/>
              <w:ind w:firstLine="0"/>
              <w:jc w:val="left"/>
              <w:rPr>
                <w:sz w:val="20"/>
                <w:szCs w:val="20"/>
              </w:rPr>
            </w:pPr>
            <w:r w:rsidRPr="00F203D4">
              <w:rPr>
                <w:sz w:val="20"/>
                <w:szCs w:val="20"/>
              </w:rPr>
              <w:t>Notes: The point is the size of the effect.  The vertical line is the confidence interval at a 95 percent significance.</w:t>
            </w:r>
          </w:p>
          <w:p w14:paraId="78ADFCA0" w14:textId="6078379B" w:rsidR="00F203D4" w:rsidRDefault="00F203D4" w:rsidP="00AF1754">
            <w:pPr>
              <w:pStyle w:val="regpar"/>
              <w:ind w:firstLine="0"/>
              <w:jc w:val="left"/>
              <w:rPr>
                <w:rtl/>
              </w:rPr>
            </w:pPr>
            <w:r w:rsidRPr="00F203D4">
              <w:rPr>
                <w:sz w:val="20"/>
                <w:szCs w:val="20"/>
              </w:rPr>
              <w:t>SOURCE:</w:t>
            </w:r>
            <w:r>
              <w:rPr>
                <w:sz w:val="20"/>
                <w:szCs w:val="20"/>
              </w:rPr>
              <w:t xml:space="preserve"> Based on data from the Ministry of Education and the Central Bureau of Statistics.</w:t>
            </w:r>
          </w:p>
        </w:tc>
      </w:tr>
    </w:tbl>
    <w:p w14:paraId="06045531" w14:textId="77777777" w:rsidR="00F14A4E" w:rsidRDefault="00F14A4E" w:rsidP="00F14A4E">
      <w:pPr>
        <w:pStyle w:val="regpar"/>
        <w:ind w:firstLine="0"/>
        <w:jc w:val="center"/>
        <w:rPr>
          <w:rtl/>
        </w:rPr>
      </w:pPr>
    </w:p>
    <w:sectPr w:rsidR="00F14A4E" w:rsidSect="004F5A85">
      <w:headerReference w:type="default" r:id="rId16"/>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AA58" w14:textId="77777777" w:rsidR="004E0354" w:rsidRDefault="004E0354">
      <w:pPr>
        <w:spacing w:line="240" w:lineRule="auto"/>
      </w:pPr>
      <w:r>
        <w:separator/>
      </w:r>
    </w:p>
  </w:endnote>
  <w:endnote w:type="continuationSeparator" w:id="0">
    <w:p w14:paraId="4C11E394" w14:textId="77777777" w:rsidR="004E0354" w:rsidRDefault="004E0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013E3" w14:textId="77777777" w:rsidR="004E0354" w:rsidRDefault="004E0354">
      <w:pPr>
        <w:spacing w:line="160" w:lineRule="exact"/>
      </w:pPr>
    </w:p>
  </w:footnote>
  <w:footnote w:type="continuationSeparator" w:id="0">
    <w:p w14:paraId="2071AEAB" w14:textId="77777777" w:rsidR="004E0354" w:rsidRDefault="004E0354">
      <w:pPr>
        <w:pStyle w:val="rule"/>
      </w:pPr>
      <w:r>
        <w:t>–––––––––––––––––––––––––––</w:t>
      </w:r>
    </w:p>
    <w:p w14:paraId="4446A159" w14:textId="77777777" w:rsidR="004E0354" w:rsidRDefault="004E0354">
      <w:pPr>
        <w:pStyle w:val="noteseparator"/>
      </w:pPr>
    </w:p>
  </w:footnote>
  <w:footnote w:id="1">
    <w:p w14:paraId="504EB463" w14:textId="32D154D4" w:rsidR="004820EB" w:rsidRDefault="004820EB">
      <w:pPr>
        <w:pStyle w:val="a7"/>
      </w:pPr>
      <w:r>
        <w:rPr>
          <w:rStyle w:val="a6"/>
        </w:rPr>
        <w:footnoteRef/>
      </w:r>
      <w:r>
        <w:t xml:space="preserve"> In relative terms, the increase was 10–13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0BD73C9"/>
    <w:multiLevelType w:val="hybridMultilevel"/>
    <w:tmpl w:val="E59C1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5167D"/>
    <w:multiLevelType w:val="hybridMultilevel"/>
    <w:tmpl w:val="BB76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12"/>
  </w:num>
  <w:num w:numId="11">
    <w:abstractNumId w:val="8"/>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959A5"/>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506C"/>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0EB"/>
    <w:rsid w:val="00482B8E"/>
    <w:rsid w:val="004839AA"/>
    <w:rsid w:val="00484A86"/>
    <w:rsid w:val="00492029"/>
    <w:rsid w:val="004A0A80"/>
    <w:rsid w:val="004A179B"/>
    <w:rsid w:val="004A2970"/>
    <w:rsid w:val="004C5B3B"/>
    <w:rsid w:val="004C7155"/>
    <w:rsid w:val="004D0449"/>
    <w:rsid w:val="004D55DA"/>
    <w:rsid w:val="004E0354"/>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D310C"/>
    <w:rsid w:val="008E1732"/>
    <w:rsid w:val="008E2532"/>
    <w:rsid w:val="008E2761"/>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559FE"/>
    <w:rsid w:val="00970925"/>
    <w:rsid w:val="00987141"/>
    <w:rsid w:val="00991A2A"/>
    <w:rsid w:val="009937AE"/>
    <w:rsid w:val="009A2328"/>
    <w:rsid w:val="009A374A"/>
    <w:rsid w:val="009B01E1"/>
    <w:rsid w:val="009B5ABC"/>
    <w:rsid w:val="009C186B"/>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1754"/>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6834"/>
    <w:rsid w:val="00B5736D"/>
    <w:rsid w:val="00B57F69"/>
    <w:rsid w:val="00B6764F"/>
    <w:rsid w:val="00B76579"/>
    <w:rsid w:val="00B81305"/>
    <w:rsid w:val="00B9723D"/>
    <w:rsid w:val="00BA3A63"/>
    <w:rsid w:val="00BA589A"/>
    <w:rsid w:val="00BA78B9"/>
    <w:rsid w:val="00BC46DE"/>
    <w:rsid w:val="00BC6BBA"/>
    <w:rsid w:val="00BC7704"/>
    <w:rsid w:val="00BD570C"/>
    <w:rsid w:val="00BE50DA"/>
    <w:rsid w:val="00BF0276"/>
    <w:rsid w:val="00BF78A3"/>
    <w:rsid w:val="00C00CE9"/>
    <w:rsid w:val="00C042B1"/>
    <w:rsid w:val="00C178D0"/>
    <w:rsid w:val="00C209C6"/>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16F43"/>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11E"/>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A4E"/>
    <w:rsid w:val="00F14FC5"/>
    <w:rsid w:val="00F17BE5"/>
    <w:rsid w:val="00F203D4"/>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0B01"/>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1.jpg@01D946D2.CFF66C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0E8B4DC9-399F-4B22-9E15-906D93E1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3709</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2023-02-23T12:50:00Z</dcterms:created>
  <dcterms:modified xsi:type="dcterms:W3CDTF">2023-02-23T12:50:00Z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