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16C5A" w:rsidTr="0029736D">
        <w:tc>
          <w:tcPr>
            <w:tcW w:w="3343" w:type="dxa"/>
            <w:tcBorders>
              <w:top w:val="nil"/>
              <w:left w:val="nil"/>
              <w:bottom w:val="nil"/>
              <w:right w:val="nil"/>
            </w:tcBorders>
            <w:vAlign w:val="center"/>
          </w:tcPr>
          <w:p w:rsidR="009005BA" w:rsidRPr="00E16C5A" w:rsidRDefault="009005BA" w:rsidP="0029736D">
            <w:pPr>
              <w:rPr>
                <w:rFonts w:cstheme="minorHAnsi"/>
                <w:b/>
                <w:bCs/>
                <w:sz w:val="24"/>
                <w:szCs w:val="24"/>
                <w:rtl/>
              </w:rPr>
            </w:pPr>
            <w:r w:rsidRPr="00E16C5A">
              <w:rPr>
                <w:rFonts w:cstheme="minorHAnsi"/>
                <w:b/>
                <w:bCs/>
                <w:sz w:val="24"/>
                <w:szCs w:val="24"/>
                <w:rtl/>
              </w:rPr>
              <w:t>בנק ישראל</w:t>
            </w:r>
          </w:p>
          <w:p w:rsidR="009005BA" w:rsidRPr="00E16C5A" w:rsidRDefault="009005BA" w:rsidP="0029736D">
            <w:pPr>
              <w:rPr>
                <w:rFonts w:cstheme="minorHAnsi"/>
                <w:b/>
                <w:bCs/>
                <w:sz w:val="28"/>
                <w:szCs w:val="28"/>
              </w:rPr>
            </w:pPr>
            <w:r w:rsidRPr="00E16C5A">
              <w:rPr>
                <w:rFonts w:cstheme="minorHAnsi"/>
                <w:rtl/>
              </w:rPr>
              <w:t>דוברות והסברה כלכלית</w:t>
            </w:r>
          </w:p>
        </w:tc>
        <w:tc>
          <w:tcPr>
            <w:tcW w:w="2596" w:type="dxa"/>
            <w:tcBorders>
              <w:top w:val="nil"/>
              <w:left w:val="nil"/>
              <w:bottom w:val="nil"/>
              <w:right w:val="nil"/>
            </w:tcBorders>
            <w:shd w:val="clear" w:color="auto" w:fill="FFFFFF"/>
          </w:tcPr>
          <w:p w:rsidR="009005BA" w:rsidRPr="00E16C5A" w:rsidRDefault="009005BA" w:rsidP="0029736D">
            <w:pPr>
              <w:jc w:val="center"/>
              <w:rPr>
                <w:rFonts w:cstheme="minorHAnsi"/>
              </w:rPr>
            </w:pPr>
            <w:r w:rsidRPr="00E16C5A">
              <w:rPr>
                <w:rFonts w:cstheme="minorHAns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16C5A" w:rsidRDefault="009005BA" w:rsidP="009005BA">
            <w:pPr>
              <w:jc w:val="right"/>
              <w:rPr>
                <w:rFonts w:cstheme="minorHAnsi"/>
                <w:rtl/>
              </w:rPr>
            </w:pPr>
            <w:r w:rsidRPr="00E16C5A">
              <w:rPr>
                <w:rFonts w:cstheme="minorHAnsi"/>
                <w:highlight w:val="green"/>
                <w:rtl/>
              </w:rPr>
              <w:t>‏</w:t>
            </w:r>
            <w:r w:rsidRPr="00E16C5A">
              <w:rPr>
                <w:rFonts w:cstheme="minorHAnsi"/>
                <w:rtl/>
              </w:rPr>
              <w:t xml:space="preserve">ירושלים, </w:t>
            </w:r>
            <w:r w:rsidRPr="00E16C5A">
              <w:rPr>
                <w:rFonts w:cstheme="minorHAnsi"/>
                <w:rtl/>
              </w:rPr>
              <w:fldChar w:fldCharType="begin"/>
            </w:r>
            <w:r w:rsidRPr="00E16C5A">
              <w:rPr>
                <w:rFonts w:cstheme="minorHAnsi"/>
                <w:rtl/>
              </w:rPr>
              <w:instrText xml:space="preserve"> </w:instrText>
            </w:r>
            <w:r w:rsidRPr="00E16C5A">
              <w:rPr>
                <w:rFonts w:cstheme="minorHAnsi"/>
              </w:rPr>
              <w:instrText>DATE</w:instrText>
            </w:r>
            <w:r w:rsidRPr="00E16C5A">
              <w:rPr>
                <w:rFonts w:cstheme="minorHAnsi"/>
                <w:rtl/>
              </w:rPr>
              <w:instrText xml:space="preserve"> \@ "</w:instrText>
            </w:r>
            <w:r w:rsidRPr="00E16C5A">
              <w:rPr>
                <w:rFonts w:cstheme="minorHAnsi"/>
              </w:rPr>
              <w:instrText>d MMMM, yyyy" \h</w:instrText>
            </w:r>
            <w:r w:rsidRPr="00E16C5A">
              <w:rPr>
                <w:rFonts w:cstheme="minorHAnsi"/>
                <w:rtl/>
              </w:rPr>
              <w:instrText xml:space="preserve"> </w:instrText>
            </w:r>
            <w:r w:rsidRPr="00E16C5A">
              <w:rPr>
                <w:rFonts w:cstheme="minorHAnsi"/>
                <w:rtl/>
              </w:rPr>
              <w:fldChar w:fldCharType="separate"/>
            </w:r>
            <w:r w:rsidR="00E16C5A" w:rsidRPr="00E16C5A">
              <w:rPr>
                <w:rFonts w:cstheme="minorHAnsi"/>
                <w:noProof/>
                <w:rtl/>
              </w:rPr>
              <w:t>‏י' אייר, תשפ"ה</w:t>
            </w:r>
            <w:r w:rsidRPr="00E16C5A">
              <w:rPr>
                <w:rFonts w:cstheme="minorHAnsi"/>
                <w:rtl/>
              </w:rPr>
              <w:fldChar w:fldCharType="end"/>
            </w:r>
          </w:p>
          <w:p w:rsidR="009005BA" w:rsidRPr="00E16C5A" w:rsidRDefault="009005BA" w:rsidP="009005BA">
            <w:pPr>
              <w:jc w:val="right"/>
              <w:rPr>
                <w:rFonts w:cstheme="minorHAnsi"/>
                <w:highlight w:val="green"/>
              </w:rPr>
            </w:pPr>
            <w:r w:rsidRPr="00E16C5A">
              <w:rPr>
                <w:rFonts w:cstheme="minorHAnsi"/>
                <w:rtl/>
              </w:rPr>
              <w:fldChar w:fldCharType="begin"/>
            </w:r>
            <w:r w:rsidRPr="00E16C5A">
              <w:rPr>
                <w:rFonts w:cstheme="minorHAnsi"/>
                <w:rtl/>
              </w:rPr>
              <w:instrText xml:space="preserve"> </w:instrText>
            </w:r>
            <w:r w:rsidRPr="00E16C5A">
              <w:rPr>
                <w:rFonts w:cstheme="minorHAnsi"/>
              </w:rPr>
              <w:instrText>DATE</w:instrText>
            </w:r>
            <w:r w:rsidRPr="00E16C5A">
              <w:rPr>
                <w:rFonts w:cstheme="minorHAnsi"/>
                <w:rtl/>
              </w:rPr>
              <w:instrText xml:space="preserve"> \@ "</w:instrText>
            </w:r>
            <w:r w:rsidRPr="00E16C5A">
              <w:rPr>
                <w:rFonts w:cstheme="minorHAnsi"/>
              </w:rPr>
              <w:instrText>d MMMM, yyyy</w:instrText>
            </w:r>
            <w:r w:rsidRPr="00E16C5A">
              <w:rPr>
                <w:rFonts w:cstheme="minorHAnsi"/>
                <w:rtl/>
              </w:rPr>
              <w:instrText xml:space="preserve">" </w:instrText>
            </w:r>
            <w:r w:rsidRPr="00E16C5A">
              <w:rPr>
                <w:rFonts w:cstheme="minorHAnsi"/>
                <w:rtl/>
              </w:rPr>
              <w:fldChar w:fldCharType="separate"/>
            </w:r>
            <w:r w:rsidR="00E16C5A" w:rsidRPr="00E16C5A">
              <w:rPr>
                <w:rFonts w:cstheme="minorHAnsi"/>
                <w:noProof/>
                <w:rtl/>
              </w:rPr>
              <w:t>‏8 מאי, 2025</w:t>
            </w:r>
            <w:r w:rsidRPr="00E16C5A">
              <w:rPr>
                <w:rFonts w:cstheme="minorHAnsi"/>
                <w:rtl/>
              </w:rPr>
              <w:fldChar w:fldCharType="end"/>
            </w:r>
          </w:p>
        </w:tc>
      </w:tr>
    </w:tbl>
    <w:p w:rsidR="009005BA" w:rsidRPr="00E16C5A" w:rsidRDefault="009005BA" w:rsidP="007B0741">
      <w:pPr>
        <w:tabs>
          <w:tab w:val="left" w:pos="2315"/>
        </w:tabs>
        <w:rPr>
          <w:rFonts w:cstheme="minorHAnsi"/>
          <w:sz w:val="24"/>
          <w:szCs w:val="24"/>
          <w:rtl/>
        </w:rPr>
      </w:pPr>
    </w:p>
    <w:p w:rsidR="00D66255" w:rsidRPr="00E16C5A" w:rsidRDefault="008E761A" w:rsidP="009005BA">
      <w:pPr>
        <w:tabs>
          <w:tab w:val="left" w:pos="2315"/>
        </w:tabs>
        <w:rPr>
          <w:rFonts w:cstheme="minorHAnsi"/>
          <w:sz w:val="24"/>
          <w:szCs w:val="24"/>
          <w:rtl/>
        </w:rPr>
      </w:pPr>
      <w:r w:rsidRPr="00E16C5A">
        <w:rPr>
          <w:rFonts w:cstheme="minorHAnsi"/>
          <w:sz w:val="24"/>
          <w:szCs w:val="24"/>
          <w:rtl/>
        </w:rPr>
        <w:t>הודעה לעיתונות:</w:t>
      </w:r>
    </w:p>
    <w:p w:rsidR="00E16C5A" w:rsidRPr="00E16C5A" w:rsidRDefault="00E16C5A" w:rsidP="004B586D">
      <w:pPr>
        <w:spacing w:before="100" w:beforeAutospacing="1" w:after="100" w:afterAutospacing="1" w:line="240" w:lineRule="auto"/>
        <w:jc w:val="center"/>
        <w:rPr>
          <w:rFonts w:eastAsia="Times New Roman" w:cstheme="minorHAnsi"/>
          <w:b/>
          <w:bCs/>
          <w:sz w:val="28"/>
          <w:szCs w:val="28"/>
        </w:rPr>
      </w:pPr>
      <w:r w:rsidRPr="00E16C5A">
        <w:rPr>
          <w:rFonts w:eastAsia="Times New Roman" w:cstheme="minorHAnsi"/>
          <w:b/>
          <w:bCs/>
          <w:sz w:val="28"/>
          <w:szCs w:val="28"/>
          <w:rtl/>
        </w:rPr>
        <w:t>בנק ישראל משיק תהליך הערכה טכנולוגית של איפיון מערכת השקל הדיגיטלי בהיוועצות עם</w:t>
      </w:r>
      <w:r w:rsidR="004B586D">
        <w:rPr>
          <w:rFonts w:eastAsia="Times New Roman" w:cstheme="minorHAnsi" w:hint="cs"/>
          <w:b/>
          <w:bCs/>
          <w:sz w:val="28"/>
          <w:szCs w:val="28"/>
          <w:rtl/>
        </w:rPr>
        <w:t xml:space="preserve"> </w:t>
      </w:r>
      <w:r w:rsidRPr="00E16C5A">
        <w:rPr>
          <w:rFonts w:eastAsia="Times New Roman" w:cstheme="minorHAnsi"/>
          <w:b/>
          <w:bCs/>
          <w:sz w:val="28"/>
          <w:szCs w:val="28"/>
          <w:rtl/>
        </w:rPr>
        <w:t>מומחים</w:t>
      </w:r>
    </w:p>
    <w:p w:rsidR="00E16C5A" w:rsidRPr="00E16C5A" w:rsidRDefault="00E16C5A" w:rsidP="00E16C5A">
      <w:pPr>
        <w:pStyle w:val="a5"/>
        <w:numPr>
          <w:ilvl w:val="0"/>
          <w:numId w:val="25"/>
        </w:numPr>
        <w:spacing w:before="100" w:beforeAutospacing="1" w:after="100" w:afterAutospacing="1" w:line="360" w:lineRule="auto"/>
        <w:jc w:val="both"/>
        <w:rPr>
          <w:rFonts w:eastAsia="Times New Roman" w:cstheme="minorHAnsi"/>
          <w:sz w:val="24"/>
        </w:rPr>
      </w:pPr>
      <w:r w:rsidRPr="00E16C5A">
        <w:rPr>
          <w:rFonts w:eastAsia="Times New Roman" w:cstheme="minorHAnsi"/>
          <w:sz w:val="24"/>
          <w:rtl/>
        </w:rPr>
        <w:t xml:space="preserve">בנק ישראל מזמין ספקים פוטנציאליים, מומחי טכנולוגיה ואנשי אקדמיה להשתתף בתהליך היוועצות שמטרתו לחקור טכנולוגיות פוטנציאליות להשגת היכולות של מערכת השקל הדיגיטלי. </w:t>
      </w:r>
    </w:p>
    <w:p w:rsidR="00E16C5A" w:rsidRPr="00E16C5A" w:rsidRDefault="00E16C5A" w:rsidP="00E16C5A">
      <w:pPr>
        <w:pStyle w:val="a5"/>
        <w:numPr>
          <w:ilvl w:val="0"/>
          <w:numId w:val="25"/>
        </w:numPr>
        <w:spacing w:before="100" w:beforeAutospacing="1" w:after="100" w:afterAutospacing="1" w:line="360" w:lineRule="auto"/>
        <w:jc w:val="both"/>
        <w:rPr>
          <w:rFonts w:eastAsia="Times New Roman" w:cstheme="minorHAnsi"/>
          <w:sz w:val="24"/>
        </w:rPr>
      </w:pPr>
      <w:r w:rsidRPr="00E16C5A">
        <w:rPr>
          <w:rFonts w:eastAsia="Times New Roman" w:cstheme="minorHAnsi"/>
          <w:sz w:val="24"/>
          <w:rtl/>
        </w:rPr>
        <w:t xml:space="preserve">ב-21 במאי 2025, הבנק יקיים וובינר להסברת תהליך ההיוועצות לגורמים שירצו לקחת בו חלק. </w:t>
      </w:r>
    </w:p>
    <w:p w:rsidR="00E16C5A" w:rsidRPr="00E16C5A" w:rsidRDefault="00E16C5A" w:rsidP="00E16C5A">
      <w:pPr>
        <w:spacing w:before="100" w:beforeAutospacing="1" w:after="100" w:afterAutospacing="1"/>
        <w:jc w:val="both"/>
        <w:rPr>
          <w:rFonts w:eastAsia="Times New Roman" w:cstheme="minorHAnsi"/>
          <w:sz w:val="24"/>
        </w:rPr>
      </w:pPr>
      <w:r w:rsidRPr="00E16C5A">
        <w:rPr>
          <w:rFonts w:eastAsia="Times New Roman" w:cstheme="minorHAnsi"/>
          <w:sz w:val="24"/>
          <w:rtl/>
        </w:rPr>
        <w:t xml:space="preserve">ב-3 במרץ 2025 פרסם בנק ישראל את </w:t>
      </w:r>
      <w:hyperlink r:id="rId9" w:history="1">
        <w:r w:rsidRPr="00E16C5A">
          <w:rPr>
            <w:rStyle w:val="Hyperlink"/>
            <w:rFonts w:eastAsia="Times New Roman" w:cstheme="minorHAnsi"/>
            <w:sz w:val="24"/>
            <w:rtl/>
          </w:rPr>
          <w:t>מסמך האיפיון הראשוני למערכת השקל הדיגיטלי</w:t>
        </w:r>
      </w:hyperlink>
      <w:r w:rsidRPr="00E16C5A">
        <w:rPr>
          <w:rFonts w:eastAsia="Times New Roman" w:cstheme="minorHAnsi"/>
          <w:sz w:val="24"/>
          <w:rtl/>
        </w:rPr>
        <w:t>, מערכת מטבע דיגיטלי של הבנק המרכזי</w:t>
      </w:r>
      <w:r w:rsidRPr="00E16C5A">
        <w:rPr>
          <w:rFonts w:eastAsia="Times New Roman" w:cstheme="minorHAnsi"/>
          <w:sz w:val="24"/>
        </w:rPr>
        <w:t xml:space="preserve"> ,(CBDC) </w:t>
      </w:r>
      <w:r w:rsidRPr="00E16C5A">
        <w:rPr>
          <w:rFonts w:eastAsia="Times New Roman" w:cstheme="minorHAnsi"/>
          <w:sz w:val="24"/>
          <w:rtl/>
        </w:rPr>
        <w:t>המיועדת לענות על צרכי משתמשים קמעונאיים, כמו משקי בית ועסקים, וכן על צרכי גופים פיננסיים סיטונאיים. האיפיון המוצג במסמך הוא "אדיש לטכנולוגיה",  ומאפשר מגוון רחב של פתרונות אפשריים</w:t>
      </w:r>
      <w:r w:rsidRPr="00E16C5A">
        <w:rPr>
          <w:rFonts w:eastAsia="Times New Roman" w:cstheme="minorHAnsi"/>
          <w:sz w:val="24"/>
        </w:rPr>
        <w:t>.</w:t>
      </w:r>
    </w:p>
    <w:p w:rsidR="00E16C5A" w:rsidRPr="00E16C5A" w:rsidRDefault="00E16C5A" w:rsidP="00E16C5A">
      <w:pPr>
        <w:spacing w:before="100" w:beforeAutospacing="1" w:after="100" w:afterAutospacing="1"/>
        <w:jc w:val="both"/>
        <w:rPr>
          <w:rFonts w:eastAsia="Times New Roman" w:cstheme="minorHAnsi"/>
          <w:sz w:val="24"/>
        </w:rPr>
      </w:pPr>
      <w:r w:rsidRPr="00E16C5A">
        <w:rPr>
          <w:rFonts w:eastAsia="Times New Roman" w:cstheme="minorHAnsi"/>
          <w:sz w:val="24"/>
          <w:rtl/>
        </w:rPr>
        <w:t>היום בנק ישראל משיק תהליך הערכה טכנולוגית (</w:t>
      </w:r>
      <w:r w:rsidRPr="00E16C5A">
        <w:rPr>
          <w:rFonts w:eastAsia="Times New Roman" w:cstheme="minorHAnsi"/>
          <w:sz w:val="24"/>
        </w:rPr>
        <w:t>Technological Consultation – TC</w:t>
      </w:r>
      <w:r w:rsidRPr="00E16C5A">
        <w:rPr>
          <w:rFonts w:eastAsia="Times New Roman" w:cstheme="minorHAnsi"/>
          <w:sz w:val="24"/>
          <w:rtl/>
        </w:rPr>
        <w:t>),   במסגרתו הבנק מבקש להיוועץ  במומחי טכנולוגיה, אנשי אקדמיה וספקים פוטנציאליים בנוגע לאופן מימוש המאפיינים של מערכת השקל הדיגיטלי. מטרת התהליך  היא להעמיק את הידע וההבנה בבנק לגבי ההיתכנות הטכנולוגית והיישום הפוטנציאלי של רכיבים מרכזיים במערכת השקל הדיגיטלי</w:t>
      </w:r>
      <w:r w:rsidRPr="00E16C5A">
        <w:rPr>
          <w:rFonts w:eastAsia="Times New Roman" w:cstheme="minorHAnsi"/>
          <w:sz w:val="24"/>
        </w:rPr>
        <w:t>.</w:t>
      </w:r>
    </w:p>
    <w:p w:rsidR="00E16C5A" w:rsidRPr="00E16C5A" w:rsidRDefault="00E16C5A" w:rsidP="00E16C5A">
      <w:pPr>
        <w:spacing w:before="100" w:beforeAutospacing="1" w:after="100" w:afterAutospacing="1"/>
        <w:rPr>
          <w:rFonts w:eastAsia="Times New Roman" w:cstheme="minorHAnsi"/>
          <w:sz w:val="24"/>
          <w:rtl/>
        </w:rPr>
      </w:pPr>
      <w:r w:rsidRPr="00E16C5A">
        <w:rPr>
          <w:rFonts w:eastAsia="Times New Roman" w:cstheme="minorHAnsi"/>
          <w:sz w:val="24"/>
          <w:rtl/>
        </w:rPr>
        <w:t>הבנק הגדיר שישה תחומים מרכזיים לגביהם הוא מבקש התייחסות, המפורטים במסמך ההיוועצות שהבנק מפרסם היום</w:t>
      </w:r>
      <w:r w:rsidRPr="00E16C5A">
        <w:rPr>
          <w:rFonts w:eastAsia="Times New Roman" w:cstheme="minorHAnsi"/>
          <w:sz w:val="24"/>
        </w:rPr>
        <w:t>:</w:t>
      </w:r>
    </w:p>
    <w:p w:rsidR="00E16C5A" w:rsidRPr="00E16C5A" w:rsidRDefault="00E16C5A" w:rsidP="00E16C5A">
      <w:pPr>
        <w:pStyle w:val="a5"/>
        <w:numPr>
          <w:ilvl w:val="0"/>
          <w:numId w:val="26"/>
        </w:numPr>
        <w:bidi w:val="0"/>
        <w:spacing w:after="120"/>
        <w:rPr>
          <w:rFonts w:eastAsia="Times New Roman" w:cstheme="minorHAnsi"/>
          <w:sz w:val="24"/>
        </w:rPr>
      </w:pPr>
      <w:r w:rsidRPr="00E16C5A">
        <w:rPr>
          <w:rFonts w:eastAsia="Times New Roman" w:cstheme="minorHAnsi"/>
          <w:sz w:val="24"/>
        </w:rPr>
        <w:t>TC1: Backend Layer</w:t>
      </w:r>
    </w:p>
    <w:p w:rsidR="00E16C5A" w:rsidRPr="00E16C5A" w:rsidRDefault="00E16C5A" w:rsidP="00E16C5A">
      <w:pPr>
        <w:pStyle w:val="a5"/>
        <w:numPr>
          <w:ilvl w:val="0"/>
          <w:numId w:val="26"/>
        </w:numPr>
        <w:bidi w:val="0"/>
        <w:spacing w:after="120"/>
        <w:rPr>
          <w:rFonts w:eastAsia="Times New Roman" w:cstheme="minorHAnsi"/>
          <w:sz w:val="24"/>
        </w:rPr>
      </w:pPr>
      <w:r w:rsidRPr="00E16C5A">
        <w:rPr>
          <w:rFonts w:eastAsia="Times New Roman" w:cstheme="minorHAnsi"/>
          <w:sz w:val="24"/>
        </w:rPr>
        <w:t>TC2: Secure Transaction Messages and Communication</w:t>
      </w:r>
    </w:p>
    <w:p w:rsidR="00E16C5A" w:rsidRPr="00E16C5A" w:rsidRDefault="00E16C5A" w:rsidP="00E16C5A">
      <w:pPr>
        <w:pStyle w:val="a5"/>
        <w:numPr>
          <w:ilvl w:val="0"/>
          <w:numId w:val="26"/>
        </w:numPr>
        <w:bidi w:val="0"/>
        <w:spacing w:after="120"/>
        <w:rPr>
          <w:rFonts w:eastAsia="Times New Roman" w:cstheme="minorHAnsi"/>
          <w:sz w:val="24"/>
        </w:rPr>
      </w:pPr>
      <w:r w:rsidRPr="00E16C5A">
        <w:rPr>
          <w:rFonts w:eastAsia="Times New Roman" w:cstheme="minorHAnsi"/>
          <w:sz w:val="24"/>
        </w:rPr>
        <w:t>TC3: Offline Capabilities</w:t>
      </w:r>
    </w:p>
    <w:p w:rsidR="00E16C5A" w:rsidRPr="00E16C5A" w:rsidRDefault="00E16C5A" w:rsidP="00E16C5A">
      <w:pPr>
        <w:pStyle w:val="a5"/>
        <w:numPr>
          <w:ilvl w:val="0"/>
          <w:numId w:val="26"/>
        </w:numPr>
        <w:bidi w:val="0"/>
        <w:spacing w:after="120"/>
        <w:rPr>
          <w:rFonts w:eastAsia="Times New Roman" w:cstheme="minorHAnsi"/>
          <w:sz w:val="24"/>
        </w:rPr>
      </w:pPr>
      <w:r w:rsidRPr="00E16C5A">
        <w:rPr>
          <w:rFonts w:eastAsia="Times New Roman" w:cstheme="minorHAnsi"/>
          <w:sz w:val="24"/>
        </w:rPr>
        <w:t>TC4: Payment Authorization - Secure Containers &amp; Cryptographic Key Management</w:t>
      </w:r>
    </w:p>
    <w:p w:rsidR="00E16C5A" w:rsidRPr="00E16C5A" w:rsidRDefault="00E16C5A" w:rsidP="00E16C5A">
      <w:pPr>
        <w:pStyle w:val="a5"/>
        <w:numPr>
          <w:ilvl w:val="0"/>
          <w:numId w:val="26"/>
        </w:numPr>
        <w:bidi w:val="0"/>
        <w:spacing w:after="120"/>
        <w:rPr>
          <w:rFonts w:eastAsia="Times New Roman" w:cstheme="minorHAnsi"/>
          <w:sz w:val="24"/>
        </w:rPr>
      </w:pPr>
      <w:r w:rsidRPr="00E16C5A">
        <w:rPr>
          <w:rFonts w:eastAsia="Times New Roman" w:cstheme="minorHAnsi"/>
          <w:sz w:val="24"/>
        </w:rPr>
        <w:t>TC5: Alias Management System</w:t>
      </w:r>
    </w:p>
    <w:p w:rsidR="00E16C5A" w:rsidRPr="00E16C5A" w:rsidRDefault="00E16C5A" w:rsidP="00E16C5A">
      <w:pPr>
        <w:pStyle w:val="a5"/>
        <w:numPr>
          <w:ilvl w:val="0"/>
          <w:numId w:val="26"/>
        </w:numPr>
        <w:bidi w:val="0"/>
        <w:spacing w:after="120"/>
        <w:rPr>
          <w:rFonts w:eastAsia="Times New Roman" w:cstheme="minorHAnsi"/>
          <w:sz w:val="24"/>
        </w:rPr>
      </w:pPr>
      <w:r w:rsidRPr="00E16C5A">
        <w:rPr>
          <w:rFonts w:eastAsia="Times New Roman" w:cstheme="minorHAnsi"/>
          <w:sz w:val="24"/>
        </w:rPr>
        <w:t>TC6: Fraud Monitoring System</w:t>
      </w:r>
    </w:p>
    <w:p w:rsidR="00E16C5A" w:rsidRPr="00E16C5A" w:rsidRDefault="00E16C5A" w:rsidP="00E16C5A">
      <w:pPr>
        <w:spacing w:before="100" w:beforeAutospacing="1" w:after="100" w:afterAutospacing="1"/>
        <w:jc w:val="both"/>
        <w:rPr>
          <w:rFonts w:eastAsia="Times New Roman" w:cstheme="minorHAnsi"/>
          <w:sz w:val="24"/>
        </w:rPr>
      </w:pPr>
      <w:r w:rsidRPr="00E16C5A">
        <w:rPr>
          <w:rFonts w:eastAsia="Times New Roman" w:cstheme="minorHAnsi"/>
          <w:sz w:val="24"/>
          <w:rtl/>
        </w:rPr>
        <w:t>המשיבים לתהליך ההיוועצות מוזמנים לספק תובנות על טכנולוגיות או פתרונות מוצעים, וכיצד הם יכולים לאפשר את הפונקציונליות הרצויה ולפתור אתגרים ספציפיים בתחומים אלו. המשיבים יכולים להגיב לאחד או יותר מההתייעצויות הטכנולוגיות, בהתאם למומחיותם ולפתרונות שהם מעוניינים להציע</w:t>
      </w:r>
      <w:r w:rsidRPr="00E16C5A">
        <w:rPr>
          <w:rFonts w:eastAsia="Times New Roman" w:cstheme="minorHAnsi"/>
          <w:sz w:val="24"/>
        </w:rPr>
        <w:t>.</w:t>
      </w:r>
    </w:p>
    <w:p w:rsidR="00E16C5A" w:rsidRPr="00E16C5A" w:rsidRDefault="00E16C5A" w:rsidP="00E16C5A">
      <w:pPr>
        <w:spacing w:before="100" w:beforeAutospacing="1" w:after="100" w:afterAutospacing="1"/>
        <w:jc w:val="both"/>
        <w:rPr>
          <w:rFonts w:eastAsia="Times New Roman" w:cstheme="minorHAnsi"/>
          <w:sz w:val="24"/>
          <w:rtl/>
        </w:rPr>
      </w:pPr>
      <w:r w:rsidRPr="00E16C5A">
        <w:rPr>
          <w:rFonts w:eastAsia="Times New Roman" w:cstheme="minorHAnsi"/>
          <w:sz w:val="24"/>
          <w:rtl/>
        </w:rPr>
        <w:t xml:space="preserve">כדי לספק מידע נוסף על התהליך ולענות על שאלות, בנק ישראל יארח וובינר ב-21 במאי 2025 בשעה 16:00-17:15 שעון ישראל (9:00-10:15 שעון מזרח ארה"ב, 15:00-16:15 שעון מרכז אירופה). הוובינר יתקיים באנגלית. המעוניינים יכולים להירשם דרך </w:t>
      </w:r>
      <w:hyperlink r:id="rId10" w:history="1">
        <w:r w:rsidRPr="00E16C5A">
          <w:rPr>
            <w:rStyle w:val="Hyperlink"/>
            <w:rFonts w:eastAsia="Times New Roman" w:cstheme="minorHAnsi"/>
            <w:sz w:val="24"/>
            <w:rtl/>
          </w:rPr>
          <w:t>הקישור הבא</w:t>
        </w:r>
      </w:hyperlink>
      <w:r w:rsidRPr="00E16C5A">
        <w:rPr>
          <w:rFonts w:eastAsia="Times New Roman" w:cstheme="minorHAnsi"/>
          <w:sz w:val="24"/>
          <w:rtl/>
        </w:rPr>
        <w:t>. ניתן לשלוח שאלות מראש לכתובת הדוא"ל הבאה:</w:t>
      </w:r>
      <w:r w:rsidRPr="00E16C5A">
        <w:rPr>
          <w:rFonts w:eastAsia="Times New Roman" w:cstheme="minorHAnsi"/>
          <w:sz w:val="24"/>
        </w:rPr>
        <w:t xml:space="preserve"> </w:t>
      </w:r>
      <w:hyperlink r:id="rId11" w:history="1">
        <w:r w:rsidRPr="00E16C5A">
          <w:rPr>
            <w:rStyle w:val="Hyperlink"/>
            <w:rFonts w:eastAsia="Times New Roman" w:cstheme="minorHAnsi"/>
            <w:sz w:val="24"/>
          </w:rPr>
          <w:t>digitalshekeltc@boi.org.il</w:t>
        </w:r>
      </w:hyperlink>
      <w:r w:rsidRPr="00E16C5A">
        <w:rPr>
          <w:rFonts w:eastAsia="Times New Roman" w:cstheme="minorHAnsi"/>
          <w:sz w:val="24"/>
        </w:rPr>
        <w:t xml:space="preserve"> </w:t>
      </w:r>
      <w:r w:rsidRPr="00E16C5A">
        <w:rPr>
          <w:rFonts w:eastAsia="Times New Roman" w:cstheme="minorHAnsi"/>
          <w:sz w:val="24"/>
          <w:rtl/>
        </w:rPr>
        <w:t xml:space="preserve">או דרך </w:t>
      </w:r>
      <w:hyperlink r:id="rId12" w:history="1">
        <w:r w:rsidRPr="00E16C5A">
          <w:rPr>
            <w:rStyle w:val="Hyperlink"/>
            <w:rFonts w:eastAsia="Times New Roman" w:cstheme="minorHAnsi"/>
            <w:sz w:val="24"/>
            <w:rtl/>
          </w:rPr>
          <w:t>טופס ההרשמה לוובינר</w:t>
        </w:r>
      </w:hyperlink>
      <w:r w:rsidRPr="00E16C5A">
        <w:rPr>
          <w:rFonts w:eastAsia="Times New Roman" w:cstheme="minorHAnsi"/>
          <w:sz w:val="24"/>
        </w:rPr>
        <w:t>.</w:t>
      </w:r>
    </w:p>
    <w:p w:rsidR="00E16C5A" w:rsidRPr="00E16C5A" w:rsidRDefault="00E16C5A" w:rsidP="00E16C5A">
      <w:pPr>
        <w:spacing w:before="100" w:beforeAutospacing="1" w:after="100" w:afterAutospacing="1"/>
        <w:rPr>
          <w:rFonts w:eastAsia="Times New Roman" w:cstheme="minorHAnsi"/>
          <w:sz w:val="24"/>
        </w:rPr>
      </w:pPr>
      <w:r w:rsidRPr="00E16C5A">
        <w:rPr>
          <w:rFonts w:eastAsia="Times New Roman" w:cstheme="minorHAnsi"/>
          <w:sz w:val="24"/>
          <w:rtl/>
        </w:rPr>
        <w:lastRenderedPageBreak/>
        <w:t>תהליך ההיוועצות הטכנולוגית מהווה שלב מהותי בהערכת הפוטנציאל להנפקת מטבע דיגיטלי של הבנק המרכזי בעתיד, אם כי בשלב זה לא התקבלה החלטה בנושא. בנק ישראל מצפה לשיתוף פעולה עם ספקים פוטנציאליים ומומחים על מנת לחקור פתרונות חדשניים עבור מערכת השקל הדיגיטלי</w:t>
      </w:r>
      <w:r w:rsidRPr="00E16C5A">
        <w:rPr>
          <w:rFonts w:eastAsia="Times New Roman" w:cstheme="minorHAnsi"/>
          <w:sz w:val="24"/>
        </w:rPr>
        <w:t>.</w:t>
      </w:r>
    </w:p>
    <w:p w:rsidR="00E16C5A" w:rsidRPr="00E16C5A" w:rsidRDefault="00E16C5A" w:rsidP="00E16C5A">
      <w:pPr>
        <w:spacing w:before="100" w:beforeAutospacing="1" w:after="100" w:afterAutospacing="1"/>
        <w:rPr>
          <w:rFonts w:eastAsia="Times New Roman" w:cstheme="minorHAnsi"/>
          <w:sz w:val="24"/>
        </w:rPr>
      </w:pPr>
      <w:r w:rsidRPr="00E16C5A">
        <w:rPr>
          <w:rFonts w:eastAsia="Times New Roman" w:cstheme="minorHAnsi"/>
          <w:sz w:val="24"/>
          <w:rtl/>
        </w:rPr>
        <w:t>קישורים</w:t>
      </w:r>
      <w:r w:rsidRPr="00E16C5A">
        <w:rPr>
          <w:rFonts w:eastAsia="Times New Roman" w:cstheme="minorHAnsi"/>
          <w:sz w:val="24"/>
        </w:rPr>
        <w:t>:</w:t>
      </w:r>
    </w:p>
    <w:p w:rsidR="00E16C5A" w:rsidRPr="00E16C5A" w:rsidRDefault="00E16C5A" w:rsidP="00E16C5A">
      <w:pPr>
        <w:numPr>
          <w:ilvl w:val="0"/>
          <w:numId w:val="24"/>
        </w:numPr>
        <w:spacing w:before="100" w:beforeAutospacing="1" w:after="100" w:afterAutospacing="1" w:line="360" w:lineRule="auto"/>
        <w:jc w:val="both"/>
        <w:rPr>
          <w:rFonts w:eastAsia="Times New Roman" w:cstheme="minorHAnsi"/>
          <w:sz w:val="24"/>
        </w:rPr>
      </w:pPr>
      <w:hyperlink r:id="rId13" w:history="1">
        <w:r w:rsidRPr="00E16C5A">
          <w:rPr>
            <w:rStyle w:val="Hyperlink"/>
            <w:rFonts w:eastAsia="Times New Roman" w:cstheme="minorHAnsi"/>
            <w:sz w:val="24"/>
            <w:rtl/>
          </w:rPr>
          <w:t>מסמך איפיון ראשוני למערכת השקל הדיגיטלי</w:t>
        </w:r>
      </w:hyperlink>
    </w:p>
    <w:p w:rsidR="00E16C5A" w:rsidRPr="00E16C5A" w:rsidRDefault="00BE64EE" w:rsidP="00E16C5A">
      <w:pPr>
        <w:numPr>
          <w:ilvl w:val="0"/>
          <w:numId w:val="24"/>
        </w:numPr>
        <w:spacing w:before="100" w:beforeAutospacing="1" w:after="100" w:afterAutospacing="1" w:line="360" w:lineRule="auto"/>
        <w:jc w:val="both"/>
        <w:rPr>
          <w:rFonts w:eastAsia="Times New Roman" w:cstheme="minorHAnsi"/>
          <w:sz w:val="24"/>
        </w:rPr>
      </w:pPr>
      <w:hyperlink r:id="rId14" w:history="1">
        <w:r w:rsidR="00E16C5A" w:rsidRPr="00BE64EE">
          <w:rPr>
            <w:rStyle w:val="Hyperlink"/>
            <w:rFonts w:eastAsia="Times New Roman" w:cstheme="minorHAnsi" w:hint="cs"/>
            <w:sz w:val="24"/>
            <w:rtl/>
          </w:rPr>
          <w:t xml:space="preserve">מסמך ההיוועצות </w:t>
        </w:r>
        <w:r w:rsidR="00E16C5A" w:rsidRPr="00BE64EE">
          <w:rPr>
            <w:rStyle w:val="Hyperlink"/>
            <w:rFonts w:eastAsia="Times New Roman" w:cstheme="minorHAnsi"/>
            <w:sz w:val="24"/>
            <w:rtl/>
          </w:rPr>
          <w:t>הטכנולוגי</w:t>
        </w:r>
        <w:r w:rsidR="00E16C5A" w:rsidRPr="00BE64EE">
          <w:rPr>
            <w:rStyle w:val="Hyperlink"/>
            <w:rFonts w:eastAsia="Times New Roman" w:cstheme="minorHAnsi" w:hint="cs"/>
            <w:sz w:val="24"/>
            <w:rtl/>
          </w:rPr>
          <w:t>ת</w:t>
        </w:r>
      </w:hyperlink>
      <w:bookmarkStart w:id="0" w:name="_GoBack"/>
      <w:bookmarkEnd w:id="0"/>
    </w:p>
    <w:p w:rsidR="00E16C5A" w:rsidRPr="00E16C5A" w:rsidRDefault="00E16C5A" w:rsidP="00E16C5A">
      <w:pPr>
        <w:numPr>
          <w:ilvl w:val="0"/>
          <w:numId w:val="24"/>
        </w:numPr>
        <w:spacing w:before="100" w:beforeAutospacing="1" w:after="100" w:afterAutospacing="1" w:line="360" w:lineRule="auto"/>
        <w:jc w:val="both"/>
        <w:rPr>
          <w:rFonts w:eastAsia="Times New Roman" w:cstheme="minorHAnsi"/>
          <w:sz w:val="24"/>
        </w:rPr>
      </w:pPr>
      <w:hyperlink r:id="rId15" w:history="1">
        <w:r w:rsidRPr="00E16C5A">
          <w:rPr>
            <w:rStyle w:val="Hyperlink"/>
            <w:rFonts w:eastAsia="Times New Roman" w:cstheme="minorHAnsi"/>
            <w:sz w:val="24"/>
            <w:rtl/>
          </w:rPr>
          <w:t>טופס הרשמה לוובינר</w:t>
        </w:r>
      </w:hyperlink>
    </w:p>
    <w:p w:rsidR="00E16C5A" w:rsidRPr="00E16C5A" w:rsidRDefault="00E16C5A" w:rsidP="00E16C5A">
      <w:pPr>
        <w:rPr>
          <w:rFonts w:cstheme="minorHAnsi"/>
          <w:rtl/>
        </w:rPr>
      </w:pPr>
    </w:p>
    <w:p w:rsidR="00E16C5A" w:rsidRPr="00E16C5A" w:rsidRDefault="00E16C5A" w:rsidP="009005BA">
      <w:pPr>
        <w:tabs>
          <w:tab w:val="left" w:pos="2315"/>
        </w:tabs>
        <w:rPr>
          <w:rFonts w:cstheme="minorHAnsi"/>
          <w:sz w:val="24"/>
          <w:szCs w:val="24"/>
          <w:rtl/>
        </w:rPr>
      </w:pPr>
    </w:p>
    <w:sectPr w:rsidR="00E16C5A" w:rsidRPr="00E16C5A" w:rsidSect="001D340E">
      <w:footerReference w:type="first" r:id="rId16"/>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D64FC4"/>
    <w:multiLevelType w:val="hybridMultilevel"/>
    <w:tmpl w:val="99F4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04453"/>
    <w:multiLevelType w:val="hybridMultilevel"/>
    <w:tmpl w:val="BDECA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00779B"/>
    <w:multiLevelType w:val="multilevel"/>
    <w:tmpl w:val="8E02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4"/>
  </w:num>
  <w:num w:numId="8">
    <w:abstractNumId w:val="19"/>
  </w:num>
  <w:num w:numId="9">
    <w:abstractNumId w:val="22"/>
  </w:num>
  <w:num w:numId="10">
    <w:abstractNumId w:val="15"/>
  </w:num>
  <w:num w:numId="11">
    <w:abstractNumId w:val="13"/>
  </w:num>
  <w:num w:numId="12">
    <w:abstractNumId w:val="17"/>
  </w:num>
  <w:num w:numId="13">
    <w:abstractNumId w:val="10"/>
  </w:num>
  <w:num w:numId="14">
    <w:abstractNumId w:val="3"/>
  </w:num>
  <w:num w:numId="15">
    <w:abstractNumId w:val="18"/>
  </w:num>
  <w:num w:numId="16">
    <w:abstractNumId w:val="1"/>
  </w:num>
  <w:num w:numId="17">
    <w:abstractNumId w:val="25"/>
  </w:num>
  <w:num w:numId="18">
    <w:abstractNumId w:val="23"/>
  </w:num>
  <w:num w:numId="19">
    <w:abstractNumId w:val="21"/>
  </w:num>
  <w:num w:numId="20">
    <w:abstractNumId w:val="20"/>
  </w:num>
  <w:num w:numId="21">
    <w:abstractNumId w:val="0"/>
  </w:num>
  <w:num w:numId="22">
    <w:abstractNumId w:val="8"/>
  </w:num>
  <w:num w:numId="23">
    <w:abstractNumId w:val="24"/>
  </w:num>
  <w:num w:numId="24">
    <w:abstractNumId w:val="16"/>
  </w:num>
  <w:num w:numId="25">
    <w:abstractNumId w:val="11"/>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3A44"/>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586D"/>
    <w:rsid w:val="004B6140"/>
    <w:rsid w:val="004B6D20"/>
    <w:rsid w:val="004B7DB7"/>
    <w:rsid w:val="004C13EB"/>
    <w:rsid w:val="004C48CC"/>
    <w:rsid w:val="004C5105"/>
    <w:rsid w:val="004C56D2"/>
    <w:rsid w:val="004C5822"/>
    <w:rsid w:val="004C6F2C"/>
    <w:rsid w:val="004C7D34"/>
    <w:rsid w:val="004D1250"/>
    <w:rsid w:val="004D1778"/>
    <w:rsid w:val="004D46CE"/>
    <w:rsid w:val="004E34C2"/>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E64EE"/>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6C5A"/>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3221"/>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2E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aliases w:val="פיסקת bullets,פיסקת רשימה1,List Paragraph,List Paragraph1,פיסקת רשימה11,פיסקת רשימה12,פיסקת רשימה121"/>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aliases w:val="פיסקת bullets תו,פיסקת רשימה1 תו,List Paragraph תו,List Paragraph1 תו,פיסקת רשימה11 תו,פיסקת רשימה12 תו,פיסקת רשימה121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i.org.il/media/xpkh0fzm/%D7%90%D7%99%D7%A4%D7%99%D7%95%D7%9F-%D7%A8%D7%90%D7%A9%D7%95%D7%A0%D7%99-%D7%9C%D7%9E%D7%A2%D7%A8%D7%9B%D7%AA-%D7%94%D7%A9%D7%A7%D7%9C-%D7%94%D7%93%D7%99%D7%92%D7%99%D7%98%D7%9C%D7%9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2i6evCEXyYUujAE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talshekeltc@boi.org.il" TargetMode="External"/><Relationship Id="rId5" Type="http://schemas.openxmlformats.org/officeDocument/2006/relationships/webSettings" Target="webSettings.xml"/><Relationship Id="rId15" Type="http://schemas.openxmlformats.org/officeDocument/2006/relationships/hyperlink" Target="https://forms.gle/2i6evCEXyYUujAE29" TargetMode="External"/><Relationship Id="rId10" Type="http://schemas.openxmlformats.org/officeDocument/2006/relationships/hyperlink" Target="https://forms.gle/2i6evCEXyYUujAE29" TargetMode="External"/><Relationship Id="rId4" Type="http://schemas.openxmlformats.org/officeDocument/2006/relationships/settings" Target="settings.xml"/><Relationship Id="rId9" Type="http://schemas.openxmlformats.org/officeDocument/2006/relationships/hyperlink" Target="https://www.boi.org.il/media/xpkh0fzm/%D7%90%D7%99%D7%A4%D7%99%D7%95%D7%9F-%D7%A8%D7%90%D7%A9%D7%95%D7%A0%D7%99-%D7%9C%D7%9E%D7%A2%D7%A8%D7%9B%D7%AA-%D7%94%D7%A9%D7%A7%D7%9C-%D7%94%D7%93%D7%99%D7%92%D7%99%D7%98%D7%9C%D7%99.pdf" TargetMode="External"/><Relationship Id="rId14" Type="http://schemas.openxmlformats.org/officeDocument/2006/relationships/hyperlink" Target="https://www.boi.org.il/media/s3mlmxvv/the-digital-shekel-technological-consultations-series.pdf"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www.boi.org.il/bank-of-israel/boi-podcast/"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www.boi.org.il/bank-of-israel/boi-podcast/"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078A-12C4-4CB9-8532-3C8A195C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2665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2025-05-08T08:31:00Z</dcterms:created>
  <dcterms:modified xsi:type="dcterms:W3CDTF">2025-05-08T08:54:00Z</dcterms:modified>
</cp:coreProperties>
</file>