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D10460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D10460" w:rsidRDefault="00DD5923" w:rsidP="00286AB2">
            <w:pPr>
              <w:spacing w:line="360" w:lineRule="auto"/>
              <w:jc w:val="right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D10460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D10460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D10460" w:rsidRDefault="00DD5923" w:rsidP="00286AB2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</w:rPr>
            </w:pPr>
            <w:r w:rsidRPr="00D10460">
              <w:rPr>
                <w:rFonts w:ascii="Arial" w:hAnsi="Arial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D10460" w:rsidRDefault="005816B4" w:rsidP="00D87676">
            <w:pPr>
              <w:jc w:val="center"/>
              <w:rPr>
                <w:rFonts w:ascii="Arial" w:hAnsi="Arial" w:cs="David"/>
              </w:rPr>
            </w:pPr>
            <w:r w:rsidRPr="00D10460">
              <w:rPr>
                <w:rFonts w:cs="David"/>
                <w:noProof/>
                <w:lang w:eastAsia="en-US"/>
              </w:rPr>
              <w:drawing>
                <wp:inline distT="0" distB="0" distL="0" distR="0" wp14:anchorId="216C0CEC" wp14:editId="49388064">
                  <wp:extent cx="772160" cy="769620"/>
                  <wp:effectExtent l="0" t="0" r="8890" b="0"/>
                  <wp:docPr id="2" name="תמונה 2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D10460" w:rsidRDefault="0089040A" w:rsidP="004606C0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D10460">
              <w:rPr>
                <w:rFonts w:ascii="Arial" w:hAnsi="Arial" w:cs="David"/>
                <w:sz w:val="24"/>
                <w:szCs w:val="24"/>
                <w:rtl/>
              </w:rPr>
              <w:t xml:space="preserve">ירושלים, </w:t>
            </w:r>
            <w:r w:rsidR="00F426C3" w:rsidRPr="00D10460">
              <w:rPr>
                <w:rFonts w:ascii="Arial" w:hAnsi="Arial" w:cs="David" w:hint="cs"/>
                <w:sz w:val="24"/>
                <w:szCs w:val="24"/>
                <w:rtl/>
              </w:rPr>
              <w:t>כ"</w:t>
            </w:r>
            <w:r w:rsidR="004606C0" w:rsidRPr="00D10460">
              <w:rPr>
                <w:rFonts w:ascii="Arial" w:hAnsi="Arial" w:cs="David" w:hint="cs"/>
                <w:sz w:val="24"/>
                <w:szCs w:val="24"/>
                <w:rtl/>
              </w:rPr>
              <w:t>ח</w:t>
            </w:r>
            <w:r w:rsidR="00F426C3" w:rsidRPr="00D10460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DD1B3F" w:rsidRPr="00D10460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4606C0" w:rsidRPr="00D10460">
              <w:rPr>
                <w:rFonts w:ascii="Arial" w:hAnsi="Arial" w:cs="David" w:hint="cs"/>
                <w:sz w:val="24"/>
                <w:szCs w:val="24"/>
                <w:rtl/>
              </w:rPr>
              <w:t>אלול</w:t>
            </w:r>
            <w:r w:rsidR="00C411E7" w:rsidRPr="00D10460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D10460">
              <w:rPr>
                <w:rFonts w:ascii="Arial" w:hAnsi="Arial" w:cs="David"/>
                <w:sz w:val="24"/>
                <w:szCs w:val="24"/>
                <w:rtl/>
              </w:rPr>
              <w:t>תשע"</w:t>
            </w:r>
            <w:r w:rsidR="00716EF2" w:rsidRPr="00D10460">
              <w:rPr>
                <w:rFonts w:ascii="Arial" w:hAnsi="Arial" w:cs="David" w:hint="cs"/>
                <w:sz w:val="24"/>
                <w:szCs w:val="24"/>
                <w:rtl/>
              </w:rPr>
              <w:t>ז</w:t>
            </w:r>
          </w:p>
          <w:p w:rsidR="00DD5923" w:rsidRPr="00D10460" w:rsidRDefault="0089040A" w:rsidP="004606C0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D10460">
              <w:rPr>
                <w:rFonts w:ascii="Arial" w:hAnsi="Arial" w:cs="David"/>
                <w:sz w:val="24"/>
                <w:szCs w:val="24"/>
                <w:highlight w:val="yellow"/>
                <w:rtl/>
              </w:rPr>
              <w:t>‏‏</w:t>
            </w:r>
            <w:r w:rsidR="004606C0" w:rsidRPr="00D10460">
              <w:rPr>
                <w:rFonts w:ascii="Arial" w:hAnsi="Arial" w:cs="David" w:hint="cs"/>
                <w:sz w:val="24"/>
                <w:szCs w:val="24"/>
                <w:rtl/>
              </w:rPr>
              <w:t>19</w:t>
            </w:r>
            <w:r w:rsidR="00A17283" w:rsidRPr="00D10460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F426C3" w:rsidRPr="00D10460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4606C0" w:rsidRPr="00D10460">
              <w:rPr>
                <w:rFonts w:ascii="Arial" w:hAnsi="Arial" w:cs="David" w:hint="cs"/>
                <w:sz w:val="24"/>
                <w:szCs w:val="24"/>
                <w:rtl/>
              </w:rPr>
              <w:t>ספטמבר</w:t>
            </w:r>
            <w:r w:rsidR="00A17283" w:rsidRPr="00D10460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D559E6" w:rsidRPr="00D10460">
              <w:rPr>
                <w:rFonts w:ascii="Arial" w:hAnsi="Arial" w:cs="David" w:hint="cs"/>
                <w:sz w:val="24"/>
                <w:szCs w:val="24"/>
                <w:rtl/>
              </w:rPr>
              <w:t>2017</w:t>
            </w:r>
          </w:p>
        </w:tc>
      </w:tr>
    </w:tbl>
    <w:p w:rsidR="00FE034E" w:rsidRPr="00D10460" w:rsidRDefault="00FE034E" w:rsidP="007E18EE">
      <w:pPr>
        <w:bidi/>
        <w:rPr>
          <w:rFonts w:ascii="Arial" w:hAnsi="Arial" w:cs="David"/>
          <w:rtl/>
        </w:rPr>
      </w:pPr>
    </w:p>
    <w:p w:rsidR="00C9322A" w:rsidRPr="00D10460" w:rsidRDefault="00C9322A" w:rsidP="00C9322A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  <w:r w:rsidRPr="00D10460">
        <w:rPr>
          <w:rFonts w:ascii="Arial" w:hAnsi="Arial" w:cs="David"/>
          <w:sz w:val="24"/>
          <w:szCs w:val="24"/>
          <w:rtl/>
        </w:rPr>
        <w:t>הודעה לעיתונות:</w:t>
      </w:r>
    </w:p>
    <w:p w:rsidR="009E07BE" w:rsidRPr="00D10460" w:rsidRDefault="009E07BE" w:rsidP="009E07BE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</w:p>
    <w:p w:rsidR="00C9322A" w:rsidRPr="00D10460" w:rsidRDefault="00C9322A" w:rsidP="004606C0">
      <w:pPr>
        <w:pStyle w:val="af4"/>
        <w:rPr>
          <w:rFonts w:cs="David"/>
          <w:rtl/>
        </w:rPr>
      </w:pPr>
      <w:bookmarkStart w:id="0" w:name="_GoBack"/>
      <w:r w:rsidRPr="00D10460">
        <w:rPr>
          <w:rFonts w:cs="David"/>
          <w:rtl/>
        </w:rPr>
        <w:t xml:space="preserve">התפתחות החוב </w:t>
      </w:r>
      <w:r w:rsidR="00802DF3" w:rsidRPr="00D10460">
        <w:rPr>
          <w:rFonts w:cs="David" w:hint="cs"/>
          <w:rtl/>
        </w:rPr>
        <w:t xml:space="preserve">של המגזר הפרטי </w:t>
      </w:r>
      <w:r w:rsidR="0077544B" w:rsidRPr="00D10460">
        <w:rPr>
          <w:rFonts w:cs="David" w:hint="cs"/>
          <w:rtl/>
        </w:rPr>
        <w:t>הלא</w:t>
      </w:r>
      <w:r w:rsidR="00E44E3D" w:rsidRPr="00D10460">
        <w:rPr>
          <w:rFonts w:cs="David" w:hint="cs"/>
          <w:rtl/>
        </w:rPr>
        <w:t>-</w:t>
      </w:r>
      <w:r w:rsidR="0077544B" w:rsidRPr="00D10460">
        <w:rPr>
          <w:rFonts w:cs="David" w:hint="cs"/>
          <w:rtl/>
        </w:rPr>
        <w:t xml:space="preserve">פיננסי </w:t>
      </w:r>
      <w:r w:rsidR="00FC2095" w:rsidRPr="00D10460">
        <w:rPr>
          <w:rFonts w:cs="David" w:hint="cs"/>
          <w:rtl/>
        </w:rPr>
        <w:t xml:space="preserve">ברביע </w:t>
      </w:r>
      <w:r w:rsidR="00E44E3D" w:rsidRPr="00D10460">
        <w:rPr>
          <w:rFonts w:cs="David" w:hint="cs"/>
          <w:rtl/>
        </w:rPr>
        <w:t>ה</w:t>
      </w:r>
      <w:r w:rsidR="004606C0" w:rsidRPr="00D10460">
        <w:rPr>
          <w:rFonts w:cs="David" w:hint="cs"/>
          <w:rtl/>
        </w:rPr>
        <w:t>שני</w:t>
      </w:r>
      <w:r w:rsidR="00802DF3" w:rsidRPr="00D10460">
        <w:rPr>
          <w:rFonts w:cs="David" w:hint="cs"/>
          <w:rtl/>
        </w:rPr>
        <w:t xml:space="preserve"> של</w:t>
      </w:r>
      <w:r w:rsidRPr="00D10460">
        <w:rPr>
          <w:rFonts w:cs="David"/>
          <w:rtl/>
        </w:rPr>
        <w:t xml:space="preserve"> </w:t>
      </w:r>
      <w:r w:rsidR="00F426C3" w:rsidRPr="00D10460">
        <w:rPr>
          <w:rFonts w:cs="David" w:hint="cs"/>
          <w:rtl/>
        </w:rPr>
        <w:t>2017</w:t>
      </w:r>
    </w:p>
    <w:bookmarkEnd w:id="0"/>
    <w:p w:rsidR="00F426C3" w:rsidRPr="00D10460" w:rsidRDefault="00F426C3" w:rsidP="00E44E3D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</w:p>
    <w:p w:rsidR="009F574F" w:rsidRPr="00D10460" w:rsidRDefault="00682B0D" w:rsidP="00682B0D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  <w:r w:rsidRPr="00D10460">
        <w:rPr>
          <w:rFonts w:ascii="Arial" w:hAnsi="Arial" w:cs="David" w:hint="cs"/>
          <w:sz w:val="24"/>
          <w:szCs w:val="24"/>
          <w:rtl/>
        </w:rPr>
        <w:t>ברביע בשני של שנת 2017 נרשם גידול כמותי משמעותי בחוב של המגזר העסקי שתרם לעלייה של כ-1.5% ב</w:t>
      </w:r>
      <w:r w:rsidR="00AA0702" w:rsidRPr="00D10460">
        <w:rPr>
          <w:rFonts w:ascii="Arial" w:hAnsi="Arial" w:cs="David" w:hint="cs"/>
          <w:sz w:val="24"/>
          <w:szCs w:val="24"/>
          <w:rtl/>
        </w:rPr>
        <w:t>יתרת החוב</w:t>
      </w:r>
      <w:r w:rsidR="0089040A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AA0702" w:rsidRPr="00D10460">
        <w:rPr>
          <w:rFonts w:ascii="Arial" w:hAnsi="Arial" w:cs="David" w:hint="cs"/>
          <w:sz w:val="24"/>
          <w:szCs w:val="24"/>
          <w:rtl/>
        </w:rPr>
        <w:t xml:space="preserve">של </w:t>
      </w:r>
      <w:r w:rsidR="0089040A" w:rsidRPr="00D10460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="004606C0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F426C3" w:rsidRPr="00D10460">
        <w:rPr>
          <w:rFonts w:ascii="Arial" w:hAnsi="Arial" w:cs="David" w:hint="cs"/>
          <w:sz w:val="24"/>
          <w:szCs w:val="24"/>
          <w:rtl/>
        </w:rPr>
        <w:t>ל</w:t>
      </w:r>
      <w:r w:rsidR="00340B38" w:rsidRPr="00D10460">
        <w:rPr>
          <w:rFonts w:ascii="Arial" w:hAnsi="Arial" w:cs="David" w:hint="cs"/>
          <w:sz w:val="24"/>
          <w:szCs w:val="24"/>
          <w:rtl/>
        </w:rPr>
        <w:t>ר</w:t>
      </w:r>
      <w:r w:rsidR="00F426C3" w:rsidRPr="00D10460">
        <w:rPr>
          <w:rFonts w:ascii="Arial" w:hAnsi="Arial" w:cs="David" w:hint="cs"/>
          <w:sz w:val="24"/>
          <w:szCs w:val="24"/>
          <w:rtl/>
        </w:rPr>
        <w:t>מה של</w:t>
      </w:r>
      <w:r w:rsidR="004024AB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3B17BC" w:rsidRPr="00D10460">
        <w:rPr>
          <w:rFonts w:ascii="Arial" w:hAnsi="Arial" w:cs="David" w:hint="cs"/>
          <w:sz w:val="24"/>
          <w:szCs w:val="24"/>
          <w:rtl/>
        </w:rPr>
        <w:t>כ-</w:t>
      </w:r>
      <w:r w:rsidR="00AA0702" w:rsidRPr="00D10460">
        <w:rPr>
          <w:rFonts w:ascii="Arial" w:hAnsi="Arial" w:cs="David" w:hint="cs"/>
          <w:sz w:val="24"/>
          <w:szCs w:val="24"/>
          <w:rtl/>
        </w:rPr>
        <w:t>852</w:t>
      </w:r>
      <w:r w:rsidR="0089040A" w:rsidRPr="00D10460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3645A9" w:rsidRPr="00D10460">
        <w:rPr>
          <w:rFonts w:ascii="Arial" w:hAnsi="Arial" w:cs="David" w:hint="cs"/>
          <w:sz w:val="24"/>
          <w:szCs w:val="24"/>
          <w:rtl/>
        </w:rPr>
        <w:t>ם</w:t>
      </w:r>
      <w:r w:rsidR="0089040A" w:rsidRPr="00D10460">
        <w:rPr>
          <w:rFonts w:ascii="Arial" w:hAnsi="Arial" w:cs="David" w:hint="cs"/>
          <w:sz w:val="24"/>
          <w:szCs w:val="24"/>
          <w:rtl/>
        </w:rPr>
        <w:t xml:space="preserve">. יתרת החוב של </w:t>
      </w:r>
      <w:r w:rsidR="0089040A" w:rsidRPr="00D10460">
        <w:rPr>
          <w:rFonts w:ascii="Arial" w:hAnsi="Arial" w:cs="David" w:hint="cs"/>
          <w:b/>
          <w:bCs/>
          <w:sz w:val="24"/>
          <w:szCs w:val="24"/>
          <w:rtl/>
        </w:rPr>
        <w:t>משקי הבית</w:t>
      </w:r>
      <w:r w:rsidR="004606C0" w:rsidRPr="00D10460">
        <w:rPr>
          <w:rStyle w:val="af1"/>
          <w:rFonts w:ascii="Arial" w:hAnsi="Arial" w:cs="David"/>
          <w:sz w:val="24"/>
          <w:szCs w:val="24"/>
          <w:rtl/>
        </w:rPr>
        <w:footnoteReference w:id="1"/>
      </w:r>
      <w:r w:rsidR="004606C0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D10460">
        <w:rPr>
          <w:rFonts w:ascii="Arial" w:hAnsi="Arial" w:cs="David" w:hint="cs"/>
          <w:sz w:val="24"/>
          <w:szCs w:val="24"/>
          <w:rtl/>
        </w:rPr>
        <w:t xml:space="preserve">גדלה </w:t>
      </w:r>
      <w:r w:rsidR="00C63A60" w:rsidRPr="00D10460">
        <w:rPr>
          <w:rFonts w:ascii="Arial" w:hAnsi="Arial" w:cs="David" w:hint="cs"/>
          <w:sz w:val="24"/>
          <w:szCs w:val="24"/>
          <w:rtl/>
        </w:rPr>
        <w:t xml:space="preserve">ברביע </w:t>
      </w:r>
      <w:r w:rsidRPr="00D10460">
        <w:rPr>
          <w:rFonts w:ascii="Arial" w:hAnsi="Arial" w:cs="David" w:hint="cs"/>
          <w:sz w:val="24"/>
          <w:szCs w:val="24"/>
          <w:rtl/>
        </w:rPr>
        <w:t xml:space="preserve">זה </w:t>
      </w:r>
      <w:r w:rsidR="007F1D05" w:rsidRPr="00D10460">
        <w:rPr>
          <w:rFonts w:ascii="Arial" w:hAnsi="Arial" w:cs="David" w:hint="cs"/>
          <w:sz w:val="24"/>
          <w:szCs w:val="24"/>
          <w:rtl/>
        </w:rPr>
        <w:t>בכ-</w:t>
      </w:r>
      <w:r w:rsidR="00AA0702" w:rsidRPr="00D10460">
        <w:rPr>
          <w:rFonts w:ascii="Arial" w:hAnsi="Arial" w:cs="David" w:hint="cs"/>
          <w:sz w:val="24"/>
          <w:szCs w:val="24"/>
          <w:rtl/>
        </w:rPr>
        <w:t>7.6 מיליארדים (</w:t>
      </w:r>
      <w:r w:rsidR="004C3D74" w:rsidRPr="00D10460">
        <w:rPr>
          <w:rFonts w:ascii="Arial" w:hAnsi="Arial" w:cs="David" w:hint="cs"/>
          <w:sz w:val="24"/>
          <w:szCs w:val="24"/>
          <w:rtl/>
        </w:rPr>
        <w:t>1.5</w:t>
      </w:r>
      <w:r w:rsidR="00AA0702" w:rsidRPr="00D10460">
        <w:rPr>
          <w:rFonts w:ascii="Arial" w:hAnsi="Arial" w:cs="David" w:hint="cs"/>
          <w:sz w:val="24"/>
          <w:szCs w:val="24"/>
          <w:rtl/>
        </w:rPr>
        <w:t xml:space="preserve">%) </w:t>
      </w:r>
      <w:r w:rsidR="0089040A" w:rsidRPr="00D10460">
        <w:rPr>
          <w:rFonts w:ascii="Arial" w:hAnsi="Arial" w:cs="David" w:hint="cs"/>
          <w:sz w:val="24"/>
          <w:szCs w:val="24"/>
          <w:rtl/>
        </w:rPr>
        <w:t xml:space="preserve">ועמדה </w:t>
      </w:r>
      <w:r w:rsidR="009B7097" w:rsidRPr="00D10460">
        <w:rPr>
          <w:rFonts w:ascii="Arial" w:hAnsi="Arial" w:cs="David" w:hint="cs"/>
          <w:sz w:val="24"/>
          <w:szCs w:val="24"/>
          <w:rtl/>
        </w:rPr>
        <w:t>בסופו</w:t>
      </w:r>
      <w:r w:rsidR="0089040A" w:rsidRPr="00D10460">
        <w:rPr>
          <w:rFonts w:ascii="Arial" w:hAnsi="Arial" w:cs="David" w:hint="cs"/>
          <w:sz w:val="24"/>
          <w:szCs w:val="24"/>
          <w:rtl/>
        </w:rPr>
        <w:t xml:space="preserve"> על כ-</w:t>
      </w:r>
      <w:r w:rsidR="009467BA" w:rsidRPr="00D10460">
        <w:rPr>
          <w:rFonts w:ascii="Arial" w:hAnsi="Arial" w:cs="David" w:hint="cs"/>
          <w:sz w:val="24"/>
          <w:szCs w:val="24"/>
          <w:rtl/>
        </w:rPr>
        <w:t>5</w:t>
      </w:r>
      <w:r w:rsidR="004C3D74" w:rsidRPr="00D10460">
        <w:rPr>
          <w:rFonts w:ascii="Arial" w:hAnsi="Arial" w:cs="David" w:hint="cs"/>
          <w:sz w:val="24"/>
          <w:szCs w:val="24"/>
          <w:rtl/>
        </w:rPr>
        <w:t>18</w:t>
      </w:r>
      <w:r w:rsidR="0089040A" w:rsidRPr="00D10460">
        <w:rPr>
          <w:rFonts w:ascii="Arial" w:hAnsi="Arial" w:cs="David" w:hint="cs"/>
          <w:sz w:val="24"/>
          <w:szCs w:val="24"/>
          <w:rtl/>
        </w:rPr>
        <w:t xml:space="preserve"> מיליארדים.</w:t>
      </w:r>
    </w:p>
    <w:p w:rsidR="009E07BE" w:rsidRPr="00D10460" w:rsidRDefault="009E07BE" w:rsidP="009E07B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F574F" w:rsidRPr="00D10460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</w:rPr>
      </w:pPr>
      <w:r w:rsidRPr="00D10460">
        <w:rPr>
          <w:rStyle w:val="10"/>
          <w:rFonts w:cs="David"/>
          <w:rtl/>
        </w:rPr>
        <w:t>החוב של המגזר העסקי</w:t>
      </w:r>
      <w:r w:rsidR="0028327B" w:rsidRPr="00D10460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340B38" w:rsidRPr="00D10460" w:rsidRDefault="0089040A" w:rsidP="00FA0242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Arial" w:hAnsi="Arial" w:cs="David"/>
          <w:sz w:val="24"/>
          <w:szCs w:val="24"/>
        </w:rPr>
      </w:pPr>
      <w:r w:rsidRPr="00D10460">
        <w:rPr>
          <w:rFonts w:ascii="Arial" w:hAnsi="Arial" w:cs="David" w:hint="cs"/>
          <w:sz w:val="24"/>
          <w:szCs w:val="24"/>
          <w:rtl/>
        </w:rPr>
        <w:t>מהחטיבה למידע ו</w:t>
      </w:r>
      <w:r w:rsidR="00882FBA" w:rsidRPr="00D10460">
        <w:rPr>
          <w:rFonts w:ascii="Arial" w:hAnsi="Arial" w:cs="David" w:hint="cs"/>
          <w:sz w:val="24"/>
          <w:szCs w:val="24"/>
          <w:rtl/>
        </w:rPr>
        <w:t>ל</w:t>
      </w:r>
      <w:r w:rsidRPr="00D10460">
        <w:rPr>
          <w:rFonts w:ascii="Arial" w:hAnsi="Arial" w:cs="David" w:hint="cs"/>
          <w:sz w:val="24"/>
          <w:szCs w:val="24"/>
          <w:rtl/>
        </w:rPr>
        <w:t xml:space="preserve">סטטיסטיקה נמסר, כי </w:t>
      </w:r>
      <w:r w:rsidR="00406F28" w:rsidRPr="00D10460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242FFE" w:rsidRPr="00D10460">
        <w:rPr>
          <w:rFonts w:ascii="Arial" w:hAnsi="Arial" w:cs="David" w:hint="cs"/>
          <w:sz w:val="24"/>
          <w:szCs w:val="24"/>
          <w:rtl/>
        </w:rPr>
        <w:t>ה</w:t>
      </w:r>
      <w:r w:rsidR="004606C0" w:rsidRPr="00D10460">
        <w:rPr>
          <w:rFonts w:ascii="Arial" w:hAnsi="Arial" w:cs="David" w:hint="cs"/>
          <w:sz w:val="24"/>
          <w:szCs w:val="24"/>
          <w:rtl/>
        </w:rPr>
        <w:t>שני</w:t>
      </w:r>
      <w:r w:rsidR="00406F28" w:rsidRPr="00D10460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F426C3" w:rsidRPr="00D10460">
        <w:rPr>
          <w:rFonts w:ascii="Arial" w:hAnsi="Arial" w:cs="David" w:hint="cs"/>
          <w:sz w:val="24"/>
          <w:szCs w:val="24"/>
          <w:rtl/>
        </w:rPr>
        <w:t>2017</w:t>
      </w:r>
      <w:r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340B38" w:rsidRPr="00D10460">
        <w:rPr>
          <w:rFonts w:ascii="Arial" w:hAnsi="Arial" w:cs="David" w:hint="cs"/>
          <w:sz w:val="24"/>
          <w:szCs w:val="24"/>
          <w:rtl/>
        </w:rPr>
        <w:t xml:space="preserve">נרשם גידול כמותי </w:t>
      </w:r>
      <w:r w:rsidR="004606C0" w:rsidRPr="00D10460">
        <w:rPr>
          <w:rFonts w:ascii="Arial" w:hAnsi="Arial" w:cs="David" w:hint="cs"/>
          <w:sz w:val="24"/>
          <w:szCs w:val="24"/>
          <w:rtl/>
        </w:rPr>
        <w:t xml:space="preserve">משמעותי </w:t>
      </w:r>
      <w:r w:rsidR="00340B38" w:rsidRPr="00D10460">
        <w:rPr>
          <w:rFonts w:ascii="Arial" w:hAnsi="Arial" w:cs="David" w:hint="cs"/>
          <w:sz w:val="24"/>
          <w:szCs w:val="24"/>
          <w:rtl/>
        </w:rPr>
        <w:t xml:space="preserve">בחוב של </w:t>
      </w:r>
      <w:r w:rsidR="00340B38" w:rsidRPr="00D10460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="00340B38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4606C0" w:rsidRPr="00D10460">
        <w:rPr>
          <w:rFonts w:ascii="Arial" w:hAnsi="Arial" w:cs="David" w:hint="cs"/>
          <w:sz w:val="24"/>
          <w:szCs w:val="24"/>
          <w:rtl/>
        </w:rPr>
        <w:t>במרבית אפיקי הגיוס שה</w:t>
      </w:r>
      <w:r w:rsidR="00143BC9" w:rsidRPr="00D10460">
        <w:rPr>
          <w:rFonts w:ascii="Arial" w:hAnsi="Arial" w:cs="David" w:hint="cs"/>
          <w:sz w:val="24"/>
          <w:szCs w:val="24"/>
          <w:rtl/>
        </w:rPr>
        <w:t>ס</w:t>
      </w:r>
      <w:r w:rsidR="004606C0" w:rsidRPr="00D10460">
        <w:rPr>
          <w:rFonts w:ascii="Arial" w:hAnsi="Arial" w:cs="David" w:hint="cs"/>
          <w:sz w:val="24"/>
          <w:szCs w:val="24"/>
          <w:rtl/>
        </w:rPr>
        <w:t xml:space="preserve">תכם בכ-18.2 מיליארדי ש"ח. הגידול הכמותי הורכב בעיקרו מגידול </w:t>
      </w:r>
      <w:r w:rsidR="00340B38" w:rsidRPr="00D10460">
        <w:rPr>
          <w:rFonts w:ascii="Arial" w:hAnsi="Arial" w:cs="David" w:hint="cs"/>
          <w:sz w:val="24"/>
          <w:szCs w:val="24"/>
          <w:rtl/>
        </w:rPr>
        <w:t xml:space="preserve">באג"ח סחירות בישראל, </w:t>
      </w:r>
      <w:r w:rsidR="004606C0" w:rsidRPr="00D10460">
        <w:rPr>
          <w:rFonts w:ascii="Arial" w:hAnsi="Arial" w:cs="David" w:hint="cs"/>
          <w:sz w:val="24"/>
          <w:szCs w:val="24"/>
          <w:rtl/>
        </w:rPr>
        <w:t>בהלוואות מתושבי חוץ, ב</w:t>
      </w:r>
      <w:r w:rsidR="00340B38" w:rsidRPr="00D10460">
        <w:rPr>
          <w:rFonts w:ascii="Arial" w:hAnsi="Arial" w:cs="David" w:hint="cs"/>
          <w:sz w:val="24"/>
          <w:szCs w:val="24"/>
          <w:rtl/>
        </w:rPr>
        <w:t xml:space="preserve">הלוואות בנקאיות וחוץ בנקאיות. גידול כמותי זה קוזז </w:t>
      </w:r>
      <w:r w:rsidR="004606C0" w:rsidRPr="00D10460">
        <w:rPr>
          <w:rFonts w:ascii="Arial" w:hAnsi="Arial" w:cs="David" w:hint="cs"/>
          <w:sz w:val="24"/>
          <w:szCs w:val="24"/>
          <w:rtl/>
        </w:rPr>
        <w:t>במקצת</w:t>
      </w:r>
      <w:r w:rsidR="00340B38" w:rsidRPr="00D10460">
        <w:rPr>
          <w:rFonts w:ascii="Arial" w:hAnsi="Arial" w:cs="David" w:hint="cs"/>
          <w:sz w:val="24"/>
          <w:szCs w:val="24"/>
          <w:rtl/>
        </w:rPr>
        <w:t xml:space="preserve"> כתוצאה מהשפעת ייסוף של כ-</w:t>
      </w:r>
      <w:r w:rsidR="004606C0" w:rsidRPr="00D10460">
        <w:rPr>
          <w:rFonts w:ascii="Arial" w:hAnsi="Arial" w:cs="David" w:hint="cs"/>
          <w:sz w:val="24"/>
          <w:szCs w:val="24"/>
          <w:rtl/>
        </w:rPr>
        <w:t>3.7</w:t>
      </w:r>
      <w:r w:rsidR="00340B38" w:rsidRPr="00D10460">
        <w:rPr>
          <w:rFonts w:ascii="Arial" w:hAnsi="Arial" w:cs="David" w:hint="cs"/>
          <w:sz w:val="24"/>
          <w:szCs w:val="24"/>
          <w:rtl/>
        </w:rPr>
        <w:t xml:space="preserve">% בשער החליפין של </w:t>
      </w:r>
      <w:r w:rsidR="00340B38" w:rsidRPr="00D10460">
        <w:rPr>
          <w:rFonts w:ascii="Arial" w:hAnsi="Arial" w:cs="David"/>
          <w:sz w:val="24"/>
          <w:szCs w:val="24"/>
          <w:rtl/>
        </w:rPr>
        <w:t>השקל מול הדולר</w:t>
      </w:r>
      <w:r w:rsidR="00340B38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3E3AEF" w:rsidRPr="00D10460">
        <w:rPr>
          <w:rFonts w:ascii="Arial" w:hAnsi="Arial" w:cs="David" w:hint="cs"/>
          <w:sz w:val="24"/>
          <w:szCs w:val="24"/>
          <w:rtl/>
        </w:rPr>
        <w:t>ש</w:t>
      </w:r>
      <w:r w:rsidR="00340B38" w:rsidRPr="00D10460">
        <w:rPr>
          <w:rFonts w:ascii="Arial" w:hAnsi="Arial" w:cs="David" w:hint="cs"/>
          <w:sz w:val="24"/>
          <w:szCs w:val="24"/>
          <w:rtl/>
        </w:rPr>
        <w:t xml:space="preserve">הקטין את השווי של החוב הנקוב והצמוד מט"ח, וכן מהקטנה כמותית </w:t>
      </w:r>
      <w:r w:rsidR="004606C0" w:rsidRPr="00D10460">
        <w:rPr>
          <w:rFonts w:ascii="Arial" w:hAnsi="Arial" w:cs="David" w:hint="cs"/>
          <w:sz w:val="24"/>
          <w:szCs w:val="24"/>
          <w:rtl/>
        </w:rPr>
        <w:t>באג"ח לא סחירות</w:t>
      </w:r>
      <w:r w:rsidR="00340B38" w:rsidRPr="00D10460">
        <w:rPr>
          <w:rFonts w:ascii="Arial" w:hAnsi="Arial" w:cs="David" w:hint="cs"/>
          <w:sz w:val="24"/>
          <w:szCs w:val="24"/>
          <w:rtl/>
        </w:rPr>
        <w:t xml:space="preserve">. כתוצאה מהשפעות אלו, יתרת החוב של המגזר העסקי </w:t>
      </w:r>
      <w:r w:rsidR="004606C0" w:rsidRPr="00D10460">
        <w:rPr>
          <w:rFonts w:ascii="Arial" w:hAnsi="Arial" w:cs="David" w:hint="cs"/>
          <w:sz w:val="24"/>
          <w:szCs w:val="24"/>
          <w:rtl/>
        </w:rPr>
        <w:t>גדלה</w:t>
      </w:r>
      <w:r w:rsidR="00340B38" w:rsidRPr="00D10460">
        <w:rPr>
          <w:rFonts w:ascii="Arial" w:hAnsi="Arial" w:cs="David" w:hint="cs"/>
          <w:sz w:val="24"/>
          <w:szCs w:val="24"/>
          <w:rtl/>
        </w:rPr>
        <w:t xml:space="preserve"> ברביע זה בכ-</w:t>
      </w:r>
      <w:r w:rsidR="004606C0" w:rsidRPr="00D10460">
        <w:rPr>
          <w:rFonts w:ascii="Arial" w:hAnsi="Arial" w:cs="David" w:hint="cs"/>
          <w:sz w:val="24"/>
          <w:szCs w:val="24"/>
          <w:rtl/>
        </w:rPr>
        <w:t>12.9</w:t>
      </w:r>
      <w:r w:rsidR="00340B38" w:rsidRPr="00D10460">
        <w:rPr>
          <w:rFonts w:ascii="Arial" w:hAnsi="Arial" w:cs="David" w:hint="cs"/>
          <w:sz w:val="24"/>
          <w:szCs w:val="24"/>
          <w:rtl/>
        </w:rPr>
        <w:t xml:space="preserve"> מיליארדי ש"ח (</w:t>
      </w:r>
      <w:r w:rsidR="00143BC9" w:rsidRPr="00D10460">
        <w:rPr>
          <w:rFonts w:ascii="Arial" w:hAnsi="Arial" w:cs="David" w:hint="cs"/>
          <w:sz w:val="24"/>
          <w:szCs w:val="24"/>
          <w:rtl/>
        </w:rPr>
        <w:t>1.5%) לרמה ש</w:t>
      </w:r>
      <w:r w:rsidR="00340B38" w:rsidRPr="00D10460">
        <w:rPr>
          <w:rFonts w:ascii="Arial" w:hAnsi="Arial" w:cs="David" w:hint="cs"/>
          <w:sz w:val="24"/>
          <w:szCs w:val="24"/>
          <w:rtl/>
        </w:rPr>
        <w:t>ל כ-</w:t>
      </w:r>
      <w:r w:rsidR="00143BC9" w:rsidRPr="00D10460">
        <w:rPr>
          <w:rFonts w:ascii="Arial" w:hAnsi="Arial" w:cs="David" w:hint="cs"/>
          <w:sz w:val="24"/>
          <w:szCs w:val="24"/>
          <w:rtl/>
        </w:rPr>
        <w:t>852</w:t>
      </w:r>
      <w:r w:rsidR="00340B38" w:rsidRPr="00D10460">
        <w:rPr>
          <w:rFonts w:ascii="Arial" w:hAnsi="Arial" w:cs="David" w:hint="cs"/>
          <w:sz w:val="24"/>
          <w:szCs w:val="24"/>
          <w:rtl/>
        </w:rPr>
        <w:t xml:space="preserve"> מיליארדים.</w:t>
      </w:r>
    </w:p>
    <w:p w:rsidR="002A51F1" w:rsidRPr="00D10460" w:rsidRDefault="004C43DC" w:rsidP="0050443A">
      <w:pPr>
        <w:pStyle w:val="a9"/>
        <w:numPr>
          <w:ilvl w:val="0"/>
          <w:numId w:val="8"/>
        </w:numPr>
        <w:bidi/>
        <w:spacing w:line="360" w:lineRule="auto"/>
        <w:rPr>
          <w:rFonts w:ascii="Arial" w:hAnsi="Arial" w:cs="David"/>
          <w:sz w:val="24"/>
          <w:szCs w:val="24"/>
        </w:rPr>
      </w:pPr>
      <w:r w:rsidRPr="00D10460">
        <w:rPr>
          <w:rFonts w:ascii="Arial" w:hAnsi="Arial" w:cs="David"/>
          <w:sz w:val="24"/>
          <w:szCs w:val="24"/>
          <w:rtl/>
        </w:rPr>
        <w:t xml:space="preserve">ברביע </w:t>
      </w:r>
      <w:r w:rsidR="00670D97" w:rsidRPr="00D10460">
        <w:rPr>
          <w:rFonts w:ascii="Arial" w:hAnsi="Arial" w:cs="David" w:hint="cs"/>
          <w:sz w:val="24"/>
          <w:szCs w:val="24"/>
          <w:rtl/>
        </w:rPr>
        <w:t>ה</w:t>
      </w:r>
      <w:r w:rsidR="00981FA3" w:rsidRPr="00D10460">
        <w:rPr>
          <w:rFonts w:ascii="Arial" w:hAnsi="Arial" w:cs="David" w:hint="cs"/>
          <w:sz w:val="24"/>
          <w:szCs w:val="24"/>
          <w:rtl/>
        </w:rPr>
        <w:t xml:space="preserve">שני </w:t>
      </w:r>
      <w:r w:rsidR="00E335BB" w:rsidRPr="00D10460">
        <w:rPr>
          <w:rFonts w:ascii="Arial" w:hAnsi="Arial" w:cs="David"/>
          <w:sz w:val="24"/>
          <w:szCs w:val="24"/>
          <w:rtl/>
        </w:rPr>
        <w:t>של השנה</w:t>
      </w:r>
      <w:r w:rsidR="00E335BB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Pr="00D10460">
        <w:rPr>
          <w:rFonts w:ascii="Arial" w:hAnsi="Arial" w:cs="David"/>
          <w:b/>
          <w:bCs/>
          <w:sz w:val="24"/>
          <w:szCs w:val="24"/>
          <w:rtl/>
        </w:rPr>
        <w:t>הנפיק המגזר העסקי</w:t>
      </w:r>
      <w:r w:rsidRPr="00D10460">
        <w:rPr>
          <w:rFonts w:ascii="Arial" w:hAnsi="Arial" w:cs="David"/>
          <w:sz w:val="24"/>
          <w:szCs w:val="24"/>
          <w:rtl/>
        </w:rPr>
        <w:t xml:space="preserve"> (ללא בנקים וביטוח) אג"ח בשווי של כ-</w:t>
      </w:r>
      <w:r w:rsidR="00981FA3" w:rsidRPr="00D10460">
        <w:rPr>
          <w:rFonts w:ascii="Arial" w:hAnsi="Arial" w:cs="David" w:hint="cs"/>
          <w:sz w:val="24"/>
          <w:szCs w:val="24"/>
          <w:rtl/>
        </w:rPr>
        <w:t>9.8</w:t>
      </w:r>
      <w:r w:rsidR="002A51F1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2A51F1" w:rsidRPr="00D10460">
        <w:rPr>
          <w:rFonts w:ascii="Arial" w:hAnsi="Arial" w:cs="David"/>
          <w:sz w:val="24"/>
          <w:szCs w:val="24"/>
          <w:rtl/>
        </w:rPr>
        <w:t>מיליארדי ש"ח</w:t>
      </w:r>
      <w:r w:rsidR="00670D97" w:rsidRPr="00D10460">
        <w:rPr>
          <w:rFonts w:ascii="Arial" w:hAnsi="Arial" w:cs="David" w:hint="cs"/>
          <w:sz w:val="24"/>
          <w:szCs w:val="24"/>
          <w:rtl/>
        </w:rPr>
        <w:t xml:space="preserve">, </w:t>
      </w:r>
      <w:r w:rsidR="00981FA3" w:rsidRPr="00D10460">
        <w:rPr>
          <w:rFonts w:ascii="Arial" w:hAnsi="Arial" w:cs="David" w:hint="cs"/>
          <w:sz w:val="24"/>
          <w:szCs w:val="24"/>
          <w:rtl/>
        </w:rPr>
        <w:t>זאת לאחר גיוסים גבוהים</w:t>
      </w:r>
      <w:r w:rsidR="002A51F1" w:rsidRPr="00D10460">
        <w:rPr>
          <w:rFonts w:ascii="Arial" w:hAnsi="Arial" w:cs="David" w:hint="cs"/>
          <w:sz w:val="24"/>
          <w:szCs w:val="24"/>
          <w:rtl/>
        </w:rPr>
        <w:t xml:space="preserve"> ברביע הקודם (כ-</w:t>
      </w:r>
      <w:r w:rsidR="00981FA3" w:rsidRPr="00D10460">
        <w:rPr>
          <w:rFonts w:ascii="Arial" w:hAnsi="Arial" w:cs="David" w:hint="cs"/>
          <w:sz w:val="24"/>
          <w:szCs w:val="24"/>
          <w:rtl/>
        </w:rPr>
        <w:t>17</w:t>
      </w:r>
      <w:r w:rsidR="002A51F1" w:rsidRPr="00D10460">
        <w:rPr>
          <w:rFonts w:ascii="Arial" w:hAnsi="Arial" w:cs="David" w:hint="cs"/>
          <w:sz w:val="24"/>
          <w:szCs w:val="24"/>
          <w:rtl/>
        </w:rPr>
        <w:t xml:space="preserve"> מיליארדים). </w:t>
      </w:r>
      <w:r w:rsidR="00981FA3" w:rsidRPr="00D10460">
        <w:rPr>
          <w:rFonts w:ascii="Arial" w:hAnsi="Arial" w:cs="David" w:hint="cs"/>
          <w:sz w:val="24"/>
          <w:szCs w:val="24"/>
          <w:rtl/>
        </w:rPr>
        <w:t xml:space="preserve">כמחצית מההנפקות ברביע זה היו של </w:t>
      </w:r>
      <w:r w:rsidR="002A51F1" w:rsidRPr="00D10460">
        <w:rPr>
          <w:rFonts w:ascii="Arial" w:hAnsi="Arial" w:cs="David" w:hint="cs"/>
          <w:sz w:val="24"/>
          <w:szCs w:val="24"/>
          <w:rtl/>
        </w:rPr>
        <w:t xml:space="preserve">חברות מענף הנדל"ן </w:t>
      </w:r>
      <w:r w:rsidR="00981FA3" w:rsidRPr="00D10460">
        <w:rPr>
          <w:rFonts w:ascii="Arial" w:hAnsi="Arial" w:cs="David" w:hint="cs"/>
          <w:sz w:val="24"/>
          <w:szCs w:val="24"/>
          <w:rtl/>
        </w:rPr>
        <w:t xml:space="preserve">והבינוי. ביולי </w:t>
      </w:r>
      <w:r w:rsidR="002A51F1" w:rsidRPr="00D10460">
        <w:rPr>
          <w:rFonts w:ascii="Arial" w:hAnsi="Arial" w:cs="David" w:hint="cs"/>
          <w:sz w:val="24"/>
          <w:szCs w:val="24"/>
          <w:rtl/>
        </w:rPr>
        <w:t>2017, הנפיק המגזר העסקי אג"ח בשווי של כ-</w:t>
      </w:r>
      <w:r w:rsidR="0050443A" w:rsidRPr="00D10460">
        <w:rPr>
          <w:rFonts w:ascii="Arial" w:hAnsi="Arial" w:cs="David" w:hint="cs"/>
          <w:sz w:val="24"/>
          <w:szCs w:val="24"/>
          <w:rtl/>
        </w:rPr>
        <w:t>6.1</w:t>
      </w:r>
      <w:r w:rsidR="002A51F1" w:rsidRPr="00D10460">
        <w:rPr>
          <w:rFonts w:ascii="Arial" w:hAnsi="Arial" w:cs="David" w:hint="cs"/>
          <w:sz w:val="24"/>
          <w:szCs w:val="24"/>
          <w:rtl/>
        </w:rPr>
        <w:t xml:space="preserve"> מיליארדי ש"ח, רובן באג"ח סחירות.</w:t>
      </w:r>
    </w:p>
    <w:p w:rsidR="00E44E3D" w:rsidRPr="00D10460" w:rsidRDefault="00B17282" w:rsidP="00351EF0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D10460">
        <w:rPr>
          <w:rFonts w:ascii="Arial" w:hAnsi="Arial" w:cs="David" w:hint="cs"/>
          <w:sz w:val="24"/>
          <w:szCs w:val="24"/>
          <w:rtl/>
        </w:rPr>
        <w:t xml:space="preserve">ברביע השני של השנה </w:t>
      </w:r>
      <w:r w:rsidR="00985B74" w:rsidRPr="00D10460">
        <w:rPr>
          <w:rFonts w:ascii="Arial" w:hAnsi="Arial" w:cs="David" w:hint="cs"/>
          <w:b/>
          <w:bCs/>
          <w:sz w:val="24"/>
          <w:szCs w:val="24"/>
          <w:rtl/>
        </w:rPr>
        <w:t xml:space="preserve">המרווח בין תשואת מדד אג"ח החברות הצמוד, תל בונד 60, לבין תשואת האג"ח הממשלתיות </w:t>
      </w:r>
      <w:r w:rsidR="00DA4279" w:rsidRPr="00D10460">
        <w:rPr>
          <w:rFonts w:ascii="Arial" w:hAnsi="Arial" w:cs="David" w:hint="cs"/>
          <w:b/>
          <w:bCs/>
          <w:sz w:val="24"/>
          <w:szCs w:val="24"/>
          <w:rtl/>
        </w:rPr>
        <w:t>הצמודות</w:t>
      </w:r>
      <w:r w:rsidR="00DA4279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166C6B" w:rsidRPr="00D10460">
        <w:rPr>
          <w:rFonts w:ascii="Arial" w:hAnsi="Arial" w:cs="David" w:hint="cs"/>
          <w:sz w:val="24"/>
          <w:szCs w:val="24"/>
          <w:rtl/>
        </w:rPr>
        <w:t>ה</w:t>
      </w:r>
      <w:r w:rsidRPr="00D10460">
        <w:rPr>
          <w:rFonts w:ascii="Arial" w:hAnsi="Arial" w:cs="David" w:hint="cs"/>
          <w:sz w:val="24"/>
          <w:szCs w:val="24"/>
          <w:rtl/>
        </w:rPr>
        <w:t>תרחב</w:t>
      </w:r>
      <w:r w:rsidR="009B7097" w:rsidRPr="00D10460">
        <w:rPr>
          <w:rFonts w:ascii="Arial" w:hAnsi="Arial" w:cs="David" w:hint="cs"/>
          <w:sz w:val="24"/>
          <w:szCs w:val="24"/>
          <w:rtl/>
        </w:rPr>
        <w:t xml:space="preserve"> בכ-</w:t>
      </w:r>
      <w:r w:rsidRPr="00D10460">
        <w:rPr>
          <w:rFonts w:ascii="Arial" w:hAnsi="Arial" w:cs="David" w:hint="cs"/>
          <w:sz w:val="24"/>
          <w:szCs w:val="24"/>
          <w:rtl/>
        </w:rPr>
        <w:t>0.1</w:t>
      </w:r>
      <w:r w:rsidR="009B7097" w:rsidRPr="00D10460">
        <w:rPr>
          <w:rFonts w:ascii="Arial" w:hAnsi="Arial" w:cs="David" w:hint="cs"/>
          <w:sz w:val="24"/>
          <w:szCs w:val="24"/>
          <w:rtl/>
        </w:rPr>
        <w:t xml:space="preserve"> נק' האחוז</w:t>
      </w:r>
      <w:r w:rsidR="00DA4279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Pr="00D10460">
        <w:rPr>
          <w:rFonts w:ascii="Arial" w:hAnsi="Arial" w:cs="David" w:hint="cs"/>
          <w:sz w:val="24"/>
          <w:szCs w:val="24"/>
          <w:rtl/>
        </w:rPr>
        <w:t>לרמה של כ-1.16 נק' האחוז, זאת לאחר ירידה שנרשמה ברביע הראשון</w:t>
      </w:r>
      <w:r w:rsidR="008E7A02" w:rsidRPr="00D10460">
        <w:rPr>
          <w:rFonts w:ascii="Arial" w:hAnsi="Arial" w:cs="David" w:hint="cs"/>
          <w:sz w:val="24"/>
          <w:szCs w:val="24"/>
          <w:rtl/>
        </w:rPr>
        <w:t>. ב</w:t>
      </w:r>
      <w:r w:rsidRPr="00D10460">
        <w:rPr>
          <w:rFonts w:ascii="Arial" w:hAnsi="Arial" w:cs="David" w:hint="cs"/>
          <w:sz w:val="24"/>
          <w:szCs w:val="24"/>
          <w:rtl/>
        </w:rPr>
        <w:t xml:space="preserve">יולי </w:t>
      </w:r>
      <w:r w:rsidR="008E7A02" w:rsidRPr="00D10460">
        <w:rPr>
          <w:rFonts w:ascii="Arial" w:hAnsi="Arial" w:cs="David" w:hint="cs"/>
          <w:sz w:val="24"/>
          <w:szCs w:val="24"/>
          <w:rtl/>
        </w:rPr>
        <w:t xml:space="preserve">2017 </w:t>
      </w:r>
      <w:r w:rsidR="00351EF0" w:rsidRPr="00D10460">
        <w:rPr>
          <w:rFonts w:ascii="Arial" w:hAnsi="Arial" w:cs="David" w:hint="cs"/>
          <w:sz w:val="24"/>
          <w:szCs w:val="24"/>
          <w:rtl/>
        </w:rPr>
        <w:t xml:space="preserve"> המרווח נותר כמעט ללא שינוי</w:t>
      </w:r>
      <w:r w:rsidR="008E7A02" w:rsidRPr="00D10460">
        <w:rPr>
          <w:rFonts w:ascii="Arial" w:hAnsi="Arial" w:cs="David" w:hint="cs"/>
          <w:sz w:val="24"/>
          <w:szCs w:val="24"/>
          <w:rtl/>
        </w:rPr>
        <w:t>.</w:t>
      </w:r>
    </w:p>
    <w:p w:rsidR="00C22C1E" w:rsidRPr="00D10460" w:rsidRDefault="00C22C1E" w:rsidP="00C22C1E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AD3F98" w:rsidRPr="00D10460" w:rsidRDefault="00AD3F98" w:rsidP="00AD3F98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AD3F98" w:rsidRPr="00D10460" w:rsidRDefault="00AD3F98" w:rsidP="00AD3F98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36014F" w:rsidRDefault="0036014F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 w:hint="cs"/>
          <w:b/>
          <w:bCs/>
          <w:rtl/>
        </w:rPr>
      </w:pPr>
    </w:p>
    <w:p w:rsidR="0036014F" w:rsidRDefault="0036014F" w:rsidP="0036014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 w:hint="cs"/>
          <w:b/>
          <w:bCs/>
          <w:rtl/>
        </w:rPr>
      </w:pPr>
    </w:p>
    <w:p w:rsidR="0036014F" w:rsidRDefault="0036014F" w:rsidP="0036014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 w:hint="cs"/>
          <w:b/>
          <w:bCs/>
          <w:rtl/>
        </w:rPr>
      </w:pPr>
    </w:p>
    <w:p w:rsidR="0036014F" w:rsidRDefault="0036014F" w:rsidP="0036014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 w:hint="cs"/>
          <w:b/>
          <w:bCs/>
          <w:rtl/>
        </w:rPr>
      </w:pPr>
    </w:p>
    <w:p w:rsidR="0036014F" w:rsidRDefault="0036014F" w:rsidP="0036014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 w:hint="cs"/>
          <w:b/>
          <w:bCs/>
          <w:rtl/>
        </w:rPr>
      </w:pPr>
    </w:p>
    <w:p w:rsidR="00AC3E61" w:rsidRPr="00D10460" w:rsidRDefault="00AC3E61" w:rsidP="0036014F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rtl/>
        </w:rPr>
      </w:pPr>
      <w:r w:rsidRPr="00D10460">
        <w:rPr>
          <w:rFonts w:asciiTheme="minorBidi" w:hAnsiTheme="minorBidi" w:cs="David"/>
          <w:b/>
          <w:bCs/>
          <w:rtl/>
        </w:rPr>
        <w:lastRenderedPageBreak/>
        <w:t>לוח 1: התפלגות החוב של המגזר העסקי</w:t>
      </w:r>
      <w:r w:rsidR="0012175B" w:rsidRPr="00D10460">
        <w:rPr>
          <w:rFonts w:asciiTheme="minorBidi" w:hAnsiTheme="minorBidi" w:cs="David" w:hint="cs"/>
          <w:sz w:val="22"/>
          <w:szCs w:val="22"/>
          <w:vertAlign w:val="superscript"/>
          <w:rtl/>
        </w:rPr>
        <w:t>1</w:t>
      </w:r>
      <w:r w:rsidR="00303DA6" w:rsidRPr="00D10460">
        <w:rPr>
          <w:rFonts w:asciiTheme="minorBidi" w:hAnsiTheme="minorBidi" w:cs="David" w:hint="cs"/>
          <w:sz w:val="22"/>
          <w:szCs w:val="22"/>
          <w:vertAlign w:val="superscript"/>
          <w:rtl/>
        </w:rPr>
        <w:t xml:space="preserve"> </w:t>
      </w:r>
    </w:p>
    <w:p w:rsidR="002A60C4" w:rsidRPr="00D10460" w:rsidRDefault="008158A5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  <w:r w:rsidRPr="00D10460">
        <w:rPr>
          <w:rFonts w:cs="David"/>
          <w:noProof/>
          <w:rtl/>
        </w:rPr>
        <w:drawing>
          <wp:inline distT="0" distB="0" distL="0" distR="0" wp14:anchorId="17A2612F" wp14:editId="4B770E48">
            <wp:extent cx="5278120" cy="2410341"/>
            <wp:effectExtent l="0" t="0" r="0" b="9525"/>
            <wp:docPr id="11" name="תמונה 11" descr="התפלגות החוב של המגזר העסקי" title="התפלגות החוב של ה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1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D10460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</w:p>
    <w:p w:rsidR="00AC3E61" w:rsidRPr="00D10460" w:rsidRDefault="00AC3E61" w:rsidP="00AD3F98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</w:rPr>
      </w:pPr>
      <w:r w:rsidRPr="00D10460">
        <w:rPr>
          <w:rFonts w:asciiTheme="minorBidi" w:hAnsiTheme="minorBidi" w:cs="David"/>
          <w:b/>
          <w:bCs/>
          <w:rtl/>
        </w:rPr>
        <w:t xml:space="preserve">איור 1: </w:t>
      </w:r>
      <w:r w:rsidR="00AD3F98" w:rsidRPr="00D10460">
        <w:rPr>
          <w:rFonts w:asciiTheme="minorBidi" w:hAnsiTheme="minorBidi" w:cs="David" w:hint="cs"/>
          <w:b/>
          <w:bCs/>
          <w:rtl/>
        </w:rPr>
        <w:t>אומדן השינוי הכמותי הרבעוני נטו בחוב של</w:t>
      </w:r>
      <w:r w:rsidRPr="00D10460">
        <w:rPr>
          <w:rFonts w:asciiTheme="minorBidi" w:hAnsiTheme="minorBidi" w:cs="David"/>
          <w:b/>
          <w:bCs/>
          <w:rtl/>
        </w:rPr>
        <w:t xml:space="preserve"> </w:t>
      </w:r>
      <w:r w:rsidR="0004490E" w:rsidRPr="00D10460">
        <w:rPr>
          <w:rFonts w:asciiTheme="minorBidi" w:hAnsiTheme="minorBidi" w:cs="David" w:hint="cs"/>
          <w:b/>
          <w:bCs/>
          <w:rtl/>
        </w:rPr>
        <w:t>המגזר</w:t>
      </w:r>
      <w:r w:rsidR="00AD3F98" w:rsidRPr="00D10460">
        <w:rPr>
          <w:rFonts w:asciiTheme="minorBidi" w:hAnsiTheme="minorBidi" w:cs="David"/>
          <w:b/>
          <w:bCs/>
          <w:rtl/>
        </w:rPr>
        <w:t xml:space="preserve"> העסקי </w:t>
      </w:r>
    </w:p>
    <w:p w:rsidR="002A60C4" w:rsidRPr="00D10460" w:rsidRDefault="0071617D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D10460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16BC190" wp14:editId="0DED9040">
            <wp:extent cx="5346700" cy="2798445"/>
            <wp:effectExtent l="0" t="0" r="6350" b="1905"/>
            <wp:docPr id="3" name="תמונה 3" descr="אומדן השינוי הכמותי הרבעוני נטו בחוב של המגזר העסקי " title="אומדן השינוי הכמותי הרבעוני נטו בחוב של המגזר העסק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Pr="00D10460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D10460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</w:p>
    <w:p w:rsidR="00AC3E61" w:rsidRPr="00D10460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</w:rPr>
      </w:pPr>
      <w:r w:rsidRPr="00D10460">
        <w:rPr>
          <w:rFonts w:asciiTheme="minorBidi" w:hAnsiTheme="minorBidi" w:cs="David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D10460" w:rsidRDefault="008158A5" w:rsidP="00AC3E61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</w:rPr>
      </w:pPr>
      <w:r w:rsidRPr="00D10460">
        <w:rPr>
          <w:rFonts w:cs="David"/>
          <w:noProof/>
          <w:lang w:eastAsia="en-US"/>
        </w:rPr>
        <w:drawing>
          <wp:inline distT="0" distB="0" distL="0" distR="0" wp14:anchorId="6DC3A00B" wp14:editId="04DFBA10">
            <wp:extent cx="5278120" cy="1335428"/>
            <wp:effectExtent l="0" t="0" r="0" b="0"/>
            <wp:docPr id="14" name="תמונה 14" descr="התפלגות החוב לפי בסיסי הצמדה" title="התפלגות החוב לפי בסיס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33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CD" w:rsidRPr="00D10460" w:rsidRDefault="007A3CCD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</w:rPr>
      </w:pPr>
      <w:r w:rsidRPr="00D10460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AC3E61" w:rsidRPr="00D10460" w:rsidRDefault="00AC3E61" w:rsidP="007714BD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D10460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 xml:space="preserve">איור 2: הנפקות אג"ח של </w:t>
      </w:r>
      <w:r w:rsidR="007714BD" w:rsidRPr="00D10460">
        <w:rPr>
          <w:rFonts w:asciiTheme="minorBidi" w:hAnsiTheme="minorBidi" w:cs="David" w:hint="cs"/>
          <w:b/>
          <w:bCs/>
          <w:sz w:val="24"/>
          <w:szCs w:val="24"/>
          <w:rtl/>
        </w:rPr>
        <w:t>המגזר</w:t>
      </w:r>
      <w:r w:rsidRPr="00D10460">
        <w:rPr>
          <w:rFonts w:asciiTheme="minorBidi" w:hAnsiTheme="minorBidi" w:cs="David"/>
          <w:b/>
          <w:bCs/>
          <w:sz w:val="24"/>
          <w:szCs w:val="24"/>
          <w:rtl/>
        </w:rPr>
        <w:t xml:space="preserve"> העסקי הלא</w:t>
      </w:r>
      <w:r w:rsidR="0004490E" w:rsidRPr="00D10460">
        <w:rPr>
          <w:rFonts w:asciiTheme="minorBidi" w:hAnsiTheme="minorBidi" w:cs="David" w:hint="cs"/>
          <w:b/>
          <w:bCs/>
          <w:sz w:val="24"/>
          <w:szCs w:val="24"/>
          <w:rtl/>
        </w:rPr>
        <w:t>-</w:t>
      </w:r>
      <w:r w:rsidRPr="00D10460">
        <w:rPr>
          <w:rFonts w:asciiTheme="minorBidi" w:hAnsiTheme="minorBidi" w:cs="David"/>
          <w:b/>
          <w:bCs/>
          <w:sz w:val="24"/>
          <w:szCs w:val="24"/>
          <w:rtl/>
        </w:rPr>
        <w:t>פיננסי</w:t>
      </w:r>
    </w:p>
    <w:p w:rsidR="00F83505" w:rsidRPr="00D10460" w:rsidRDefault="0004029A" w:rsidP="001F1E1B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D10460">
        <w:rPr>
          <w:rFonts w:ascii="Arial" w:hAnsi="Arial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5F1B93A" wp14:editId="755BAF7F">
            <wp:extent cx="5297805" cy="3108960"/>
            <wp:effectExtent l="0" t="0" r="0" b="0"/>
            <wp:docPr id="17" name="תמונה 17" descr="הנפקות אג&quot;ח של המגזר העסקי הלא-פיננסי" title="הנפקות אג&quot;ח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1D7" w:rsidRPr="00D10460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David"/>
          <w:sz w:val="24"/>
          <w:szCs w:val="24"/>
          <w:u w:val="single"/>
          <w:rtl/>
        </w:rPr>
      </w:pPr>
    </w:p>
    <w:p w:rsidR="00522BB0" w:rsidRPr="00D10460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D10460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Pr="00D10460">
        <w:rPr>
          <w:rFonts w:asciiTheme="minorBidi" w:hAnsiTheme="minorBidi" w:cs="David" w:hint="cs"/>
          <w:b/>
          <w:bCs/>
          <w:sz w:val="24"/>
          <w:szCs w:val="24"/>
          <w:rtl/>
        </w:rPr>
        <w:t>3</w:t>
      </w:r>
      <w:r w:rsidRPr="00D10460">
        <w:rPr>
          <w:rFonts w:asciiTheme="minorBidi" w:hAnsiTheme="minorBidi" w:cs="David"/>
          <w:b/>
          <w:bCs/>
          <w:sz w:val="24"/>
          <w:szCs w:val="24"/>
          <w:rtl/>
        </w:rPr>
        <w:t xml:space="preserve">: המרווח בין אג"ח חברות צמוד (תל בונד 60) לאג"ח ממשלתי צמוד </w:t>
      </w:r>
      <w:r w:rsidRPr="00D10460">
        <w:rPr>
          <w:rFonts w:asciiTheme="minorBidi" w:hAnsiTheme="minorBidi" w:cs="David" w:hint="cs"/>
          <w:b/>
          <w:bCs/>
          <w:sz w:val="24"/>
          <w:szCs w:val="24"/>
          <w:rtl/>
        </w:rPr>
        <w:br/>
      </w:r>
      <w:r w:rsidRPr="00D10460">
        <w:rPr>
          <w:rFonts w:asciiTheme="minorBidi" w:hAnsiTheme="minorBidi" w:cs="David"/>
          <w:b/>
          <w:bCs/>
          <w:sz w:val="24"/>
          <w:szCs w:val="24"/>
          <w:rtl/>
        </w:rPr>
        <w:t>(ממוצע חודשי)</w:t>
      </w:r>
    </w:p>
    <w:p w:rsidR="00522BB0" w:rsidRPr="00D10460" w:rsidRDefault="008158A5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D10460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59689BA3" wp14:editId="1D27A9D6">
            <wp:extent cx="5297805" cy="2725420"/>
            <wp:effectExtent l="0" t="0" r="0" b="0"/>
            <wp:docPr id="16" name="תמונה 16" descr="המרווח בין אג&quot;ח חברות צמוד (תל בונד 60) לאג&quot;ח ממשלתי צמוד &#10;(ממוצע חודשי)&#10;" title="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D10460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Arial" w:hAnsi="Arial" w:cs="David"/>
          <w:sz w:val="24"/>
          <w:szCs w:val="24"/>
          <w:u w:val="single"/>
          <w:rtl/>
        </w:rPr>
      </w:pPr>
    </w:p>
    <w:p w:rsidR="009F574F" w:rsidRPr="00D10460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cs="David"/>
        </w:rPr>
      </w:pPr>
      <w:r w:rsidRPr="00D10460">
        <w:rPr>
          <w:rStyle w:val="10"/>
          <w:rFonts w:cs="David"/>
          <w:rtl/>
        </w:rPr>
        <w:t>החוב של משקי הבית</w:t>
      </w:r>
    </w:p>
    <w:p w:rsidR="002319C1" w:rsidRPr="00D10460" w:rsidRDefault="002319C1" w:rsidP="006819E9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D10460">
        <w:rPr>
          <w:rFonts w:ascii="Arial" w:hAnsi="Arial" w:cs="David" w:hint="cs"/>
          <w:b/>
          <w:bCs/>
          <w:sz w:val="24"/>
          <w:szCs w:val="24"/>
          <w:rtl/>
        </w:rPr>
        <w:t>יתרת החוב של משקי הבית</w:t>
      </w:r>
      <w:r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D10460">
        <w:rPr>
          <w:rFonts w:ascii="Arial" w:hAnsi="Arial" w:cs="David" w:hint="cs"/>
          <w:sz w:val="24"/>
          <w:szCs w:val="24"/>
          <w:rtl/>
        </w:rPr>
        <w:t>גדלה</w:t>
      </w:r>
      <w:r w:rsidR="0004490E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D10460">
        <w:rPr>
          <w:rFonts w:ascii="Arial" w:hAnsi="Arial" w:cs="David" w:hint="cs"/>
          <w:sz w:val="24"/>
          <w:szCs w:val="24"/>
          <w:rtl/>
        </w:rPr>
        <w:t>ב</w:t>
      </w:r>
      <w:r w:rsidR="00DA070E" w:rsidRPr="00D10460">
        <w:rPr>
          <w:rFonts w:ascii="Arial" w:hAnsi="Arial" w:cs="David" w:hint="cs"/>
          <w:sz w:val="24"/>
          <w:szCs w:val="24"/>
          <w:rtl/>
        </w:rPr>
        <w:t xml:space="preserve">רביע </w:t>
      </w:r>
      <w:r w:rsidR="00CF24FB" w:rsidRPr="00D10460">
        <w:rPr>
          <w:rFonts w:ascii="Arial" w:hAnsi="Arial" w:cs="David" w:hint="cs"/>
          <w:sz w:val="24"/>
          <w:szCs w:val="24"/>
          <w:rtl/>
        </w:rPr>
        <w:t>ה</w:t>
      </w:r>
      <w:r w:rsidR="00CC2676" w:rsidRPr="00D10460">
        <w:rPr>
          <w:rFonts w:ascii="Arial" w:hAnsi="Arial" w:cs="David" w:hint="cs"/>
          <w:sz w:val="24"/>
          <w:szCs w:val="24"/>
          <w:rtl/>
        </w:rPr>
        <w:t>שני</w:t>
      </w:r>
      <w:r w:rsidR="00DA070E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04490E" w:rsidRPr="00D10460">
        <w:rPr>
          <w:rFonts w:ascii="Arial" w:hAnsi="Arial" w:cs="David" w:hint="cs"/>
          <w:sz w:val="24"/>
          <w:szCs w:val="24"/>
          <w:rtl/>
        </w:rPr>
        <w:t xml:space="preserve">של שנת </w:t>
      </w:r>
      <w:r w:rsidR="00F426C3" w:rsidRPr="00D10460">
        <w:rPr>
          <w:rFonts w:ascii="Arial" w:hAnsi="Arial" w:cs="David" w:hint="cs"/>
          <w:sz w:val="24"/>
          <w:szCs w:val="24"/>
          <w:rtl/>
        </w:rPr>
        <w:t>2017</w:t>
      </w:r>
      <w:r w:rsidR="0004490E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7A39D0" w:rsidRPr="00D10460">
        <w:rPr>
          <w:rFonts w:ascii="Arial" w:hAnsi="Arial" w:cs="David" w:hint="cs"/>
          <w:sz w:val="24"/>
          <w:szCs w:val="24"/>
          <w:rtl/>
        </w:rPr>
        <w:t>בכ-</w:t>
      </w:r>
      <w:r w:rsidR="006819E9" w:rsidRPr="00D10460">
        <w:rPr>
          <w:rFonts w:ascii="Arial" w:hAnsi="Arial" w:cs="David" w:hint="cs"/>
          <w:sz w:val="24"/>
          <w:szCs w:val="24"/>
          <w:rtl/>
        </w:rPr>
        <w:t xml:space="preserve">7.6 </w:t>
      </w:r>
      <w:r w:rsidR="007A39D0" w:rsidRPr="00D10460">
        <w:rPr>
          <w:rFonts w:ascii="Arial" w:hAnsi="Arial" w:cs="David" w:hint="cs"/>
          <w:sz w:val="24"/>
          <w:szCs w:val="24"/>
          <w:rtl/>
        </w:rPr>
        <w:t>מיליארדי ש"ח (1.</w:t>
      </w:r>
      <w:r w:rsidR="00CC2676" w:rsidRPr="00D10460">
        <w:rPr>
          <w:rFonts w:ascii="Arial" w:hAnsi="Arial" w:cs="David" w:hint="cs"/>
          <w:sz w:val="24"/>
          <w:szCs w:val="24"/>
          <w:rtl/>
        </w:rPr>
        <w:t>5</w:t>
      </w:r>
      <w:r w:rsidR="007A39D0" w:rsidRPr="00D10460">
        <w:rPr>
          <w:rFonts w:ascii="Arial" w:hAnsi="Arial" w:cs="David" w:hint="cs"/>
          <w:sz w:val="24"/>
          <w:szCs w:val="24"/>
          <w:rtl/>
        </w:rPr>
        <w:t xml:space="preserve">%) </w:t>
      </w:r>
      <w:r w:rsidR="0054512E" w:rsidRPr="00D10460">
        <w:rPr>
          <w:rFonts w:ascii="Arial" w:hAnsi="Arial" w:cs="David" w:hint="cs"/>
          <w:sz w:val="24"/>
          <w:szCs w:val="24"/>
          <w:rtl/>
        </w:rPr>
        <w:t xml:space="preserve">לרמה של </w:t>
      </w:r>
      <w:r w:rsidR="0004490E" w:rsidRPr="00D10460">
        <w:rPr>
          <w:rFonts w:ascii="Arial" w:hAnsi="Arial" w:cs="David" w:hint="cs"/>
          <w:sz w:val="24"/>
          <w:szCs w:val="24"/>
          <w:rtl/>
        </w:rPr>
        <w:t>כ-5</w:t>
      </w:r>
      <w:r w:rsidR="007A39D0" w:rsidRPr="00D10460">
        <w:rPr>
          <w:rFonts w:ascii="Arial" w:hAnsi="Arial" w:cs="David" w:hint="cs"/>
          <w:sz w:val="24"/>
          <w:szCs w:val="24"/>
          <w:rtl/>
        </w:rPr>
        <w:t>1</w:t>
      </w:r>
      <w:r w:rsidR="00CC2676" w:rsidRPr="00D10460">
        <w:rPr>
          <w:rFonts w:ascii="Arial" w:hAnsi="Arial" w:cs="David" w:hint="cs"/>
          <w:sz w:val="24"/>
          <w:szCs w:val="24"/>
          <w:rtl/>
        </w:rPr>
        <w:t>8</w:t>
      </w:r>
      <w:r w:rsidR="0004490E" w:rsidRPr="00D10460">
        <w:rPr>
          <w:rFonts w:ascii="Arial" w:hAnsi="Arial" w:cs="David" w:hint="cs"/>
          <w:sz w:val="24"/>
          <w:szCs w:val="24"/>
          <w:rtl/>
        </w:rPr>
        <w:t xml:space="preserve"> מיליארדי ש"ח</w:t>
      </w:r>
      <w:r w:rsidR="007A39D0" w:rsidRPr="00D10460">
        <w:rPr>
          <w:rFonts w:ascii="Arial" w:hAnsi="Arial" w:cs="David" w:hint="cs"/>
          <w:sz w:val="24"/>
          <w:szCs w:val="24"/>
          <w:rtl/>
        </w:rPr>
        <w:t>.</w:t>
      </w:r>
      <w:r w:rsidR="0004490E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DA070E" w:rsidRPr="00D10460">
        <w:rPr>
          <w:rFonts w:ascii="Arial" w:hAnsi="Arial" w:cs="David" w:hint="cs"/>
          <w:sz w:val="24"/>
          <w:szCs w:val="24"/>
          <w:rtl/>
        </w:rPr>
        <w:t xml:space="preserve">יתרת </w:t>
      </w:r>
      <w:r w:rsidR="00DA070E" w:rsidRPr="00D10460">
        <w:rPr>
          <w:rFonts w:ascii="Arial" w:hAnsi="Arial" w:cs="David" w:hint="cs"/>
          <w:b/>
          <w:bCs/>
          <w:sz w:val="24"/>
          <w:szCs w:val="24"/>
          <w:rtl/>
        </w:rPr>
        <w:t>החוב לדיור</w:t>
      </w:r>
      <w:r w:rsidR="00DA070E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Pr="00D10460">
        <w:rPr>
          <w:rFonts w:ascii="Arial" w:hAnsi="Arial" w:cs="David" w:hint="cs"/>
          <w:sz w:val="24"/>
          <w:szCs w:val="24"/>
          <w:rtl/>
        </w:rPr>
        <w:t xml:space="preserve">עלתה </w:t>
      </w:r>
      <w:r w:rsidR="00C95582" w:rsidRPr="00D10460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B055B5" w:rsidRPr="00D10460">
        <w:rPr>
          <w:rFonts w:ascii="Arial" w:hAnsi="Arial" w:cs="David" w:hint="cs"/>
          <w:sz w:val="24"/>
          <w:szCs w:val="24"/>
          <w:rtl/>
        </w:rPr>
        <w:t>זה</w:t>
      </w:r>
      <w:r w:rsidR="00C95582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Pr="00D10460">
        <w:rPr>
          <w:rFonts w:ascii="Arial" w:hAnsi="Arial" w:cs="David" w:hint="cs"/>
          <w:sz w:val="24"/>
          <w:szCs w:val="24"/>
          <w:rtl/>
        </w:rPr>
        <w:t>בכ-</w:t>
      </w:r>
      <w:r w:rsidR="00CC2676" w:rsidRPr="00D10460">
        <w:rPr>
          <w:rFonts w:ascii="Arial" w:hAnsi="Arial" w:cs="David" w:hint="cs"/>
          <w:sz w:val="24"/>
          <w:szCs w:val="24"/>
          <w:rtl/>
        </w:rPr>
        <w:t>5.6</w:t>
      </w:r>
      <w:r w:rsidR="00AB31EF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Pr="00D10460">
        <w:rPr>
          <w:rFonts w:ascii="Arial" w:hAnsi="Arial" w:cs="David" w:hint="cs"/>
          <w:sz w:val="24"/>
          <w:szCs w:val="24"/>
          <w:rtl/>
        </w:rPr>
        <w:t xml:space="preserve">מיליארדי ש"ח </w:t>
      </w:r>
      <w:r w:rsidR="00C95582" w:rsidRPr="00D10460">
        <w:rPr>
          <w:rFonts w:ascii="Arial" w:hAnsi="Arial" w:cs="David" w:hint="cs"/>
          <w:sz w:val="24"/>
          <w:szCs w:val="24"/>
          <w:rtl/>
        </w:rPr>
        <w:t>(</w:t>
      </w:r>
      <w:r w:rsidR="007A39D0" w:rsidRPr="00D10460">
        <w:rPr>
          <w:rFonts w:ascii="Arial" w:hAnsi="Arial" w:cs="David" w:hint="cs"/>
          <w:sz w:val="24"/>
          <w:szCs w:val="24"/>
          <w:rtl/>
        </w:rPr>
        <w:t>1.</w:t>
      </w:r>
      <w:r w:rsidR="00CC2676" w:rsidRPr="00D10460">
        <w:rPr>
          <w:rFonts w:ascii="Arial" w:hAnsi="Arial" w:cs="David" w:hint="cs"/>
          <w:sz w:val="24"/>
          <w:szCs w:val="24"/>
          <w:rtl/>
        </w:rPr>
        <w:t>8</w:t>
      </w:r>
      <w:r w:rsidR="00C95582" w:rsidRPr="00D10460">
        <w:rPr>
          <w:rFonts w:ascii="Arial" w:hAnsi="Arial" w:cs="David" w:hint="cs"/>
          <w:sz w:val="24"/>
          <w:szCs w:val="24"/>
          <w:rtl/>
        </w:rPr>
        <w:t xml:space="preserve">%) </w:t>
      </w:r>
      <w:r w:rsidRPr="00D10460">
        <w:rPr>
          <w:rFonts w:ascii="Arial" w:hAnsi="Arial" w:cs="David" w:hint="cs"/>
          <w:sz w:val="24"/>
          <w:szCs w:val="24"/>
          <w:rtl/>
        </w:rPr>
        <w:t>ועומדת על כ-</w:t>
      </w:r>
      <w:r w:rsidR="007A39D0" w:rsidRPr="00D10460">
        <w:rPr>
          <w:rFonts w:ascii="Arial" w:hAnsi="Arial" w:cs="David" w:hint="cs"/>
          <w:sz w:val="24"/>
          <w:szCs w:val="24"/>
          <w:rtl/>
        </w:rPr>
        <w:t>3</w:t>
      </w:r>
      <w:r w:rsidR="00CC2676" w:rsidRPr="00D10460">
        <w:rPr>
          <w:rFonts w:ascii="Arial" w:hAnsi="Arial" w:cs="David" w:hint="cs"/>
          <w:sz w:val="24"/>
          <w:szCs w:val="24"/>
          <w:rtl/>
        </w:rPr>
        <w:t>28</w:t>
      </w:r>
      <w:r w:rsidR="00AB31EF" w:rsidRPr="00D10460">
        <w:rPr>
          <w:rFonts w:ascii="Arial" w:hAnsi="Arial" w:cs="David" w:hint="cs"/>
          <w:sz w:val="24"/>
          <w:szCs w:val="24"/>
          <w:rtl/>
        </w:rPr>
        <w:t xml:space="preserve"> מיליארדים.</w:t>
      </w:r>
    </w:p>
    <w:p w:rsidR="006B0BAE" w:rsidRPr="00D10460" w:rsidRDefault="00AB31EF" w:rsidP="00162787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  <w:r w:rsidRPr="00D10460">
        <w:rPr>
          <w:rFonts w:ascii="Arial" w:hAnsi="Arial" w:cs="David"/>
          <w:sz w:val="24"/>
          <w:szCs w:val="24"/>
          <w:rtl/>
        </w:rPr>
        <w:t xml:space="preserve">ברביע </w:t>
      </w:r>
      <w:r w:rsidR="00CF24FB" w:rsidRPr="00D10460">
        <w:rPr>
          <w:rFonts w:ascii="Arial" w:hAnsi="Arial" w:cs="David" w:hint="cs"/>
          <w:sz w:val="24"/>
          <w:szCs w:val="24"/>
          <w:rtl/>
        </w:rPr>
        <w:t>ה</w:t>
      </w:r>
      <w:r w:rsidR="00CC2676" w:rsidRPr="00D10460">
        <w:rPr>
          <w:rFonts w:ascii="Arial" w:hAnsi="Arial" w:cs="David" w:hint="cs"/>
          <w:sz w:val="24"/>
          <w:szCs w:val="24"/>
          <w:rtl/>
        </w:rPr>
        <w:t>שני</w:t>
      </w:r>
      <w:r w:rsidRPr="00D10460">
        <w:rPr>
          <w:rFonts w:ascii="Arial" w:hAnsi="Arial" w:cs="David"/>
          <w:sz w:val="24"/>
          <w:szCs w:val="24"/>
          <w:rtl/>
        </w:rPr>
        <w:t xml:space="preserve"> של שנת </w:t>
      </w:r>
      <w:r w:rsidR="00F426C3" w:rsidRPr="00D10460">
        <w:rPr>
          <w:rFonts w:ascii="Arial" w:hAnsi="Arial" w:cs="David"/>
          <w:sz w:val="24"/>
          <w:szCs w:val="24"/>
          <w:rtl/>
        </w:rPr>
        <w:t>2017</w:t>
      </w:r>
      <w:r w:rsidRPr="00D10460">
        <w:rPr>
          <w:rFonts w:ascii="Arial" w:hAnsi="Arial" w:cs="David"/>
          <w:sz w:val="24"/>
          <w:szCs w:val="24"/>
          <w:rtl/>
        </w:rPr>
        <w:t xml:space="preserve"> </w:t>
      </w:r>
      <w:r w:rsidR="00162787" w:rsidRPr="00D10460">
        <w:rPr>
          <w:rFonts w:ascii="Arial" w:hAnsi="Arial" w:cs="David"/>
          <w:sz w:val="24"/>
          <w:szCs w:val="24"/>
          <w:rtl/>
        </w:rPr>
        <w:t xml:space="preserve">הסתכמה </w:t>
      </w:r>
      <w:r w:rsidRPr="00D10460">
        <w:rPr>
          <w:rFonts w:ascii="Arial" w:hAnsi="Arial" w:cs="David"/>
          <w:sz w:val="24"/>
          <w:szCs w:val="24"/>
          <w:rtl/>
        </w:rPr>
        <w:t>נטילת משכנתאות חדשות בכ-</w:t>
      </w:r>
      <w:r w:rsidR="000E45F2" w:rsidRPr="00D10460">
        <w:rPr>
          <w:rFonts w:ascii="Arial" w:hAnsi="Arial" w:cs="David" w:hint="cs"/>
          <w:sz w:val="24"/>
          <w:szCs w:val="24"/>
          <w:rtl/>
        </w:rPr>
        <w:t>13</w:t>
      </w:r>
      <w:r w:rsidR="00CC2676" w:rsidRPr="00D10460">
        <w:rPr>
          <w:rFonts w:ascii="Arial" w:hAnsi="Arial" w:cs="David" w:hint="cs"/>
          <w:sz w:val="24"/>
          <w:szCs w:val="24"/>
          <w:rtl/>
        </w:rPr>
        <w:t>.1</w:t>
      </w:r>
      <w:r w:rsidRPr="00D10460">
        <w:rPr>
          <w:rFonts w:ascii="Arial" w:hAnsi="Arial" w:cs="David"/>
          <w:sz w:val="24"/>
          <w:szCs w:val="24"/>
          <w:rtl/>
        </w:rPr>
        <w:t xml:space="preserve"> מיליארדי ש"ח, </w:t>
      </w:r>
      <w:r w:rsidR="00CF24FB" w:rsidRPr="00D10460">
        <w:rPr>
          <w:rFonts w:ascii="Arial" w:hAnsi="Arial" w:cs="David" w:hint="cs"/>
          <w:sz w:val="24"/>
          <w:szCs w:val="24"/>
          <w:rtl/>
        </w:rPr>
        <w:t>נמוך</w:t>
      </w:r>
      <w:r w:rsidRPr="00D10460">
        <w:rPr>
          <w:rFonts w:ascii="Arial" w:hAnsi="Arial" w:cs="David"/>
          <w:sz w:val="24"/>
          <w:szCs w:val="24"/>
          <w:rtl/>
        </w:rPr>
        <w:t xml:space="preserve"> </w:t>
      </w:r>
      <w:r w:rsidR="00CF24FB" w:rsidRPr="00D10460">
        <w:rPr>
          <w:rFonts w:ascii="Arial" w:hAnsi="Arial" w:cs="David" w:hint="cs"/>
          <w:sz w:val="24"/>
          <w:szCs w:val="24"/>
          <w:rtl/>
        </w:rPr>
        <w:t>מה</w:t>
      </w:r>
      <w:r w:rsidRPr="00D10460">
        <w:rPr>
          <w:rFonts w:ascii="Arial" w:hAnsi="Arial" w:cs="David"/>
          <w:sz w:val="24"/>
          <w:szCs w:val="24"/>
          <w:rtl/>
        </w:rPr>
        <w:t>תקופה המקבילה אשתקד</w:t>
      </w:r>
      <w:r w:rsidR="00CF24FB" w:rsidRPr="00D10460">
        <w:rPr>
          <w:rFonts w:ascii="Arial" w:hAnsi="Arial" w:cs="David" w:hint="cs"/>
          <w:sz w:val="24"/>
          <w:szCs w:val="24"/>
          <w:rtl/>
        </w:rPr>
        <w:t xml:space="preserve"> (</w:t>
      </w:r>
      <w:r w:rsidR="00CC2676" w:rsidRPr="00D10460">
        <w:rPr>
          <w:rFonts w:ascii="Arial" w:hAnsi="Arial" w:cs="David" w:hint="cs"/>
          <w:sz w:val="24"/>
          <w:szCs w:val="24"/>
          <w:rtl/>
        </w:rPr>
        <w:t>כ-15.8</w:t>
      </w:r>
      <w:r w:rsidR="00CF24FB" w:rsidRPr="00D10460">
        <w:rPr>
          <w:rFonts w:ascii="Arial" w:hAnsi="Arial" w:cs="David" w:hint="cs"/>
          <w:sz w:val="24"/>
          <w:szCs w:val="24"/>
          <w:rtl/>
        </w:rPr>
        <w:t xml:space="preserve"> מיליארדים)</w:t>
      </w:r>
      <w:r w:rsidR="000E45F2" w:rsidRPr="00D10460">
        <w:rPr>
          <w:rFonts w:ascii="Arial" w:hAnsi="Arial" w:cs="David" w:hint="cs"/>
          <w:sz w:val="24"/>
          <w:szCs w:val="24"/>
          <w:rtl/>
        </w:rPr>
        <w:t xml:space="preserve">. </w:t>
      </w:r>
      <w:r w:rsidR="00CC2676" w:rsidRPr="00D10460">
        <w:rPr>
          <w:rFonts w:ascii="Arial" w:hAnsi="Arial" w:cs="David" w:hint="cs"/>
          <w:sz w:val="24"/>
          <w:szCs w:val="24"/>
          <w:rtl/>
        </w:rPr>
        <w:t xml:space="preserve">עם זאת, החל ממאי </w:t>
      </w:r>
      <w:r w:rsidR="000E45F2" w:rsidRPr="00D10460">
        <w:rPr>
          <w:rFonts w:ascii="Arial" w:hAnsi="Arial" w:cs="David" w:hint="cs"/>
          <w:sz w:val="24"/>
          <w:szCs w:val="24"/>
          <w:rtl/>
        </w:rPr>
        <w:t>2017</w:t>
      </w:r>
      <w:r w:rsidR="002868D9" w:rsidRPr="00D10460">
        <w:rPr>
          <w:rFonts w:ascii="Arial" w:hAnsi="Arial" w:cs="David" w:hint="cs"/>
          <w:sz w:val="24"/>
          <w:szCs w:val="24"/>
          <w:rtl/>
        </w:rPr>
        <w:t xml:space="preserve"> </w:t>
      </w:r>
      <w:r w:rsidR="00CC2676" w:rsidRPr="00D10460">
        <w:rPr>
          <w:rFonts w:ascii="Arial" w:hAnsi="Arial" w:cs="David" w:hint="cs"/>
          <w:sz w:val="24"/>
          <w:szCs w:val="24"/>
          <w:rtl/>
        </w:rPr>
        <w:t xml:space="preserve">נרשם גידול בנטילת משכנתאות חדשות וביולי 2017 הן הסתכמו בכ-5.1 מיליארדי ש"ח. </w:t>
      </w:r>
      <w:r w:rsidR="000E45F2" w:rsidRPr="00D10460">
        <w:rPr>
          <w:rFonts w:ascii="Arial" w:hAnsi="Arial" w:cs="David" w:hint="cs"/>
          <w:sz w:val="24"/>
          <w:szCs w:val="24"/>
          <w:rtl/>
        </w:rPr>
        <w:t xml:space="preserve">בניכוי השפעת עונתיות, </w:t>
      </w:r>
      <w:r w:rsidR="00CC2676" w:rsidRPr="00D10460">
        <w:rPr>
          <w:rFonts w:ascii="Arial" w:hAnsi="Arial" w:cs="David" w:hint="cs"/>
          <w:sz w:val="24"/>
          <w:szCs w:val="24"/>
          <w:rtl/>
        </w:rPr>
        <w:t>נטילת משכנתאות חדשות ביולי</w:t>
      </w:r>
      <w:r w:rsidR="000E45F2" w:rsidRPr="00D10460">
        <w:rPr>
          <w:rFonts w:ascii="Arial" w:hAnsi="Arial" w:cs="David" w:hint="cs"/>
          <w:sz w:val="24"/>
          <w:szCs w:val="24"/>
          <w:rtl/>
        </w:rPr>
        <w:t xml:space="preserve"> הסתכמה בכ-4.3 מיליארדים</w:t>
      </w:r>
      <w:r w:rsidR="00060D8E" w:rsidRPr="00D10460">
        <w:rPr>
          <w:rFonts w:ascii="Arial" w:hAnsi="Arial" w:cs="David" w:hint="cs"/>
          <w:sz w:val="24"/>
          <w:szCs w:val="24"/>
          <w:rtl/>
        </w:rPr>
        <w:t>.</w:t>
      </w:r>
      <w:r w:rsidRPr="00D10460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664600" w:rsidRPr="00D10460">
        <w:rPr>
          <w:rFonts w:ascii="Arial" w:hAnsi="Arial" w:cs="David" w:hint="cs"/>
          <w:sz w:val="24"/>
          <w:szCs w:val="24"/>
          <w:rtl/>
        </w:rPr>
        <w:t xml:space="preserve">(איור </w:t>
      </w:r>
      <w:r w:rsidR="008A537E" w:rsidRPr="00D10460">
        <w:rPr>
          <w:rFonts w:ascii="Arial" w:hAnsi="Arial" w:cs="David" w:hint="cs"/>
          <w:sz w:val="24"/>
          <w:szCs w:val="24"/>
          <w:rtl/>
        </w:rPr>
        <w:t>4</w:t>
      </w:r>
      <w:r w:rsidR="00060D8E" w:rsidRPr="00D10460">
        <w:rPr>
          <w:rFonts w:ascii="Arial" w:hAnsi="Arial" w:cs="David" w:hint="cs"/>
          <w:sz w:val="24"/>
          <w:szCs w:val="24"/>
          <w:rtl/>
        </w:rPr>
        <w:t>)</w:t>
      </w:r>
    </w:p>
    <w:p w:rsidR="00B33FA0" w:rsidRPr="00D10460" w:rsidRDefault="00B33FA0" w:rsidP="00B33FA0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</w:p>
    <w:p w:rsidR="00AC3E61" w:rsidRPr="00D10460" w:rsidRDefault="00AC3E61" w:rsidP="004B58B8">
      <w:pPr>
        <w:pStyle w:val="a9"/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D10460">
        <w:rPr>
          <w:rFonts w:asciiTheme="minorBidi" w:hAnsiTheme="minorBidi" w:cs="David"/>
          <w:b/>
          <w:bCs/>
          <w:sz w:val="24"/>
          <w:szCs w:val="24"/>
          <w:rtl/>
        </w:rPr>
        <w:t>לוח 3: יתרות החוב של משקי הבית</w:t>
      </w:r>
      <w:r w:rsidRPr="00D10460">
        <w:rPr>
          <w:rFonts w:asciiTheme="minorBidi" w:hAnsiTheme="minorBidi" w:cs="David"/>
          <w:b/>
          <w:bCs/>
          <w:sz w:val="24"/>
          <w:szCs w:val="24"/>
          <w:vertAlign w:val="superscript"/>
          <w:rtl/>
        </w:rPr>
        <w:t>1</w:t>
      </w:r>
      <w:r w:rsidR="009653F5" w:rsidRPr="00D10460">
        <w:rPr>
          <w:rFonts w:ascii="Arial" w:hAnsi="Arial" w:cs="David"/>
          <w:sz w:val="24"/>
          <w:szCs w:val="24"/>
        </w:rPr>
        <w:t xml:space="preserve"> </w:t>
      </w:r>
    </w:p>
    <w:p w:rsidR="006D3752" w:rsidRPr="00D10460" w:rsidRDefault="004C3D74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D10460">
        <w:rPr>
          <w:rFonts w:cs="David"/>
          <w:noProof/>
          <w:rtl/>
          <w:lang w:eastAsia="en-US"/>
        </w:rPr>
        <w:drawing>
          <wp:inline distT="0" distB="0" distL="0" distR="0" wp14:anchorId="15AB469E" wp14:editId="66C0E700">
            <wp:extent cx="5278120" cy="4745873"/>
            <wp:effectExtent l="0" t="0" r="0" b="0"/>
            <wp:docPr id="18" name="תמונה 18" descr="יתרות החוב של משקי הבית" title="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74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752" w:rsidRPr="00D10460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B33FA0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C10811" w:rsidRPr="00D10460" w:rsidRDefault="00C10811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B52D63" w:rsidRPr="00D10460" w:rsidRDefault="00B52D63" w:rsidP="00C1081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B52D63" w:rsidRPr="00D10460" w:rsidRDefault="00B52D63" w:rsidP="00B52D63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36014F" w:rsidRDefault="0036014F" w:rsidP="00B17C32">
      <w:pPr>
        <w:bidi/>
        <w:jc w:val="center"/>
        <w:rPr>
          <w:rFonts w:asciiTheme="minorBidi" w:hAnsiTheme="minorBidi" w:cs="David" w:hint="cs"/>
          <w:b/>
          <w:bCs/>
          <w:sz w:val="24"/>
          <w:szCs w:val="24"/>
          <w:rtl/>
        </w:rPr>
      </w:pPr>
    </w:p>
    <w:p w:rsidR="0036014F" w:rsidRDefault="0036014F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280F81" w:rsidRPr="00D10460" w:rsidRDefault="00BF4C2E" w:rsidP="0036014F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D10460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 xml:space="preserve">איור </w:t>
      </w:r>
      <w:r w:rsidR="00B17C32" w:rsidRPr="00D10460">
        <w:rPr>
          <w:rFonts w:asciiTheme="minorBidi" w:hAnsiTheme="minorBidi" w:cs="David" w:hint="cs"/>
          <w:b/>
          <w:bCs/>
          <w:sz w:val="24"/>
          <w:szCs w:val="24"/>
          <w:rtl/>
        </w:rPr>
        <w:t>4</w:t>
      </w:r>
      <w:r w:rsidRPr="00D10460">
        <w:rPr>
          <w:rFonts w:asciiTheme="minorBidi" w:hAnsiTheme="minorBidi" w:cs="David"/>
          <w:b/>
          <w:bCs/>
          <w:sz w:val="24"/>
          <w:szCs w:val="24"/>
          <w:rtl/>
        </w:rPr>
        <w:t xml:space="preserve">: </w:t>
      </w:r>
      <w:r w:rsidR="00280F81" w:rsidRPr="00D10460">
        <w:rPr>
          <w:rFonts w:asciiTheme="minorBidi" w:hAnsiTheme="minorBidi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D10460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(משכנתאות)</w:t>
      </w:r>
    </w:p>
    <w:p w:rsidR="00005C41" w:rsidRPr="00D10460" w:rsidRDefault="00005C41" w:rsidP="00005C41">
      <w:pPr>
        <w:bidi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324EF2" w:rsidRPr="00D10460" w:rsidRDefault="006819E9" w:rsidP="00280F81">
      <w:pPr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D10460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116ACF68" wp14:editId="49A38B8B">
            <wp:extent cx="5261610" cy="2719070"/>
            <wp:effectExtent l="0" t="0" r="0" b="5080"/>
            <wp:docPr id="20" name="תמונה 20" descr="סכום ההלוואות החדשות לרכישת דירת מגורים שהעמידו הבנקים לציבור (משכנתאות)" title="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D10460" w:rsidRDefault="006B0BAE" w:rsidP="00AD6881">
      <w:pPr>
        <w:pStyle w:val="a9"/>
        <w:bidi/>
        <w:spacing w:before="48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D10460">
        <w:rPr>
          <w:rFonts w:ascii="Arial" w:hAnsi="Arial" w:cs="David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17" w:history="1">
        <w:r w:rsidRPr="00D10460">
          <w:rPr>
            <w:rStyle w:val="Hyperlink"/>
            <w:rFonts w:ascii="Arial" w:hAnsi="Arial" w:cs="David" w:hint="cs"/>
            <w:sz w:val="24"/>
            <w:szCs w:val="24"/>
            <w:rtl/>
          </w:rPr>
          <w:t>יתרות האשראי במשק</w:t>
        </w:r>
      </w:hyperlink>
      <w:r w:rsidRPr="00D10460">
        <w:rPr>
          <w:rFonts w:ascii="Arial" w:hAnsi="Arial" w:cs="David" w:hint="cs"/>
          <w:sz w:val="24"/>
          <w:szCs w:val="24"/>
          <w:rtl/>
        </w:rPr>
        <w:t xml:space="preserve">, קישור </w:t>
      </w:r>
      <w:hyperlink r:id="rId18" w:history="1">
        <w:r w:rsidRPr="00D10460">
          <w:rPr>
            <w:rStyle w:val="Hyperlink"/>
            <w:rFonts w:ascii="Arial" w:hAnsi="Arial" w:cs="David" w:hint="cs"/>
            <w:sz w:val="24"/>
            <w:szCs w:val="24"/>
            <w:rtl/>
          </w:rPr>
          <w:t>לנתוני משכנתאות</w:t>
        </w:r>
      </w:hyperlink>
      <w:r w:rsidR="00F97D41" w:rsidRPr="00D10460">
        <w:rPr>
          <w:rFonts w:ascii="Arial" w:hAnsi="Arial" w:cs="David" w:hint="cs"/>
          <w:sz w:val="24"/>
          <w:szCs w:val="24"/>
          <w:rtl/>
        </w:rPr>
        <w:t xml:space="preserve">, קישור לנתוני </w:t>
      </w:r>
      <w:hyperlink r:id="rId19" w:history="1">
        <w:r w:rsidR="00F97D41" w:rsidRPr="00D10460">
          <w:rPr>
            <w:rStyle w:val="Hyperlink"/>
            <w:rFonts w:ascii="Arial" w:hAnsi="Arial" w:cs="David" w:hint="cs"/>
            <w:sz w:val="24"/>
            <w:szCs w:val="24"/>
            <w:rtl/>
          </w:rPr>
          <w:t>מחירים בבנקים</w:t>
        </w:r>
      </w:hyperlink>
      <w:r w:rsidR="00F97D41" w:rsidRPr="00D10460">
        <w:rPr>
          <w:rFonts w:ascii="Arial" w:hAnsi="Arial" w:cs="David" w:hint="cs"/>
          <w:sz w:val="24"/>
          <w:szCs w:val="24"/>
          <w:rtl/>
        </w:rPr>
        <w:t>.</w:t>
      </w:r>
    </w:p>
    <w:sectPr w:rsidR="00F97D41" w:rsidRPr="00D10460" w:rsidSect="007A3CCD">
      <w:footerReference w:type="default" r:id="rId20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41" w:rsidRDefault="00971841" w:rsidP="00C04A6B">
      <w:r>
        <w:separator/>
      </w:r>
    </w:p>
  </w:endnote>
  <w:endnote w:type="continuationSeparator" w:id="0">
    <w:p w:rsidR="00971841" w:rsidRDefault="00971841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36014F" w:rsidRDefault="00507193" w:rsidP="00FA0242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David"/>
                <w:sz w:val="24"/>
                <w:szCs w:val="24"/>
                <w:rtl/>
                <w:cs/>
              </w:rPr>
            </w:pPr>
            <w:r w:rsidRPr="0036014F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36014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 w:rsidRPr="0036014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36014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36014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FA0242" w:rsidRPr="0036014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השני</w:t>
            </w:r>
            <w:r w:rsidR="00802DF3" w:rsidRPr="0036014F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של שנת </w:t>
            </w:r>
            <w:r w:rsidR="00F426C3" w:rsidRPr="0036014F">
              <w:rPr>
                <w:rFonts w:ascii="Arial" w:hAnsi="Arial" w:cs="David" w:hint="cs"/>
                <w:sz w:val="24"/>
                <w:szCs w:val="24"/>
                <w:rtl/>
                <w:lang w:val="he-IL"/>
              </w:rPr>
              <w:t>2017</w:t>
            </w:r>
            <w:r w:rsidR="002438E2" w:rsidRPr="0036014F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36014F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36014F">
              <w:rPr>
                <w:rFonts w:ascii="Arial" w:hAnsi="Arial" w:cs="David"/>
                <w:sz w:val="24"/>
                <w:szCs w:val="24"/>
                <w:rtl/>
                <w:cs/>
              </w:rPr>
              <w:instrText>PAGE</w:instrText>
            </w:r>
            <w:r w:rsidR="002438E2" w:rsidRPr="0036014F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36014F">
              <w:rPr>
                <w:rFonts w:ascii="Arial" w:hAnsi="Arial" w:cs="David"/>
                <w:noProof/>
                <w:sz w:val="24"/>
                <w:szCs w:val="24"/>
                <w:rtl/>
              </w:rPr>
              <w:t>1</w:t>
            </w:r>
            <w:r w:rsidR="002438E2" w:rsidRPr="0036014F">
              <w:rPr>
                <w:rFonts w:ascii="Arial" w:hAnsi="Arial" w:cs="David"/>
                <w:sz w:val="24"/>
                <w:szCs w:val="24"/>
              </w:rPr>
              <w:fldChar w:fldCharType="end"/>
            </w:r>
            <w:r w:rsidR="002438E2" w:rsidRPr="0036014F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36014F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36014F">
              <w:rPr>
                <w:rFonts w:ascii="Arial" w:hAnsi="Arial" w:cs="David"/>
                <w:sz w:val="24"/>
                <w:szCs w:val="24"/>
                <w:rtl/>
                <w:cs/>
              </w:rPr>
              <w:instrText>NUMPAGES</w:instrText>
            </w:r>
            <w:r w:rsidR="002438E2" w:rsidRPr="0036014F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36014F">
              <w:rPr>
                <w:rFonts w:ascii="Arial" w:hAnsi="Arial" w:cs="David"/>
                <w:noProof/>
                <w:sz w:val="24"/>
                <w:szCs w:val="24"/>
                <w:rtl/>
              </w:rPr>
              <w:t>5</w:t>
            </w:r>
            <w:r w:rsidR="002438E2" w:rsidRPr="0036014F">
              <w:rPr>
                <w:rFonts w:ascii="Arial" w:hAnsi="Arial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41" w:rsidRDefault="00971841" w:rsidP="00C04A6B">
      <w:r>
        <w:separator/>
      </w:r>
    </w:p>
  </w:footnote>
  <w:footnote w:type="continuationSeparator" w:id="0">
    <w:p w:rsidR="00971841" w:rsidRDefault="00971841" w:rsidP="00C04A6B">
      <w:r>
        <w:continuationSeparator/>
      </w:r>
    </w:p>
  </w:footnote>
  <w:footnote w:id="1">
    <w:p w:rsidR="004606C0" w:rsidRDefault="004606C0" w:rsidP="00426001">
      <w:pPr>
        <w:pStyle w:val="af"/>
        <w:bidi/>
        <w:rPr>
          <w:rtl/>
        </w:rPr>
      </w:pPr>
      <w:r w:rsidRPr="00B102F2">
        <w:rPr>
          <w:rStyle w:val="af1"/>
        </w:rPr>
        <w:footnoteRef/>
      </w:r>
      <w:r w:rsidRPr="00B102F2">
        <w:t xml:space="preserve"> </w:t>
      </w:r>
      <w:r w:rsidRPr="00B102F2">
        <w:rPr>
          <w:rFonts w:hint="cs"/>
          <w:rtl/>
        </w:rPr>
        <w:t xml:space="preserve"> </w:t>
      </w:r>
      <w:r w:rsidR="004C3D74" w:rsidRPr="0036014F">
        <w:rPr>
          <w:rFonts w:asciiTheme="minorBidi" w:hAnsiTheme="minorBidi" w:cs="David"/>
          <w:rtl/>
        </w:rPr>
        <w:t xml:space="preserve">החל </w:t>
      </w:r>
      <w:r w:rsidR="004C3D74" w:rsidRPr="0036014F">
        <w:rPr>
          <w:rFonts w:asciiTheme="minorBidi" w:hAnsiTheme="minorBidi" w:cs="David" w:hint="cs"/>
          <w:rtl/>
        </w:rPr>
        <w:t>מפרסום זה</w:t>
      </w:r>
      <w:r w:rsidR="004C3D74" w:rsidRPr="0036014F">
        <w:rPr>
          <w:rFonts w:asciiTheme="minorBidi" w:hAnsiTheme="minorBidi" w:cs="David"/>
          <w:rtl/>
        </w:rPr>
        <w:t xml:space="preserve"> בוצע </w:t>
      </w:r>
      <w:r w:rsidR="00C72743" w:rsidRPr="0036014F">
        <w:rPr>
          <w:rFonts w:asciiTheme="minorBidi" w:hAnsiTheme="minorBidi" w:cs="David" w:hint="cs"/>
          <w:rtl/>
        </w:rPr>
        <w:t>טיוב</w:t>
      </w:r>
      <w:r w:rsidR="004C3D74" w:rsidRPr="0036014F">
        <w:rPr>
          <w:rFonts w:asciiTheme="minorBidi" w:hAnsiTheme="minorBidi" w:cs="David"/>
          <w:rtl/>
        </w:rPr>
        <w:t xml:space="preserve"> מתודולוגי </w:t>
      </w:r>
      <w:r w:rsidR="00C22C1E" w:rsidRPr="0036014F">
        <w:rPr>
          <w:rFonts w:asciiTheme="minorBidi" w:hAnsiTheme="minorBidi" w:cs="David" w:hint="cs"/>
          <w:rtl/>
        </w:rPr>
        <w:t>ב</w:t>
      </w:r>
      <w:r w:rsidR="00C72743" w:rsidRPr="0036014F">
        <w:rPr>
          <w:rFonts w:asciiTheme="minorBidi" w:hAnsiTheme="minorBidi" w:cs="David"/>
          <w:rtl/>
        </w:rPr>
        <w:t xml:space="preserve">חוב משקי </w:t>
      </w:r>
      <w:r w:rsidR="002868D9" w:rsidRPr="0036014F">
        <w:rPr>
          <w:rFonts w:asciiTheme="minorBidi" w:hAnsiTheme="minorBidi" w:cs="David" w:hint="cs"/>
          <w:rtl/>
        </w:rPr>
        <w:t>ה</w:t>
      </w:r>
      <w:r w:rsidR="00C72743" w:rsidRPr="0036014F">
        <w:rPr>
          <w:rFonts w:asciiTheme="minorBidi" w:hAnsiTheme="minorBidi" w:cs="David"/>
          <w:rtl/>
        </w:rPr>
        <w:t xml:space="preserve">בית </w:t>
      </w:r>
      <w:r w:rsidR="00C72743" w:rsidRPr="0036014F">
        <w:rPr>
          <w:rFonts w:asciiTheme="minorBidi" w:hAnsiTheme="minorBidi" w:cs="David" w:hint="cs"/>
          <w:rtl/>
        </w:rPr>
        <w:t xml:space="preserve">מהבנקים: טיוב </w:t>
      </w:r>
      <w:r w:rsidR="004C3D74" w:rsidRPr="0036014F">
        <w:rPr>
          <w:rFonts w:asciiTheme="minorBidi" w:hAnsiTheme="minorBidi" w:cs="David"/>
          <w:rtl/>
        </w:rPr>
        <w:t xml:space="preserve">זה </w:t>
      </w:r>
      <w:r w:rsidR="00C72743" w:rsidRPr="0036014F">
        <w:rPr>
          <w:rFonts w:asciiTheme="minorBidi" w:hAnsiTheme="minorBidi" w:cs="David" w:hint="cs"/>
          <w:rtl/>
        </w:rPr>
        <w:t>לא</w:t>
      </w:r>
      <w:r w:rsidR="004C3D74" w:rsidRPr="0036014F">
        <w:rPr>
          <w:rFonts w:asciiTheme="minorBidi" w:hAnsiTheme="minorBidi" w:cs="David"/>
          <w:rtl/>
        </w:rPr>
        <w:t xml:space="preserve"> משפיע על סך החוב של משקי הבית אלא על הח</w:t>
      </w:r>
      <w:r w:rsidR="00C72743" w:rsidRPr="0036014F">
        <w:rPr>
          <w:rFonts w:asciiTheme="minorBidi" w:hAnsiTheme="minorBidi" w:cs="David"/>
          <w:rtl/>
        </w:rPr>
        <w:t xml:space="preserve">לוקה בין </w:t>
      </w:r>
      <w:r w:rsidR="007C639F" w:rsidRPr="0036014F">
        <w:rPr>
          <w:rFonts w:asciiTheme="minorBidi" w:hAnsiTheme="minorBidi" w:cs="David" w:hint="cs"/>
          <w:rtl/>
        </w:rPr>
        <w:t>ה</w:t>
      </w:r>
      <w:r w:rsidR="00C72743" w:rsidRPr="0036014F">
        <w:rPr>
          <w:rFonts w:asciiTheme="minorBidi" w:hAnsiTheme="minorBidi" w:cs="David"/>
          <w:rtl/>
        </w:rPr>
        <w:t>חוב לדיור ושאינו לדיור</w:t>
      </w:r>
      <w:r w:rsidR="007C639F" w:rsidRPr="0036014F">
        <w:rPr>
          <w:rFonts w:asciiTheme="minorBidi" w:hAnsiTheme="minorBidi" w:cs="David" w:hint="cs"/>
          <w:rtl/>
        </w:rPr>
        <w:t xml:space="preserve">. הטיוב </w:t>
      </w:r>
      <w:r w:rsidR="004C3D74" w:rsidRPr="0036014F">
        <w:rPr>
          <w:rFonts w:asciiTheme="minorBidi" w:hAnsiTheme="minorBidi" w:cs="David"/>
          <w:rtl/>
        </w:rPr>
        <w:t xml:space="preserve">בוצע רטרואקטיבית על כל הסדרה. </w:t>
      </w:r>
      <w:r w:rsidRPr="0036014F">
        <w:rPr>
          <w:rFonts w:asciiTheme="minorBidi" w:hAnsiTheme="minorBidi" w:cs="David" w:hint="cs"/>
          <w:rtl/>
        </w:rPr>
        <w:t xml:space="preserve">לפרטים ראו לוחות </w:t>
      </w:r>
      <w:hyperlink r:id="rId1" w:history="1">
        <w:r w:rsidRPr="0036014F">
          <w:rPr>
            <w:rStyle w:val="Hyperlink"/>
            <w:rFonts w:ascii="Arial" w:hAnsi="Arial" w:cs="David" w:hint="cs"/>
            <w:rtl/>
          </w:rPr>
          <w:t>יתרות האשראי במשק</w:t>
        </w:r>
      </w:hyperlink>
      <w:r w:rsidRPr="0036014F">
        <w:rPr>
          <w:rFonts w:asciiTheme="minorBidi" w:hAnsiTheme="minorBidi" w:cs="David" w:hint="cs"/>
          <w:rtl/>
        </w:rPr>
        <w:t xml:space="preserve"> המפורסמים באתר בנק ישראל</w:t>
      </w:r>
      <w:r w:rsidRPr="0036014F">
        <w:rPr>
          <w:rFonts w:cs="David" w:hint="cs"/>
          <w:rtl/>
        </w:rPr>
        <w:t>.</w:t>
      </w:r>
      <w:r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5A92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5C41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029A"/>
    <w:rsid w:val="000418F2"/>
    <w:rsid w:val="0004490E"/>
    <w:rsid w:val="00051063"/>
    <w:rsid w:val="0005169A"/>
    <w:rsid w:val="00053684"/>
    <w:rsid w:val="0005562A"/>
    <w:rsid w:val="00060D8E"/>
    <w:rsid w:val="000624C1"/>
    <w:rsid w:val="000630AB"/>
    <w:rsid w:val="00063601"/>
    <w:rsid w:val="00064830"/>
    <w:rsid w:val="00065320"/>
    <w:rsid w:val="00065C62"/>
    <w:rsid w:val="000713E4"/>
    <w:rsid w:val="00075FC4"/>
    <w:rsid w:val="000812AB"/>
    <w:rsid w:val="00081313"/>
    <w:rsid w:val="000822C2"/>
    <w:rsid w:val="00085BE0"/>
    <w:rsid w:val="000874C1"/>
    <w:rsid w:val="000911D7"/>
    <w:rsid w:val="0009315D"/>
    <w:rsid w:val="00097E8B"/>
    <w:rsid w:val="000A4C37"/>
    <w:rsid w:val="000A588A"/>
    <w:rsid w:val="000B083E"/>
    <w:rsid w:val="000B190F"/>
    <w:rsid w:val="000B6B82"/>
    <w:rsid w:val="000B7D5E"/>
    <w:rsid w:val="000C62F4"/>
    <w:rsid w:val="000D756E"/>
    <w:rsid w:val="000E3F1A"/>
    <w:rsid w:val="000E45F2"/>
    <w:rsid w:val="000E59A0"/>
    <w:rsid w:val="000E5A37"/>
    <w:rsid w:val="000E6A23"/>
    <w:rsid w:val="000F0D97"/>
    <w:rsid w:val="000F225A"/>
    <w:rsid w:val="000F33EA"/>
    <w:rsid w:val="000F3A6E"/>
    <w:rsid w:val="000F5653"/>
    <w:rsid w:val="000F5E2D"/>
    <w:rsid w:val="000F7FFC"/>
    <w:rsid w:val="0010106E"/>
    <w:rsid w:val="0010731B"/>
    <w:rsid w:val="00107D10"/>
    <w:rsid w:val="00115A6D"/>
    <w:rsid w:val="00115A82"/>
    <w:rsid w:val="0011712D"/>
    <w:rsid w:val="001178ED"/>
    <w:rsid w:val="00117C7B"/>
    <w:rsid w:val="0012175B"/>
    <w:rsid w:val="00121FF7"/>
    <w:rsid w:val="00125E7E"/>
    <w:rsid w:val="00127335"/>
    <w:rsid w:val="00127CE7"/>
    <w:rsid w:val="001316A1"/>
    <w:rsid w:val="00137006"/>
    <w:rsid w:val="001400D2"/>
    <w:rsid w:val="001431B5"/>
    <w:rsid w:val="00143BC9"/>
    <w:rsid w:val="00144AA6"/>
    <w:rsid w:val="00146694"/>
    <w:rsid w:val="001503F7"/>
    <w:rsid w:val="001510D4"/>
    <w:rsid w:val="001543AD"/>
    <w:rsid w:val="00162787"/>
    <w:rsid w:val="00166C6B"/>
    <w:rsid w:val="0017002C"/>
    <w:rsid w:val="00177686"/>
    <w:rsid w:val="00180E8A"/>
    <w:rsid w:val="00186495"/>
    <w:rsid w:val="0018670E"/>
    <w:rsid w:val="0019015A"/>
    <w:rsid w:val="001909E1"/>
    <w:rsid w:val="00193A25"/>
    <w:rsid w:val="001943E3"/>
    <w:rsid w:val="00194480"/>
    <w:rsid w:val="0019703C"/>
    <w:rsid w:val="001B15F7"/>
    <w:rsid w:val="001B3C3C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14D6B"/>
    <w:rsid w:val="0022046E"/>
    <w:rsid w:val="002232D2"/>
    <w:rsid w:val="002237E5"/>
    <w:rsid w:val="00224F08"/>
    <w:rsid w:val="00225651"/>
    <w:rsid w:val="0023142A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64230"/>
    <w:rsid w:val="00265361"/>
    <w:rsid w:val="00266DC3"/>
    <w:rsid w:val="0027192B"/>
    <w:rsid w:val="00274A6A"/>
    <w:rsid w:val="00280F81"/>
    <w:rsid w:val="0028327B"/>
    <w:rsid w:val="00283EC9"/>
    <w:rsid w:val="002868D9"/>
    <w:rsid w:val="00286AB2"/>
    <w:rsid w:val="00287BE1"/>
    <w:rsid w:val="00287E45"/>
    <w:rsid w:val="00292BAD"/>
    <w:rsid w:val="00295751"/>
    <w:rsid w:val="00296A2E"/>
    <w:rsid w:val="002972B4"/>
    <w:rsid w:val="002A0469"/>
    <w:rsid w:val="002A2B75"/>
    <w:rsid w:val="002A51F1"/>
    <w:rsid w:val="002A5C23"/>
    <w:rsid w:val="002A60C4"/>
    <w:rsid w:val="002B0F7F"/>
    <w:rsid w:val="002B39A4"/>
    <w:rsid w:val="002B3FB0"/>
    <w:rsid w:val="002B447B"/>
    <w:rsid w:val="002B74E5"/>
    <w:rsid w:val="002C29DA"/>
    <w:rsid w:val="002C3A77"/>
    <w:rsid w:val="002C7213"/>
    <w:rsid w:val="002C73B0"/>
    <w:rsid w:val="002C756B"/>
    <w:rsid w:val="002D0FD7"/>
    <w:rsid w:val="002D1779"/>
    <w:rsid w:val="002D3C1F"/>
    <w:rsid w:val="002E20F7"/>
    <w:rsid w:val="002E5ADF"/>
    <w:rsid w:val="002E6CC3"/>
    <w:rsid w:val="002E7A87"/>
    <w:rsid w:val="002F0816"/>
    <w:rsid w:val="002F2629"/>
    <w:rsid w:val="002F6C4C"/>
    <w:rsid w:val="00300E82"/>
    <w:rsid w:val="003018A7"/>
    <w:rsid w:val="00303DA6"/>
    <w:rsid w:val="003055E7"/>
    <w:rsid w:val="00310281"/>
    <w:rsid w:val="00315DCB"/>
    <w:rsid w:val="00317948"/>
    <w:rsid w:val="00320FD1"/>
    <w:rsid w:val="00322FC0"/>
    <w:rsid w:val="00323164"/>
    <w:rsid w:val="00324EF2"/>
    <w:rsid w:val="0033214F"/>
    <w:rsid w:val="00333F8E"/>
    <w:rsid w:val="00340B38"/>
    <w:rsid w:val="0034285A"/>
    <w:rsid w:val="003439F5"/>
    <w:rsid w:val="0035070F"/>
    <w:rsid w:val="003509EF"/>
    <w:rsid w:val="00351EF0"/>
    <w:rsid w:val="003537B9"/>
    <w:rsid w:val="003576B2"/>
    <w:rsid w:val="00357818"/>
    <w:rsid w:val="0036014F"/>
    <w:rsid w:val="00363D6A"/>
    <w:rsid w:val="003641D5"/>
    <w:rsid w:val="003645A9"/>
    <w:rsid w:val="00364AB7"/>
    <w:rsid w:val="00370901"/>
    <w:rsid w:val="003713E8"/>
    <w:rsid w:val="0037614E"/>
    <w:rsid w:val="003766F9"/>
    <w:rsid w:val="00377C33"/>
    <w:rsid w:val="0038353E"/>
    <w:rsid w:val="0038394F"/>
    <w:rsid w:val="00383F02"/>
    <w:rsid w:val="00385301"/>
    <w:rsid w:val="003901E0"/>
    <w:rsid w:val="00390EEB"/>
    <w:rsid w:val="003928D7"/>
    <w:rsid w:val="00395C57"/>
    <w:rsid w:val="003A0C66"/>
    <w:rsid w:val="003A242C"/>
    <w:rsid w:val="003A2FA9"/>
    <w:rsid w:val="003A315C"/>
    <w:rsid w:val="003A43C0"/>
    <w:rsid w:val="003A48D2"/>
    <w:rsid w:val="003A490D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61BA"/>
    <w:rsid w:val="003B6ADF"/>
    <w:rsid w:val="003C751F"/>
    <w:rsid w:val="003D04A2"/>
    <w:rsid w:val="003D06D2"/>
    <w:rsid w:val="003D54D0"/>
    <w:rsid w:val="003E3AEF"/>
    <w:rsid w:val="003E4002"/>
    <w:rsid w:val="003E68CF"/>
    <w:rsid w:val="003F12AD"/>
    <w:rsid w:val="003F4002"/>
    <w:rsid w:val="003F454D"/>
    <w:rsid w:val="00400630"/>
    <w:rsid w:val="004024AB"/>
    <w:rsid w:val="00406F28"/>
    <w:rsid w:val="00410DE0"/>
    <w:rsid w:val="0041358A"/>
    <w:rsid w:val="004175C9"/>
    <w:rsid w:val="00420F93"/>
    <w:rsid w:val="00424BF3"/>
    <w:rsid w:val="00426001"/>
    <w:rsid w:val="004268D2"/>
    <w:rsid w:val="00426A9C"/>
    <w:rsid w:val="0043226F"/>
    <w:rsid w:val="0044713E"/>
    <w:rsid w:val="0045197C"/>
    <w:rsid w:val="00453DD1"/>
    <w:rsid w:val="004606C0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806BA"/>
    <w:rsid w:val="00480FFC"/>
    <w:rsid w:val="00482D0E"/>
    <w:rsid w:val="00484208"/>
    <w:rsid w:val="00497BD0"/>
    <w:rsid w:val="004A6D8C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63EE"/>
    <w:rsid w:val="004D746B"/>
    <w:rsid w:val="004D763E"/>
    <w:rsid w:val="004E2566"/>
    <w:rsid w:val="004F06E0"/>
    <w:rsid w:val="004F16EA"/>
    <w:rsid w:val="004F1EB9"/>
    <w:rsid w:val="004F3279"/>
    <w:rsid w:val="004F426F"/>
    <w:rsid w:val="004F4E43"/>
    <w:rsid w:val="00502068"/>
    <w:rsid w:val="00502294"/>
    <w:rsid w:val="005042A9"/>
    <w:rsid w:val="0050443A"/>
    <w:rsid w:val="00507193"/>
    <w:rsid w:val="00507235"/>
    <w:rsid w:val="00513C0C"/>
    <w:rsid w:val="00516A2C"/>
    <w:rsid w:val="00520122"/>
    <w:rsid w:val="00521DE3"/>
    <w:rsid w:val="00522BB0"/>
    <w:rsid w:val="00525B9D"/>
    <w:rsid w:val="00526641"/>
    <w:rsid w:val="00532713"/>
    <w:rsid w:val="0054311D"/>
    <w:rsid w:val="0054512E"/>
    <w:rsid w:val="00546295"/>
    <w:rsid w:val="005528A7"/>
    <w:rsid w:val="00555BDD"/>
    <w:rsid w:val="0056103E"/>
    <w:rsid w:val="0056258A"/>
    <w:rsid w:val="00572730"/>
    <w:rsid w:val="00573545"/>
    <w:rsid w:val="00577146"/>
    <w:rsid w:val="005816B4"/>
    <w:rsid w:val="00584275"/>
    <w:rsid w:val="0058468A"/>
    <w:rsid w:val="00585612"/>
    <w:rsid w:val="005913CE"/>
    <w:rsid w:val="005921D5"/>
    <w:rsid w:val="005958D0"/>
    <w:rsid w:val="00596389"/>
    <w:rsid w:val="005A199D"/>
    <w:rsid w:val="005A4B9C"/>
    <w:rsid w:val="005A5B31"/>
    <w:rsid w:val="005A6536"/>
    <w:rsid w:val="005A7029"/>
    <w:rsid w:val="005B24B3"/>
    <w:rsid w:val="005B3C69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40CD"/>
    <w:rsid w:val="005E6AF0"/>
    <w:rsid w:val="005E77A7"/>
    <w:rsid w:val="005E7841"/>
    <w:rsid w:val="005F482A"/>
    <w:rsid w:val="005F663A"/>
    <w:rsid w:val="00600591"/>
    <w:rsid w:val="006028EA"/>
    <w:rsid w:val="006038EA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2F81"/>
    <w:rsid w:val="00636483"/>
    <w:rsid w:val="00636A4D"/>
    <w:rsid w:val="006373FB"/>
    <w:rsid w:val="006407DF"/>
    <w:rsid w:val="0064196B"/>
    <w:rsid w:val="006453AB"/>
    <w:rsid w:val="0064551B"/>
    <w:rsid w:val="00650A9D"/>
    <w:rsid w:val="00652294"/>
    <w:rsid w:val="00664600"/>
    <w:rsid w:val="00664A0B"/>
    <w:rsid w:val="00665A1C"/>
    <w:rsid w:val="00670D97"/>
    <w:rsid w:val="00674FDA"/>
    <w:rsid w:val="00675FDA"/>
    <w:rsid w:val="00676F2C"/>
    <w:rsid w:val="006816CE"/>
    <w:rsid w:val="006819E9"/>
    <w:rsid w:val="00682B0D"/>
    <w:rsid w:val="0069062B"/>
    <w:rsid w:val="00691556"/>
    <w:rsid w:val="00695778"/>
    <w:rsid w:val="006957E0"/>
    <w:rsid w:val="006961B2"/>
    <w:rsid w:val="00697C2E"/>
    <w:rsid w:val="006A16E5"/>
    <w:rsid w:val="006A4A2C"/>
    <w:rsid w:val="006A66B4"/>
    <w:rsid w:val="006A7088"/>
    <w:rsid w:val="006B0BAE"/>
    <w:rsid w:val="006B2FAC"/>
    <w:rsid w:val="006B624E"/>
    <w:rsid w:val="006B6ACF"/>
    <w:rsid w:val="006C01FB"/>
    <w:rsid w:val="006C27C7"/>
    <w:rsid w:val="006D3752"/>
    <w:rsid w:val="006D526D"/>
    <w:rsid w:val="006D7644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1617D"/>
    <w:rsid w:val="00716EF2"/>
    <w:rsid w:val="00720923"/>
    <w:rsid w:val="00725208"/>
    <w:rsid w:val="00737755"/>
    <w:rsid w:val="00742DCE"/>
    <w:rsid w:val="00744938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231E"/>
    <w:rsid w:val="00762D5A"/>
    <w:rsid w:val="00763347"/>
    <w:rsid w:val="007714BD"/>
    <w:rsid w:val="0077544B"/>
    <w:rsid w:val="0077670A"/>
    <w:rsid w:val="0077779F"/>
    <w:rsid w:val="00781240"/>
    <w:rsid w:val="0078308C"/>
    <w:rsid w:val="0078308F"/>
    <w:rsid w:val="00784528"/>
    <w:rsid w:val="00784F91"/>
    <w:rsid w:val="0078511C"/>
    <w:rsid w:val="00787DD9"/>
    <w:rsid w:val="00790911"/>
    <w:rsid w:val="0079675B"/>
    <w:rsid w:val="007A2DDB"/>
    <w:rsid w:val="007A39D0"/>
    <w:rsid w:val="007A3CCD"/>
    <w:rsid w:val="007B1313"/>
    <w:rsid w:val="007B174B"/>
    <w:rsid w:val="007B45DE"/>
    <w:rsid w:val="007C0A47"/>
    <w:rsid w:val="007C2446"/>
    <w:rsid w:val="007C26CE"/>
    <w:rsid w:val="007C3769"/>
    <w:rsid w:val="007C639F"/>
    <w:rsid w:val="007D0EF4"/>
    <w:rsid w:val="007D32BF"/>
    <w:rsid w:val="007D7D86"/>
    <w:rsid w:val="007E13A9"/>
    <w:rsid w:val="007E14D9"/>
    <w:rsid w:val="007E18EE"/>
    <w:rsid w:val="007E5070"/>
    <w:rsid w:val="007E72DA"/>
    <w:rsid w:val="007E7A16"/>
    <w:rsid w:val="007F12DE"/>
    <w:rsid w:val="007F1C5D"/>
    <w:rsid w:val="007F1D05"/>
    <w:rsid w:val="007F2CEB"/>
    <w:rsid w:val="007F3842"/>
    <w:rsid w:val="007F5009"/>
    <w:rsid w:val="007F6557"/>
    <w:rsid w:val="007F7A89"/>
    <w:rsid w:val="00802DD5"/>
    <w:rsid w:val="00802DF3"/>
    <w:rsid w:val="008065E2"/>
    <w:rsid w:val="00806850"/>
    <w:rsid w:val="00811358"/>
    <w:rsid w:val="008121D7"/>
    <w:rsid w:val="00814206"/>
    <w:rsid w:val="008158A5"/>
    <w:rsid w:val="00825878"/>
    <w:rsid w:val="008259B7"/>
    <w:rsid w:val="00825F21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68F8"/>
    <w:rsid w:val="0088690D"/>
    <w:rsid w:val="008900E3"/>
    <w:rsid w:val="0089040A"/>
    <w:rsid w:val="0089151C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771A"/>
    <w:rsid w:val="008C197C"/>
    <w:rsid w:val="008C335C"/>
    <w:rsid w:val="008C5990"/>
    <w:rsid w:val="008C6760"/>
    <w:rsid w:val="008D098C"/>
    <w:rsid w:val="008D2EA6"/>
    <w:rsid w:val="008D5AD7"/>
    <w:rsid w:val="008D68DB"/>
    <w:rsid w:val="008E2AE6"/>
    <w:rsid w:val="008E4D5D"/>
    <w:rsid w:val="008E7A02"/>
    <w:rsid w:val="008F47C4"/>
    <w:rsid w:val="0090225A"/>
    <w:rsid w:val="00902402"/>
    <w:rsid w:val="0090346B"/>
    <w:rsid w:val="009050FC"/>
    <w:rsid w:val="009065F1"/>
    <w:rsid w:val="00911151"/>
    <w:rsid w:val="00912494"/>
    <w:rsid w:val="00915424"/>
    <w:rsid w:val="00915CE8"/>
    <w:rsid w:val="00917C1C"/>
    <w:rsid w:val="00923125"/>
    <w:rsid w:val="009231C3"/>
    <w:rsid w:val="00925F5D"/>
    <w:rsid w:val="009303F4"/>
    <w:rsid w:val="009311DE"/>
    <w:rsid w:val="00933604"/>
    <w:rsid w:val="00943887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7BED"/>
    <w:rsid w:val="009818C2"/>
    <w:rsid w:val="00981FA3"/>
    <w:rsid w:val="00985045"/>
    <w:rsid w:val="00985B74"/>
    <w:rsid w:val="0099010D"/>
    <w:rsid w:val="00990A9F"/>
    <w:rsid w:val="00992E1E"/>
    <w:rsid w:val="0099500B"/>
    <w:rsid w:val="00995039"/>
    <w:rsid w:val="00996693"/>
    <w:rsid w:val="009974D0"/>
    <w:rsid w:val="009A3808"/>
    <w:rsid w:val="009A54F7"/>
    <w:rsid w:val="009A7195"/>
    <w:rsid w:val="009A773E"/>
    <w:rsid w:val="009B0128"/>
    <w:rsid w:val="009B27C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17283"/>
    <w:rsid w:val="00A20385"/>
    <w:rsid w:val="00A23183"/>
    <w:rsid w:val="00A24CC8"/>
    <w:rsid w:val="00A30DCC"/>
    <w:rsid w:val="00A322B9"/>
    <w:rsid w:val="00A32A72"/>
    <w:rsid w:val="00A333C5"/>
    <w:rsid w:val="00A334F6"/>
    <w:rsid w:val="00A34179"/>
    <w:rsid w:val="00A44417"/>
    <w:rsid w:val="00A45303"/>
    <w:rsid w:val="00A4555E"/>
    <w:rsid w:val="00A45CAF"/>
    <w:rsid w:val="00A46B0C"/>
    <w:rsid w:val="00A47EF9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5E92"/>
    <w:rsid w:val="00A878A6"/>
    <w:rsid w:val="00A933C6"/>
    <w:rsid w:val="00A94B36"/>
    <w:rsid w:val="00A95DD8"/>
    <w:rsid w:val="00A96870"/>
    <w:rsid w:val="00A96BDC"/>
    <w:rsid w:val="00A979CF"/>
    <w:rsid w:val="00AA0702"/>
    <w:rsid w:val="00AA0AFF"/>
    <w:rsid w:val="00AA0C2F"/>
    <w:rsid w:val="00AA22D1"/>
    <w:rsid w:val="00AA3E80"/>
    <w:rsid w:val="00AA51B0"/>
    <w:rsid w:val="00AA6DC6"/>
    <w:rsid w:val="00AA70E3"/>
    <w:rsid w:val="00AB31EF"/>
    <w:rsid w:val="00AB409F"/>
    <w:rsid w:val="00AB44C3"/>
    <w:rsid w:val="00AB5B06"/>
    <w:rsid w:val="00AC3E61"/>
    <w:rsid w:val="00AC47DE"/>
    <w:rsid w:val="00AC5CD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AD5"/>
    <w:rsid w:val="00AF126A"/>
    <w:rsid w:val="00AF2FE3"/>
    <w:rsid w:val="00AF5FCE"/>
    <w:rsid w:val="00AF7ADE"/>
    <w:rsid w:val="00B01C0D"/>
    <w:rsid w:val="00B03DCA"/>
    <w:rsid w:val="00B055B5"/>
    <w:rsid w:val="00B058F3"/>
    <w:rsid w:val="00B072ED"/>
    <w:rsid w:val="00B102F2"/>
    <w:rsid w:val="00B110D9"/>
    <w:rsid w:val="00B1299B"/>
    <w:rsid w:val="00B14475"/>
    <w:rsid w:val="00B157DD"/>
    <w:rsid w:val="00B17282"/>
    <w:rsid w:val="00B17C32"/>
    <w:rsid w:val="00B24F7C"/>
    <w:rsid w:val="00B24FBE"/>
    <w:rsid w:val="00B2503D"/>
    <w:rsid w:val="00B266BE"/>
    <w:rsid w:val="00B27269"/>
    <w:rsid w:val="00B2798D"/>
    <w:rsid w:val="00B27A62"/>
    <w:rsid w:val="00B31EFB"/>
    <w:rsid w:val="00B33FA0"/>
    <w:rsid w:val="00B34583"/>
    <w:rsid w:val="00B37F02"/>
    <w:rsid w:val="00B474E8"/>
    <w:rsid w:val="00B478D2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6814"/>
    <w:rsid w:val="00B801AB"/>
    <w:rsid w:val="00B80AE5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E1F"/>
    <w:rsid w:val="00BB15EB"/>
    <w:rsid w:val="00BB23C1"/>
    <w:rsid w:val="00BB4550"/>
    <w:rsid w:val="00BB4F5C"/>
    <w:rsid w:val="00BB7F49"/>
    <w:rsid w:val="00BC578A"/>
    <w:rsid w:val="00BD1037"/>
    <w:rsid w:val="00BD3A1C"/>
    <w:rsid w:val="00BD55EC"/>
    <w:rsid w:val="00BD7804"/>
    <w:rsid w:val="00BE235C"/>
    <w:rsid w:val="00BE3716"/>
    <w:rsid w:val="00BE49A2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0811"/>
    <w:rsid w:val="00C1139C"/>
    <w:rsid w:val="00C21539"/>
    <w:rsid w:val="00C22C1E"/>
    <w:rsid w:val="00C22E09"/>
    <w:rsid w:val="00C259B6"/>
    <w:rsid w:val="00C25C1C"/>
    <w:rsid w:val="00C3219B"/>
    <w:rsid w:val="00C411E7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3A60"/>
    <w:rsid w:val="00C656C3"/>
    <w:rsid w:val="00C7000A"/>
    <w:rsid w:val="00C71943"/>
    <w:rsid w:val="00C72743"/>
    <w:rsid w:val="00C843C1"/>
    <w:rsid w:val="00C84B20"/>
    <w:rsid w:val="00C87F91"/>
    <w:rsid w:val="00C9110B"/>
    <w:rsid w:val="00C9322A"/>
    <w:rsid w:val="00C94676"/>
    <w:rsid w:val="00C95582"/>
    <w:rsid w:val="00CA10CF"/>
    <w:rsid w:val="00CA6DAB"/>
    <w:rsid w:val="00CB040E"/>
    <w:rsid w:val="00CB187C"/>
    <w:rsid w:val="00CB1B2B"/>
    <w:rsid w:val="00CB39D9"/>
    <w:rsid w:val="00CB450C"/>
    <w:rsid w:val="00CC1A24"/>
    <w:rsid w:val="00CC2676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24FB"/>
    <w:rsid w:val="00CF6B60"/>
    <w:rsid w:val="00CF76EE"/>
    <w:rsid w:val="00D0022E"/>
    <w:rsid w:val="00D02264"/>
    <w:rsid w:val="00D02682"/>
    <w:rsid w:val="00D04887"/>
    <w:rsid w:val="00D06C99"/>
    <w:rsid w:val="00D10460"/>
    <w:rsid w:val="00D13FC6"/>
    <w:rsid w:val="00D144E3"/>
    <w:rsid w:val="00D168B0"/>
    <w:rsid w:val="00D213B7"/>
    <w:rsid w:val="00D22AF3"/>
    <w:rsid w:val="00D240DB"/>
    <w:rsid w:val="00D25967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46DF"/>
    <w:rsid w:val="00D50029"/>
    <w:rsid w:val="00D541E8"/>
    <w:rsid w:val="00D559E6"/>
    <w:rsid w:val="00D56E66"/>
    <w:rsid w:val="00D57208"/>
    <w:rsid w:val="00D577AA"/>
    <w:rsid w:val="00D57DF3"/>
    <w:rsid w:val="00D57F65"/>
    <w:rsid w:val="00D656CB"/>
    <w:rsid w:val="00D66172"/>
    <w:rsid w:val="00D6658B"/>
    <w:rsid w:val="00D71E63"/>
    <w:rsid w:val="00D80B77"/>
    <w:rsid w:val="00D81061"/>
    <w:rsid w:val="00D81660"/>
    <w:rsid w:val="00D81866"/>
    <w:rsid w:val="00D84C94"/>
    <w:rsid w:val="00D86BF0"/>
    <w:rsid w:val="00D87DC1"/>
    <w:rsid w:val="00D95186"/>
    <w:rsid w:val="00D960E3"/>
    <w:rsid w:val="00DA01D8"/>
    <w:rsid w:val="00DA070E"/>
    <w:rsid w:val="00DA3BD9"/>
    <w:rsid w:val="00DA3CE5"/>
    <w:rsid w:val="00DA4279"/>
    <w:rsid w:val="00DB2E03"/>
    <w:rsid w:val="00DB5322"/>
    <w:rsid w:val="00DB630B"/>
    <w:rsid w:val="00DB6C55"/>
    <w:rsid w:val="00DB73B4"/>
    <w:rsid w:val="00DB7F65"/>
    <w:rsid w:val="00DC3899"/>
    <w:rsid w:val="00DC3BC8"/>
    <w:rsid w:val="00DD0FB0"/>
    <w:rsid w:val="00DD100F"/>
    <w:rsid w:val="00DD1B3F"/>
    <w:rsid w:val="00DD5923"/>
    <w:rsid w:val="00DD599F"/>
    <w:rsid w:val="00DE4BB3"/>
    <w:rsid w:val="00DE6ABB"/>
    <w:rsid w:val="00DE75E2"/>
    <w:rsid w:val="00DF19B1"/>
    <w:rsid w:val="00DF4120"/>
    <w:rsid w:val="00DF56CB"/>
    <w:rsid w:val="00E01030"/>
    <w:rsid w:val="00E10836"/>
    <w:rsid w:val="00E11343"/>
    <w:rsid w:val="00E13412"/>
    <w:rsid w:val="00E15796"/>
    <w:rsid w:val="00E16719"/>
    <w:rsid w:val="00E20EC3"/>
    <w:rsid w:val="00E23336"/>
    <w:rsid w:val="00E3272D"/>
    <w:rsid w:val="00E335BB"/>
    <w:rsid w:val="00E36930"/>
    <w:rsid w:val="00E42B88"/>
    <w:rsid w:val="00E44E3D"/>
    <w:rsid w:val="00E46A8F"/>
    <w:rsid w:val="00E46FD4"/>
    <w:rsid w:val="00E51F1E"/>
    <w:rsid w:val="00E577A9"/>
    <w:rsid w:val="00E67ECB"/>
    <w:rsid w:val="00E73497"/>
    <w:rsid w:val="00E7456B"/>
    <w:rsid w:val="00E750DB"/>
    <w:rsid w:val="00E76607"/>
    <w:rsid w:val="00E80E85"/>
    <w:rsid w:val="00E85E11"/>
    <w:rsid w:val="00E870DD"/>
    <w:rsid w:val="00E9054A"/>
    <w:rsid w:val="00E91E57"/>
    <w:rsid w:val="00EA0C1C"/>
    <w:rsid w:val="00EA51C0"/>
    <w:rsid w:val="00EA7329"/>
    <w:rsid w:val="00EB5CD6"/>
    <w:rsid w:val="00EB61B0"/>
    <w:rsid w:val="00EC6205"/>
    <w:rsid w:val="00EC65F0"/>
    <w:rsid w:val="00ED153D"/>
    <w:rsid w:val="00EE4337"/>
    <w:rsid w:val="00EE57B2"/>
    <w:rsid w:val="00EE5F35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6C3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53D"/>
    <w:rsid w:val="00F90780"/>
    <w:rsid w:val="00F90BA8"/>
    <w:rsid w:val="00F91828"/>
    <w:rsid w:val="00F96916"/>
    <w:rsid w:val="00F97D41"/>
    <w:rsid w:val="00FA0242"/>
    <w:rsid w:val="00FA02EF"/>
    <w:rsid w:val="00FA0665"/>
    <w:rsid w:val="00FA1F15"/>
    <w:rsid w:val="00FA314D"/>
    <w:rsid w:val="00FA6355"/>
    <w:rsid w:val="00FA6451"/>
    <w:rsid w:val="00FA7EB2"/>
    <w:rsid w:val="00FB2A8C"/>
    <w:rsid w:val="00FB3D77"/>
    <w:rsid w:val="00FC1281"/>
    <w:rsid w:val="00FC2095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e.boi.org.il/he/BankingSupervision/Data/Pages/Tables.aspx?ChapterId=1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s://e.boi.org.il/he/DataAndStatistics/Pages/MainPage.aspx?Level=4&amp;Sid=53&amp;SubjectType=2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customXml" Target="../customXml/item2.xml"/><Relationship Id="rId10" Type="http://schemas.openxmlformats.org/officeDocument/2006/relationships/image" Target="media/image2.emf"/><Relationship Id="rId19" Type="http://schemas.openxmlformats.org/officeDocument/2006/relationships/hyperlink" Target="https://e.boi.org.il/he/BankingSupervision/Data/Pages/Tables.aspx?ChapterId=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.boi.org.il/he/DataAndStatistics/Pages/MainPage.aspx?Level=4&amp;Sid=53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0D1150A-2543-46F6-891E-1843B3695D15}"/>
</file>

<file path=customXml/itemProps2.xml><?xml version="1.0" encoding="utf-8"?>
<ds:datastoreItem xmlns:ds="http://schemas.openxmlformats.org/officeDocument/2006/customXml" ds:itemID="{5159E46F-4D02-4225-8D40-A828E691A8A8}"/>
</file>

<file path=customXml/itemProps3.xml><?xml version="1.0" encoding="utf-8"?>
<ds:datastoreItem xmlns:ds="http://schemas.openxmlformats.org/officeDocument/2006/customXml" ds:itemID="{7EA2CC0D-E608-479F-AF55-D6E0397290CF}"/>
</file>

<file path=customXml/itemProps4.xml><?xml version="1.0" encoding="utf-8"?>
<ds:datastoreItem xmlns:ds="http://schemas.openxmlformats.org/officeDocument/2006/customXml" ds:itemID="{1D4A4A67-9AB0-41AF-B1D8-576E692CB3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469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2017-09-19T09:21:00Z</dcterms:created>
  <dcterms:modified xsi:type="dcterms:W3CDTF">2017-09-19T09:21:00Z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