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4140"/>
        <w:gridCol w:w="4169"/>
      </w:tblGrid>
      <w:tr w:rsidR="003D307F" w:rsidRPr="00A97D2E" w:rsidTr="003D70D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D307F" w:rsidRPr="00A97D2E" w:rsidRDefault="003D307F" w:rsidP="003D70D3">
            <w:pPr>
              <w:tabs>
                <w:tab w:val="left" w:pos="567"/>
                <w:tab w:val="left" w:pos="1134"/>
                <w:tab w:val="left" w:pos="1814"/>
                <w:tab w:val="left" w:pos="2665"/>
              </w:tabs>
              <w:overflowPunct/>
              <w:autoSpaceDE/>
              <w:autoSpaceDN/>
              <w:adjustRightInd/>
              <w:spacing w:before="240" w:line="360" w:lineRule="auto"/>
              <w:textAlignment w:val="auto"/>
              <w:rPr>
                <w:rFonts w:ascii="David" w:hAnsi="David" w:cs="David"/>
                <w:sz w:val="24"/>
                <w:szCs w:val="24"/>
                <w:rtl/>
              </w:rPr>
            </w:pPr>
            <w:bookmarkStart w:id="0" w:name="D001"/>
            <w:r w:rsidRPr="00A97D2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פיקוח על הבנקים</w:t>
            </w:r>
          </w:p>
          <w:p w:rsidR="003D307F" w:rsidRPr="00A97D2E" w:rsidRDefault="003D307F" w:rsidP="003D70D3">
            <w:pPr>
              <w:tabs>
                <w:tab w:val="left" w:pos="567"/>
                <w:tab w:val="left" w:pos="1134"/>
                <w:tab w:val="left" w:pos="1814"/>
                <w:tab w:val="left" w:pos="2665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David" w:hAnsi="David" w:cs="David"/>
                <w:sz w:val="24"/>
                <w:szCs w:val="24"/>
                <w:rtl/>
              </w:rPr>
            </w:pPr>
            <w:r w:rsidRPr="00A97D2E">
              <w:rPr>
                <w:rFonts w:ascii="David" w:hAnsi="David" w:cs="David"/>
                <w:sz w:val="24"/>
                <w:szCs w:val="24"/>
                <w:rtl/>
              </w:rPr>
              <w:t>לשכת המפקח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3D307F" w:rsidRPr="004C6DB8" w:rsidRDefault="003D307F" w:rsidP="00420B92">
            <w:pPr>
              <w:tabs>
                <w:tab w:val="left" w:pos="567"/>
                <w:tab w:val="left" w:pos="1134"/>
                <w:tab w:val="left" w:pos="1814"/>
                <w:tab w:val="left" w:pos="2665"/>
              </w:tabs>
              <w:overflowPunct/>
              <w:autoSpaceDE/>
              <w:autoSpaceDN/>
              <w:bidi w:val="0"/>
              <w:adjustRightInd/>
              <w:spacing w:before="240" w:line="360" w:lineRule="auto"/>
              <w:textAlignment w:val="auto"/>
              <w:rPr>
                <w:rFonts w:ascii="David" w:hAnsi="David" w:cs="David"/>
                <w:sz w:val="24"/>
                <w:szCs w:val="24"/>
                <w:highlight w:val="yellow"/>
              </w:rPr>
            </w:pPr>
            <w:r w:rsidRPr="004C6DB8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 xml:space="preserve">ירושלים, </w:t>
            </w:r>
            <w:r>
              <w:rPr>
                <w:rFonts w:ascii="David" w:hAnsi="David" w:cs="David" w:hint="eastAsia"/>
                <w:sz w:val="24"/>
                <w:szCs w:val="24"/>
                <w:highlight w:val="yellow"/>
                <w:rtl/>
              </w:rPr>
              <w:t>‏‏</w:t>
            </w:r>
            <w:r w:rsidR="00420B92">
              <w:rPr>
                <w:rFonts w:ascii="David" w:hAnsi="David" w:cs="David" w:hint="eastAsia"/>
                <w:sz w:val="24"/>
                <w:szCs w:val="24"/>
                <w:highlight w:val="yellow"/>
                <w:rtl/>
              </w:rPr>
              <w:t>‏כ</w:t>
            </w:r>
            <w:r w:rsidR="00420B92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"ה שבט תשפ"ד</w:t>
            </w:r>
          </w:p>
          <w:p w:rsidR="003D307F" w:rsidRPr="00A323B7" w:rsidRDefault="00420B92" w:rsidP="00A323B7">
            <w:pPr>
              <w:spacing w:after="120"/>
              <w:jc w:val="right"/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</w:pPr>
            <w:bookmarkStart w:id="1" w:name="D003"/>
            <w:r w:rsidRPr="00F341C5">
              <w:rPr>
                <w:rFonts w:ascii="David" w:hAnsi="David" w:cs="David" w:hint="eastAsia"/>
                <w:sz w:val="24"/>
                <w:szCs w:val="24"/>
                <w:highlight w:val="yellow"/>
                <w:rtl/>
              </w:rPr>
              <w:t>‏</w:t>
            </w:r>
            <w:r w:rsidRPr="00F341C5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04 פברואר 2024</w:t>
            </w:r>
            <w:bookmarkStart w:id="2" w:name="_GoBack"/>
            <w:bookmarkEnd w:id="1"/>
            <w:bookmarkEnd w:id="2"/>
          </w:p>
        </w:tc>
      </w:tr>
      <w:bookmarkEnd w:id="0"/>
    </w:tbl>
    <w:p w:rsidR="003D307F" w:rsidRDefault="003D307F" w:rsidP="003D307F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3D307F" w:rsidRPr="00A97D2E" w:rsidRDefault="003D307F" w:rsidP="003D307F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3D307F" w:rsidRPr="00430F6E" w:rsidRDefault="003D307F" w:rsidP="003D307F">
      <w:pPr>
        <w:pStyle w:val="Heading20"/>
        <w:keepNext/>
        <w:keepLines/>
        <w:spacing w:line="360" w:lineRule="auto"/>
        <w:ind w:left="425" w:hanging="425"/>
        <w:jc w:val="center"/>
        <w:rPr>
          <w:sz w:val="28"/>
          <w:szCs w:val="28"/>
          <w:rtl/>
        </w:rPr>
      </w:pPr>
      <w:bookmarkStart w:id="3" w:name="bookmark6"/>
      <w:bookmarkStart w:id="4" w:name="bookmark7"/>
      <w:bookmarkStart w:id="5" w:name="bookmark8"/>
      <w:r w:rsidRPr="00430F6E">
        <w:rPr>
          <w:color w:val="000000"/>
          <w:sz w:val="28"/>
          <w:szCs w:val="28"/>
          <w:rtl/>
        </w:rPr>
        <w:t xml:space="preserve">החלטה בדבר הטלת עיצום כספי </w:t>
      </w:r>
      <w:bookmarkEnd w:id="3"/>
      <w:bookmarkEnd w:id="4"/>
      <w:bookmarkEnd w:id="5"/>
      <w:r w:rsidRPr="00430F6E">
        <w:rPr>
          <w:rFonts w:hint="eastAsia"/>
          <w:color w:val="000000"/>
          <w:sz w:val="28"/>
          <w:szCs w:val="28"/>
          <w:rtl/>
        </w:rPr>
        <w:t>בגין</w:t>
      </w:r>
      <w:r w:rsidRPr="00430F6E">
        <w:rPr>
          <w:color w:val="000000"/>
          <w:sz w:val="28"/>
          <w:szCs w:val="28"/>
          <w:rtl/>
        </w:rPr>
        <w:t xml:space="preserve"> הפרת </w:t>
      </w:r>
      <w:r>
        <w:rPr>
          <w:rFonts w:hint="cs"/>
          <w:color w:val="000000"/>
          <w:sz w:val="28"/>
          <w:szCs w:val="28"/>
          <w:rtl/>
        </w:rPr>
        <w:t>הוראת ניהול בנקאי תקין מס' 401</w:t>
      </w:r>
    </w:p>
    <w:p w:rsidR="003D307F" w:rsidRPr="006C2FA5" w:rsidRDefault="003D307F" w:rsidP="003D307F">
      <w:pPr>
        <w:spacing w:line="360" w:lineRule="auto"/>
        <w:jc w:val="both"/>
        <w:rPr>
          <w:rFonts w:cs="David"/>
          <w:sz w:val="24"/>
          <w:szCs w:val="24"/>
          <w:lang w:eastAsia="he-IL"/>
        </w:rPr>
      </w:pPr>
      <w:bookmarkStart w:id="6" w:name="bookmark10"/>
      <w:bookmarkStart w:id="7" w:name="bookmark11"/>
      <w:bookmarkStart w:id="8" w:name="bookmark9"/>
      <w:r>
        <w:rPr>
          <w:rFonts w:ascii="David" w:eastAsia="Calibri" w:hAnsi="David" w:cs="David" w:hint="cs"/>
          <w:sz w:val="24"/>
          <w:szCs w:val="24"/>
          <w:rtl/>
        </w:rPr>
        <w:t>בהתאם ל</w:t>
      </w:r>
      <w:r w:rsidRPr="002027C9">
        <w:rPr>
          <w:rFonts w:ascii="David" w:eastAsia="Calibri" w:hAnsi="David" w:cs="David"/>
          <w:sz w:val="24"/>
          <w:szCs w:val="24"/>
          <w:rtl/>
        </w:rPr>
        <w:t xml:space="preserve">סמכותי </w:t>
      </w:r>
      <w:r w:rsidRPr="00A71A8A">
        <w:rPr>
          <w:rFonts w:cs="David" w:hint="cs"/>
          <w:snapToGrid w:val="0"/>
          <w:sz w:val="24"/>
          <w:szCs w:val="24"/>
          <w:rtl/>
        </w:rPr>
        <w:t xml:space="preserve">לפי סעיף </w:t>
      </w:r>
      <w:r w:rsidRPr="00A71A8A">
        <w:rPr>
          <w:rFonts w:ascii="David" w:hAnsi="David" w:cs="David" w:hint="cs"/>
          <w:snapToGrid w:val="0"/>
          <w:kern w:val="28"/>
          <w:sz w:val="24"/>
          <w:szCs w:val="24"/>
          <w:rtl/>
        </w:rPr>
        <w:t>14ח(א)(1) לפקודת הבנקאות, 1941</w:t>
      </w:r>
      <w:r w:rsidRPr="00A71A8A">
        <w:rPr>
          <w:rFonts w:cs="David" w:hint="cs"/>
          <w:snapToGrid w:val="0"/>
          <w:sz w:val="24"/>
          <w:szCs w:val="24"/>
          <w:rtl/>
        </w:rPr>
        <w:t xml:space="preserve"> (להלן: </w:t>
      </w:r>
      <w:r>
        <w:rPr>
          <w:rFonts w:cs="David" w:hint="cs"/>
          <w:snapToGrid w:val="0"/>
          <w:sz w:val="24"/>
          <w:szCs w:val="24"/>
          <w:rtl/>
        </w:rPr>
        <w:t>"פקודת הבנקאות"</w:t>
      </w:r>
      <w:r w:rsidRPr="00A71A8A">
        <w:rPr>
          <w:rFonts w:cs="David" w:hint="cs"/>
          <w:snapToGrid w:val="0"/>
          <w:sz w:val="24"/>
          <w:szCs w:val="24"/>
          <w:rtl/>
        </w:rPr>
        <w:t xml:space="preserve">) </w:t>
      </w:r>
      <w:r>
        <w:rPr>
          <w:rFonts w:cs="David" w:hint="cs"/>
          <w:sz w:val="24"/>
          <w:szCs w:val="24"/>
          <w:rtl/>
          <w:lang w:eastAsia="he-IL"/>
        </w:rPr>
        <w:t xml:space="preserve">ולאחר ששקלתי את טענות בנק הפועלים בע"מ </w:t>
      </w:r>
      <w:r w:rsidRPr="006C2FA5">
        <w:rPr>
          <w:rFonts w:cs="David" w:hint="cs"/>
          <w:sz w:val="24"/>
          <w:szCs w:val="24"/>
          <w:rtl/>
          <w:lang w:eastAsia="he-IL"/>
        </w:rPr>
        <w:t xml:space="preserve">(להלן: </w:t>
      </w:r>
      <w:r w:rsidRPr="001B7848">
        <w:rPr>
          <w:rFonts w:cs="David"/>
          <w:sz w:val="24"/>
          <w:szCs w:val="24"/>
          <w:rtl/>
          <w:lang w:eastAsia="he-IL"/>
        </w:rPr>
        <w:t>"</w:t>
      </w:r>
      <w:r w:rsidRPr="001B7848">
        <w:rPr>
          <w:rFonts w:cs="David" w:hint="eastAsia"/>
          <w:sz w:val="24"/>
          <w:szCs w:val="24"/>
          <w:rtl/>
          <w:lang w:eastAsia="he-IL"/>
        </w:rPr>
        <w:t>ה</w:t>
      </w:r>
      <w:r>
        <w:rPr>
          <w:rFonts w:cs="David" w:hint="cs"/>
          <w:sz w:val="24"/>
          <w:szCs w:val="24"/>
          <w:rtl/>
          <w:lang w:eastAsia="he-IL"/>
        </w:rPr>
        <w:t>בנק"</w:t>
      </w:r>
      <w:r w:rsidRPr="006C2FA5">
        <w:rPr>
          <w:rFonts w:cs="David" w:hint="cs"/>
          <w:sz w:val="24"/>
          <w:szCs w:val="24"/>
          <w:rtl/>
          <w:lang w:eastAsia="he-IL"/>
        </w:rPr>
        <w:t xml:space="preserve">) </w:t>
      </w:r>
      <w:r>
        <w:rPr>
          <w:rFonts w:ascii="David" w:eastAsia="Calibri" w:hAnsi="David" w:cs="David" w:hint="cs"/>
          <w:sz w:val="24"/>
          <w:szCs w:val="24"/>
          <w:rtl/>
        </w:rPr>
        <w:t>בכתב ובעל פה,</w:t>
      </w:r>
      <w:r w:rsidRPr="006C2FA5">
        <w:rPr>
          <w:rFonts w:cs="David" w:hint="cs"/>
          <w:sz w:val="24"/>
          <w:szCs w:val="24"/>
          <w:rtl/>
          <w:lang w:eastAsia="he-IL"/>
        </w:rPr>
        <w:t xml:space="preserve"> הנני מטיל על ה</w:t>
      </w:r>
      <w:r>
        <w:rPr>
          <w:rFonts w:cs="David" w:hint="cs"/>
          <w:sz w:val="24"/>
          <w:szCs w:val="24"/>
          <w:rtl/>
          <w:lang w:eastAsia="he-IL"/>
        </w:rPr>
        <w:t>בנק</w:t>
      </w:r>
      <w:r w:rsidRPr="006C2FA5">
        <w:rPr>
          <w:rFonts w:cs="David" w:hint="cs"/>
          <w:sz w:val="24"/>
          <w:szCs w:val="24"/>
          <w:rtl/>
          <w:lang w:eastAsia="he-IL"/>
        </w:rPr>
        <w:t xml:space="preserve"> עיצום כספי בסך </w:t>
      </w:r>
      <w:r>
        <w:rPr>
          <w:rFonts w:cs="David" w:hint="cs"/>
          <w:sz w:val="24"/>
          <w:szCs w:val="24"/>
          <w:rtl/>
          <w:lang w:eastAsia="he-IL"/>
        </w:rPr>
        <w:t>1,000,000</w:t>
      </w:r>
      <w:r w:rsidRPr="006C2FA5">
        <w:rPr>
          <w:rFonts w:cs="David" w:hint="cs"/>
          <w:sz w:val="24"/>
          <w:szCs w:val="24"/>
          <w:rtl/>
          <w:lang w:eastAsia="he-IL"/>
        </w:rPr>
        <w:t xml:space="preserve"> </w:t>
      </w:r>
      <w:r>
        <w:rPr>
          <w:rFonts w:cs="David" w:hint="cs"/>
          <w:sz w:val="24"/>
          <w:szCs w:val="24"/>
          <w:rtl/>
          <w:lang w:eastAsia="he-IL"/>
        </w:rPr>
        <w:t>ש"ח.</w:t>
      </w:r>
    </w:p>
    <w:p w:rsidR="003D307F" w:rsidRDefault="003D307F" w:rsidP="003D307F">
      <w:pPr>
        <w:pStyle w:val="Heading20"/>
        <w:keepNext/>
        <w:keepLines/>
        <w:spacing w:after="240" w:line="360" w:lineRule="auto"/>
        <w:jc w:val="both"/>
        <w:rPr>
          <w:color w:val="000000"/>
          <w:sz w:val="24"/>
          <w:szCs w:val="24"/>
          <w:u w:val="none"/>
          <w:rtl/>
        </w:rPr>
      </w:pPr>
    </w:p>
    <w:p w:rsidR="003D307F" w:rsidRPr="00A97D2E" w:rsidRDefault="003D307F" w:rsidP="003D307F">
      <w:pPr>
        <w:pStyle w:val="Heading20"/>
        <w:keepNext/>
        <w:keepLines/>
        <w:spacing w:after="240" w:line="360" w:lineRule="auto"/>
        <w:jc w:val="both"/>
        <w:rPr>
          <w:sz w:val="24"/>
          <w:szCs w:val="24"/>
          <w:rtl/>
        </w:rPr>
      </w:pPr>
      <w:r w:rsidRPr="00A97D2E">
        <w:rPr>
          <w:color w:val="000000"/>
          <w:sz w:val="24"/>
          <w:szCs w:val="24"/>
          <w:u w:val="none"/>
          <w:rtl/>
        </w:rPr>
        <w:t>תיאור הה</w:t>
      </w:r>
      <w:bookmarkEnd w:id="6"/>
      <w:bookmarkEnd w:id="7"/>
      <w:bookmarkEnd w:id="8"/>
      <w:r>
        <w:rPr>
          <w:rFonts w:hint="cs"/>
          <w:color w:val="000000"/>
          <w:sz w:val="24"/>
          <w:szCs w:val="24"/>
          <w:u w:val="none"/>
          <w:rtl/>
        </w:rPr>
        <w:t>פרה</w:t>
      </w:r>
    </w:p>
    <w:p w:rsidR="003D307F" w:rsidRDefault="003D307F" w:rsidP="003D307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cs="David"/>
          <w:sz w:val="24"/>
          <w:szCs w:val="24"/>
          <w:lang w:eastAsia="he-IL"/>
        </w:rPr>
      </w:pPr>
      <w:bookmarkStart w:id="9" w:name="bookmark12"/>
      <w:bookmarkStart w:id="10" w:name="bookmark13"/>
      <w:bookmarkEnd w:id="9"/>
      <w:bookmarkEnd w:id="10"/>
      <w:r w:rsidRPr="00013450">
        <w:rPr>
          <w:rFonts w:cs="David" w:hint="cs"/>
          <w:sz w:val="24"/>
          <w:szCs w:val="24"/>
          <w:rtl/>
          <w:lang w:eastAsia="he-IL"/>
        </w:rPr>
        <w:t>ביום 20 באוגוסט 2023, נמסרה</w:t>
      </w:r>
      <w:r>
        <w:rPr>
          <w:rFonts w:cs="David" w:hint="cs"/>
          <w:sz w:val="24"/>
          <w:szCs w:val="24"/>
          <w:rtl/>
          <w:lang w:eastAsia="he-IL"/>
        </w:rPr>
        <w:t xml:space="preserve"> לבנק</w:t>
      </w:r>
      <w:r w:rsidRPr="006C2FA5">
        <w:rPr>
          <w:rFonts w:cs="David" w:hint="cs"/>
          <w:sz w:val="24"/>
          <w:szCs w:val="24"/>
          <w:rtl/>
          <w:lang w:eastAsia="he-IL"/>
        </w:rPr>
        <w:t xml:space="preserve"> הודעה על כוונה להטיל עיצום כספי בסך כולל של </w:t>
      </w:r>
      <w:r>
        <w:rPr>
          <w:rFonts w:cs="David" w:hint="cs"/>
          <w:sz w:val="24"/>
          <w:szCs w:val="24"/>
          <w:rtl/>
          <w:lang w:eastAsia="he-IL"/>
        </w:rPr>
        <w:t>1,000,000</w:t>
      </w:r>
      <w:r w:rsidRPr="006C2FA5">
        <w:rPr>
          <w:rFonts w:cs="David" w:hint="cs"/>
          <w:sz w:val="24"/>
          <w:szCs w:val="24"/>
          <w:rtl/>
          <w:lang w:eastAsia="he-IL"/>
        </w:rPr>
        <w:t xml:space="preserve"> </w:t>
      </w:r>
      <w:r>
        <w:rPr>
          <w:rFonts w:cs="David" w:hint="cs"/>
          <w:sz w:val="24"/>
          <w:szCs w:val="24"/>
          <w:rtl/>
          <w:lang w:eastAsia="he-IL"/>
        </w:rPr>
        <w:t>ש"ח</w:t>
      </w:r>
      <w:r w:rsidRPr="006C2FA5">
        <w:rPr>
          <w:rFonts w:cs="David" w:hint="cs"/>
          <w:sz w:val="24"/>
          <w:szCs w:val="24"/>
          <w:rtl/>
          <w:lang w:eastAsia="he-IL"/>
        </w:rPr>
        <w:t>, וניתנה ל</w:t>
      </w:r>
      <w:r>
        <w:rPr>
          <w:rFonts w:cs="David" w:hint="cs"/>
          <w:sz w:val="24"/>
          <w:szCs w:val="24"/>
          <w:rtl/>
          <w:lang w:eastAsia="he-IL"/>
        </w:rPr>
        <w:t xml:space="preserve">בנק </w:t>
      </w:r>
      <w:r w:rsidRPr="006C2FA5">
        <w:rPr>
          <w:rFonts w:cs="David" w:hint="cs"/>
          <w:sz w:val="24"/>
          <w:szCs w:val="24"/>
          <w:rtl/>
          <w:lang w:eastAsia="he-IL"/>
        </w:rPr>
        <w:t>ה</w:t>
      </w:r>
      <w:r>
        <w:rPr>
          <w:rFonts w:cs="David" w:hint="cs"/>
          <w:sz w:val="24"/>
          <w:szCs w:val="24"/>
          <w:rtl/>
          <w:lang w:eastAsia="he-IL"/>
        </w:rPr>
        <w:t>אפשרו</w:t>
      </w:r>
      <w:r w:rsidRPr="006C2FA5">
        <w:rPr>
          <w:rFonts w:cs="David" w:hint="cs"/>
          <w:sz w:val="24"/>
          <w:szCs w:val="24"/>
          <w:rtl/>
          <w:lang w:eastAsia="he-IL"/>
        </w:rPr>
        <w:t>ת להגיש את טענותי</w:t>
      </w:r>
      <w:r>
        <w:rPr>
          <w:rFonts w:cs="David" w:hint="cs"/>
          <w:sz w:val="24"/>
          <w:szCs w:val="24"/>
          <w:rtl/>
          <w:lang w:eastAsia="he-IL"/>
        </w:rPr>
        <w:t xml:space="preserve">ו </w:t>
      </w:r>
      <w:r w:rsidRPr="006C2FA5">
        <w:rPr>
          <w:rFonts w:cs="David" w:hint="cs"/>
          <w:sz w:val="24"/>
          <w:szCs w:val="24"/>
          <w:rtl/>
          <w:lang w:eastAsia="he-IL"/>
        </w:rPr>
        <w:t>באשר לעצם הטלת העיצום הכספי ובאשר לסכומו (להלן</w:t>
      </w:r>
      <w:r w:rsidRPr="006F1943">
        <w:rPr>
          <w:rFonts w:cs="David"/>
          <w:sz w:val="24"/>
          <w:szCs w:val="24"/>
          <w:rtl/>
          <w:lang w:eastAsia="he-IL"/>
        </w:rPr>
        <w:t xml:space="preserve">: </w:t>
      </w:r>
      <w:r w:rsidRPr="001B7848">
        <w:rPr>
          <w:rFonts w:cs="David"/>
          <w:sz w:val="24"/>
          <w:szCs w:val="24"/>
          <w:rtl/>
          <w:lang w:eastAsia="he-IL"/>
        </w:rPr>
        <w:t xml:space="preserve">"הודעת </w:t>
      </w:r>
      <w:r w:rsidRPr="001B7848">
        <w:rPr>
          <w:rFonts w:cs="David" w:hint="eastAsia"/>
          <w:sz w:val="24"/>
          <w:szCs w:val="24"/>
          <w:rtl/>
          <w:lang w:eastAsia="he-IL"/>
        </w:rPr>
        <w:t>כוונה</w:t>
      </w:r>
      <w:r w:rsidRPr="001B7848">
        <w:rPr>
          <w:rFonts w:cs="David"/>
          <w:sz w:val="24"/>
          <w:szCs w:val="24"/>
          <w:rtl/>
          <w:lang w:eastAsia="he-IL"/>
        </w:rPr>
        <w:t>"</w:t>
      </w:r>
      <w:r w:rsidRPr="006F1943">
        <w:rPr>
          <w:rFonts w:cs="David"/>
          <w:sz w:val="24"/>
          <w:szCs w:val="24"/>
          <w:rtl/>
          <w:lang w:eastAsia="he-IL"/>
        </w:rPr>
        <w:t>).</w:t>
      </w:r>
    </w:p>
    <w:p w:rsidR="003D307F" w:rsidRDefault="003D307F" w:rsidP="003D307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napToGrid w:val="0"/>
        </w:rPr>
      </w:pPr>
      <w:bookmarkStart w:id="11" w:name="bookmark14"/>
      <w:bookmarkEnd w:id="11"/>
      <w:r w:rsidRPr="008104DC">
        <w:rPr>
          <w:rFonts w:cs="David" w:hint="eastAsia"/>
          <w:sz w:val="24"/>
          <w:szCs w:val="24"/>
          <w:rtl/>
          <w:lang w:eastAsia="he-IL"/>
        </w:rPr>
        <w:t>כאמור</w:t>
      </w:r>
      <w:r w:rsidRPr="008104DC">
        <w:rPr>
          <w:rFonts w:cs="David"/>
          <w:sz w:val="24"/>
          <w:szCs w:val="24"/>
          <w:rtl/>
          <w:lang w:eastAsia="he-IL"/>
        </w:rPr>
        <w:t xml:space="preserve"> </w:t>
      </w:r>
      <w:r>
        <w:rPr>
          <w:rFonts w:cs="David" w:hint="eastAsia"/>
          <w:sz w:val="24"/>
          <w:szCs w:val="24"/>
          <w:rtl/>
          <w:lang w:eastAsia="he-IL"/>
        </w:rPr>
        <w:t>בהודע</w:t>
      </w:r>
      <w:r>
        <w:rPr>
          <w:rFonts w:cs="David" w:hint="cs"/>
          <w:sz w:val="24"/>
          <w:szCs w:val="24"/>
          <w:rtl/>
          <w:lang w:eastAsia="he-IL"/>
        </w:rPr>
        <w:t>ת הכוונה</w:t>
      </w:r>
      <w:r w:rsidRPr="008104DC">
        <w:rPr>
          <w:rFonts w:cs="David"/>
          <w:sz w:val="24"/>
          <w:szCs w:val="24"/>
          <w:rtl/>
          <w:lang w:eastAsia="he-IL"/>
        </w:rPr>
        <w:t xml:space="preserve">, </w:t>
      </w:r>
      <w:r w:rsidRPr="008104DC">
        <w:rPr>
          <w:rFonts w:cs="David" w:hint="eastAsia"/>
          <w:sz w:val="24"/>
          <w:szCs w:val="24"/>
          <w:rtl/>
          <w:lang w:eastAsia="he-IL"/>
        </w:rPr>
        <w:t>הכוונה</w:t>
      </w:r>
      <w:r>
        <w:rPr>
          <w:rFonts w:cs="David" w:hint="cs"/>
          <w:sz w:val="24"/>
          <w:szCs w:val="24"/>
          <w:rtl/>
          <w:lang w:eastAsia="he-IL"/>
        </w:rPr>
        <w:t xml:space="preserve"> להטיל עיצום כספי היא</w:t>
      </w:r>
      <w:r w:rsidRPr="008104DC">
        <w:rPr>
          <w:rFonts w:cs="David"/>
          <w:sz w:val="24"/>
          <w:szCs w:val="24"/>
          <w:rtl/>
          <w:lang w:eastAsia="he-IL"/>
        </w:rPr>
        <w:t xml:space="preserve"> </w:t>
      </w:r>
      <w:r w:rsidRPr="00A71A8A">
        <w:rPr>
          <w:rFonts w:cs="David" w:hint="cs"/>
          <w:snapToGrid w:val="0"/>
          <w:sz w:val="24"/>
          <w:szCs w:val="24"/>
          <w:rtl/>
        </w:rPr>
        <w:t xml:space="preserve">בשל הפרה של </w:t>
      </w:r>
      <w:r>
        <w:rPr>
          <w:rFonts w:cs="David" w:hint="cs"/>
          <w:snapToGrid w:val="0"/>
          <w:sz w:val="24"/>
          <w:szCs w:val="24"/>
          <w:rtl/>
        </w:rPr>
        <w:t>סעיף 9</w:t>
      </w:r>
      <w:r w:rsidRPr="00A71A8A">
        <w:rPr>
          <w:rFonts w:ascii="David" w:eastAsia="Calibri" w:hAnsi="David" w:cs="David" w:hint="cs"/>
          <w:kern w:val="28"/>
          <w:sz w:val="24"/>
          <w:szCs w:val="24"/>
          <w:rtl/>
        </w:rPr>
        <w:t xml:space="preserve"> להוראת ניהול בנקאי תקין</w:t>
      </w:r>
      <w:r>
        <w:rPr>
          <w:rFonts w:ascii="David" w:eastAsia="Calibri" w:hAnsi="David" w:cs="David" w:hint="cs"/>
          <w:kern w:val="28"/>
          <w:sz w:val="24"/>
          <w:szCs w:val="24"/>
          <w:rtl/>
        </w:rPr>
        <w:t xml:space="preserve"> מס'</w:t>
      </w:r>
      <w:r w:rsidRPr="00A71A8A">
        <w:rPr>
          <w:rFonts w:ascii="David" w:eastAsia="Calibri" w:hAnsi="David" w:cs="David" w:hint="cs"/>
          <w:kern w:val="28"/>
          <w:sz w:val="24"/>
          <w:szCs w:val="24"/>
          <w:rtl/>
        </w:rPr>
        <w:t xml:space="preserve"> </w:t>
      </w:r>
      <w:r>
        <w:rPr>
          <w:rFonts w:ascii="David" w:eastAsia="Calibri" w:hAnsi="David" w:cs="David" w:hint="cs"/>
          <w:kern w:val="28"/>
          <w:sz w:val="24"/>
          <w:szCs w:val="24"/>
          <w:rtl/>
        </w:rPr>
        <w:t xml:space="preserve">401 </w:t>
      </w:r>
      <w:r w:rsidRPr="00A71A8A">
        <w:rPr>
          <w:rFonts w:ascii="David" w:hAnsi="David" w:cs="David"/>
          <w:snapToGrid w:val="0"/>
          <w:sz w:val="24"/>
          <w:szCs w:val="24"/>
          <w:rtl/>
        </w:rPr>
        <w:t xml:space="preserve">שעניינה </w:t>
      </w:r>
      <w:r>
        <w:rPr>
          <w:rFonts w:ascii="David" w:hAnsi="David" w:cs="David" w:hint="cs"/>
          <w:snapToGrid w:val="0"/>
          <w:sz w:val="24"/>
          <w:szCs w:val="24"/>
          <w:rtl/>
        </w:rPr>
        <w:t xml:space="preserve">"ימי פתיחה של משרדי התאגידים הבנקאיים" </w:t>
      </w:r>
      <w:r w:rsidRPr="00A71A8A">
        <w:rPr>
          <w:rFonts w:ascii="David" w:hAnsi="David" w:cs="David"/>
          <w:snapToGrid w:val="0"/>
          <w:sz w:val="24"/>
          <w:szCs w:val="24"/>
          <w:rtl/>
        </w:rPr>
        <w:t>(להלן: ההוראה)</w:t>
      </w:r>
      <w:r w:rsidRPr="00A71A8A">
        <w:rPr>
          <w:rFonts w:cs="David" w:hint="cs"/>
          <w:snapToGrid w:val="0"/>
          <w:sz w:val="24"/>
          <w:szCs w:val="24"/>
          <w:rtl/>
        </w:rPr>
        <w:t>.</w:t>
      </w:r>
      <w:r>
        <w:rPr>
          <w:rFonts w:hint="cs"/>
          <w:snapToGrid w:val="0"/>
        </w:rPr>
        <w:t xml:space="preserve"> </w:t>
      </w:r>
      <w:r w:rsidRPr="00A14275">
        <w:rPr>
          <w:rFonts w:ascii="David" w:hAnsi="David" w:cs="David"/>
          <w:snapToGrid w:val="0"/>
          <w:sz w:val="24"/>
          <w:szCs w:val="24"/>
          <w:rtl/>
        </w:rPr>
        <w:t xml:space="preserve">סעיף 9 </w:t>
      </w:r>
      <w:r w:rsidRPr="00A14275">
        <w:rPr>
          <w:rFonts w:ascii="David" w:hAnsi="David" w:cs="David" w:hint="cs"/>
          <w:snapToGrid w:val="0"/>
          <w:sz w:val="24"/>
          <w:szCs w:val="24"/>
          <w:rtl/>
        </w:rPr>
        <w:t xml:space="preserve">להוראה </w:t>
      </w:r>
      <w:r w:rsidRPr="00A14275">
        <w:rPr>
          <w:rFonts w:ascii="David" w:hAnsi="David" w:cs="David"/>
          <w:snapToGrid w:val="0"/>
          <w:sz w:val="24"/>
          <w:szCs w:val="24"/>
          <w:rtl/>
        </w:rPr>
        <w:t xml:space="preserve">קובע כי </w:t>
      </w:r>
      <w:r w:rsidRPr="00A14275">
        <w:rPr>
          <w:rFonts w:ascii="David" w:hAnsi="David" w:cs="David" w:hint="cs"/>
          <w:snapToGrid w:val="0"/>
          <w:sz w:val="24"/>
          <w:szCs w:val="24"/>
          <w:rtl/>
        </w:rPr>
        <w:t>"</w:t>
      </w:r>
      <w:r w:rsidRPr="00A14275">
        <w:rPr>
          <w:rFonts w:ascii="David" w:hAnsi="David" w:cs="David"/>
          <w:snapToGrid w:val="0"/>
          <w:sz w:val="24"/>
          <w:szCs w:val="24"/>
          <w:rtl/>
        </w:rPr>
        <w:t>תאגיד בנקאי לא ימנע מלקוחות להיכנס לסניף ולקבל בו שירות מקצועי בשעות הפעילות וזאת גם אם לא תיאמו תור מראש</w:t>
      </w:r>
      <w:r w:rsidRPr="00A14275">
        <w:rPr>
          <w:rFonts w:ascii="David" w:hAnsi="David" w:cs="David" w:hint="cs"/>
          <w:snapToGrid w:val="0"/>
          <w:sz w:val="24"/>
          <w:szCs w:val="24"/>
          <w:rtl/>
        </w:rPr>
        <w:t>"</w:t>
      </w:r>
      <w:r w:rsidRPr="00A14275">
        <w:rPr>
          <w:rFonts w:ascii="David" w:hAnsi="David" w:cs="David"/>
          <w:snapToGrid w:val="0"/>
          <w:sz w:val="24"/>
          <w:szCs w:val="24"/>
          <w:rtl/>
        </w:rPr>
        <w:t>.</w:t>
      </w:r>
    </w:p>
    <w:p w:rsidR="003D307F" w:rsidRDefault="003D307F" w:rsidP="00013450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cs="David"/>
          <w:snapToGrid w:val="0"/>
          <w:sz w:val="24"/>
          <w:szCs w:val="24"/>
        </w:rPr>
      </w:pPr>
      <w:r w:rsidRPr="00582E2C">
        <w:rPr>
          <w:rFonts w:ascii="David" w:hAnsi="David" w:cs="David" w:hint="cs"/>
          <w:snapToGrid w:val="0"/>
          <w:sz w:val="24"/>
          <w:szCs w:val="24"/>
          <w:rtl/>
        </w:rPr>
        <w:t>במסגרת בקרה</w:t>
      </w:r>
      <w:r>
        <w:rPr>
          <w:rFonts w:ascii="David" w:hAnsi="David" w:cs="David" w:hint="cs"/>
          <w:snapToGrid w:val="0"/>
          <w:sz w:val="24"/>
          <w:szCs w:val="24"/>
          <w:rtl/>
        </w:rPr>
        <w:t xml:space="preserve"> שערך הפיקוח על הבנקים בדבר יישום סעיף 9 להוראה</w:t>
      </w:r>
      <w:r w:rsidRPr="00582E2C">
        <w:rPr>
          <w:rFonts w:ascii="David" w:hAnsi="David" w:cs="David" w:hint="cs"/>
          <w:snapToGrid w:val="0"/>
          <w:sz w:val="24"/>
          <w:szCs w:val="24"/>
          <w:rtl/>
        </w:rPr>
        <w:t xml:space="preserve">, נערכו </w:t>
      </w:r>
      <w:r w:rsidRPr="00626358">
        <w:rPr>
          <w:rFonts w:ascii="David" w:hAnsi="David" w:cs="David"/>
          <w:snapToGrid w:val="0"/>
          <w:sz w:val="24"/>
          <w:szCs w:val="24"/>
          <w:rtl/>
        </w:rPr>
        <w:t xml:space="preserve">בדיקות סמויות על ידי עובדי הפיקוח בסניפי הבנק, </w:t>
      </w:r>
      <w:r w:rsidRPr="00626358">
        <w:rPr>
          <w:rFonts w:ascii="David" w:hAnsi="David" w:cs="David" w:hint="eastAsia"/>
          <w:snapToGrid w:val="0"/>
          <w:sz w:val="24"/>
          <w:szCs w:val="24"/>
          <w:rtl/>
        </w:rPr>
        <w:t>במהלך</w:t>
      </w:r>
      <w:r w:rsidRPr="00626358">
        <w:rPr>
          <w:rFonts w:ascii="David" w:hAnsi="David" w:cs="David"/>
          <w:snapToGrid w:val="0"/>
          <w:sz w:val="24"/>
          <w:szCs w:val="24"/>
          <w:rtl/>
        </w:rPr>
        <w:t xml:space="preserve"> </w:t>
      </w:r>
      <w:r w:rsidRPr="00626358">
        <w:rPr>
          <w:rFonts w:ascii="David" w:hAnsi="David" w:cs="David" w:hint="eastAsia"/>
          <w:snapToGrid w:val="0"/>
          <w:sz w:val="24"/>
          <w:szCs w:val="24"/>
          <w:rtl/>
        </w:rPr>
        <w:t>חודשים</w:t>
      </w:r>
      <w:r w:rsidRPr="00626358">
        <w:rPr>
          <w:rFonts w:ascii="David" w:hAnsi="David" w:cs="David"/>
          <w:snapToGrid w:val="0"/>
          <w:sz w:val="24"/>
          <w:szCs w:val="24"/>
          <w:rtl/>
        </w:rPr>
        <w:t xml:space="preserve"> </w:t>
      </w:r>
      <w:r w:rsidRPr="00626358">
        <w:rPr>
          <w:rFonts w:ascii="David" w:hAnsi="David" w:cs="David" w:hint="eastAsia"/>
          <w:snapToGrid w:val="0"/>
          <w:sz w:val="24"/>
          <w:szCs w:val="24"/>
          <w:rtl/>
        </w:rPr>
        <w:t>מאי</w:t>
      </w:r>
      <w:r w:rsidRPr="00626358">
        <w:rPr>
          <w:rFonts w:ascii="David" w:hAnsi="David" w:cs="David"/>
          <w:snapToGrid w:val="0"/>
          <w:sz w:val="24"/>
          <w:szCs w:val="24"/>
          <w:rtl/>
        </w:rPr>
        <w:t>-</w:t>
      </w:r>
      <w:r w:rsidRPr="00626358">
        <w:rPr>
          <w:rFonts w:ascii="David" w:hAnsi="David" w:cs="David" w:hint="eastAsia"/>
          <w:snapToGrid w:val="0"/>
          <w:sz w:val="24"/>
          <w:szCs w:val="24"/>
          <w:rtl/>
        </w:rPr>
        <w:t>יוני</w:t>
      </w:r>
      <w:r w:rsidRPr="00626358">
        <w:rPr>
          <w:rFonts w:ascii="David" w:hAnsi="David" w:cs="David"/>
          <w:snapToGrid w:val="0"/>
          <w:sz w:val="24"/>
          <w:szCs w:val="24"/>
          <w:rtl/>
        </w:rPr>
        <w:t xml:space="preserve"> 2023. </w:t>
      </w:r>
      <w:r w:rsidRPr="00582E2C">
        <w:rPr>
          <w:rFonts w:ascii="David" w:eastAsia="Calibri" w:hAnsi="David" w:cs="David" w:hint="cs"/>
          <w:kern w:val="28"/>
          <w:sz w:val="24"/>
          <w:szCs w:val="24"/>
          <w:rtl/>
        </w:rPr>
        <w:t xml:space="preserve">הבקרה העלתה כי </w:t>
      </w:r>
      <w:r w:rsidR="00013450">
        <w:rPr>
          <w:rFonts w:ascii="David" w:eastAsia="Calibri" w:hAnsi="David" w:cs="David" w:hint="cs"/>
          <w:kern w:val="28"/>
          <w:sz w:val="24"/>
          <w:szCs w:val="24"/>
          <w:rtl/>
        </w:rPr>
        <w:t>נמצאו מקרים בהם</w:t>
      </w:r>
      <w:r w:rsidRPr="00582E2C">
        <w:rPr>
          <w:rFonts w:ascii="David" w:eastAsia="Calibri" w:hAnsi="David" w:cs="David" w:hint="cs"/>
          <w:kern w:val="28"/>
          <w:sz w:val="24"/>
          <w:szCs w:val="24"/>
          <w:rtl/>
        </w:rPr>
        <w:t xml:space="preserve"> המבקרים הסמויים אשר לא קבעו תור מראש</w:t>
      </w:r>
      <w:r>
        <w:rPr>
          <w:rFonts w:ascii="David" w:eastAsia="Calibri" w:hAnsi="David" w:cs="David" w:hint="cs"/>
          <w:kern w:val="28"/>
          <w:sz w:val="24"/>
          <w:szCs w:val="24"/>
          <w:rtl/>
        </w:rPr>
        <w:t xml:space="preserve"> -</w:t>
      </w:r>
      <w:r w:rsidRPr="00582E2C">
        <w:rPr>
          <w:rFonts w:ascii="David" w:eastAsia="Calibri" w:hAnsi="David" w:cs="David" w:hint="cs"/>
          <w:kern w:val="28"/>
          <w:sz w:val="24"/>
          <w:szCs w:val="24"/>
          <w:rtl/>
        </w:rPr>
        <w:t xml:space="preserve"> לא הוכנסו לסניפי הבנק, </w:t>
      </w:r>
      <w:r w:rsidRPr="00582E2C">
        <w:rPr>
          <w:rFonts w:cs="David" w:hint="cs"/>
          <w:snapToGrid w:val="0"/>
          <w:sz w:val="24"/>
          <w:szCs w:val="24"/>
          <w:rtl/>
        </w:rPr>
        <w:t xml:space="preserve">זאת </w:t>
      </w:r>
      <w:r w:rsidR="00FB479C">
        <w:rPr>
          <w:rFonts w:ascii="David" w:eastAsia="Calibri" w:hAnsi="David" w:cs="David"/>
          <w:kern w:val="28"/>
          <w:sz w:val="24"/>
          <w:szCs w:val="24"/>
          <w:rtl/>
        </w:rPr>
        <w:t>בניגוד לסעיף 9 להוראה.</w:t>
      </w:r>
    </w:p>
    <w:p w:rsidR="003D307F" w:rsidRPr="00626358" w:rsidRDefault="003D307F" w:rsidP="003D307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cs="David"/>
          <w:snapToGrid w:val="0"/>
          <w:sz w:val="24"/>
          <w:szCs w:val="24"/>
        </w:rPr>
      </w:pPr>
      <w:r>
        <w:rPr>
          <w:rFonts w:cs="David" w:hint="cs"/>
          <w:snapToGrid w:val="0"/>
          <w:sz w:val="24"/>
          <w:szCs w:val="24"/>
          <w:rtl/>
        </w:rPr>
        <w:t>בעקבות ממצאים אלו נמסרה לבנק הודעת הכוונה להטיל עליו עיצום כספי.</w:t>
      </w:r>
    </w:p>
    <w:p w:rsidR="003D307F" w:rsidRDefault="003D307F" w:rsidP="003D307F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cs="David"/>
          <w:b/>
          <w:bCs/>
          <w:sz w:val="24"/>
          <w:szCs w:val="24"/>
          <w:rtl/>
          <w:lang w:eastAsia="he-IL"/>
        </w:rPr>
      </w:pPr>
    </w:p>
    <w:p w:rsidR="003D307F" w:rsidRPr="00A14275" w:rsidRDefault="003D307F" w:rsidP="003D307F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cs="David"/>
          <w:b/>
          <w:bCs/>
          <w:sz w:val="24"/>
          <w:szCs w:val="24"/>
          <w:lang w:eastAsia="he-IL"/>
        </w:rPr>
      </w:pPr>
      <w:r w:rsidRPr="00A14275">
        <w:rPr>
          <w:rFonts w:cs="David" w:hint="cs"/>
          <w:b/>
          <w:bCs/>
          <w:sz w:val="24"/>
          <w:szCs w:val="24"/>
          <w:rtl/>
          <w:lang w:eastAsia="he-IL"/>
        </w:rPr>
        <w:t>טענות הבנק</w:t>
      </w:r>
    </w:p>
    <w:p w:rsidR="003D307F" w:rsidRPr="00FB479C" w:rsidRDefault="003D307F" w:rsidP="00FB479C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8201EB">
        <w:rPr>
          <w:rFonts w:cs="David" w:hint="cs"/>
          <w:sz w:val="24"/>
          <w:szCs w:val="24"/>
          <w:rtl/>
        </w:rPr>
        <w:t>בתגובת הבנק שהובאה במכתביו, טען הבנק טענות שונות וביקש, כי ייבחן האם יש בטענות אלה כדי לבטל את הטלת העיצו</w:t>
      </w:r>
      <w:r>
        <w:rPr>
          <w:rFonts w:cs="David" w:hint="cs"/>
          <w:sz w:val="24"/>
          <w:szCs w:val="24"/>
          <w:rtl/>
        </w:rPr>
        <w:t>מים</w:t>
      </w:r>
      <w:r w:rsidRPr="008201EB">
        <w:rPr>
          <w:rFonts w:cs="David" w:hint="cs"/>
          <w:sz w:val="24"/>
          <w:szCs w:val="24"/>
          <w:rtl/>
        </w:rPr>
        <w:t xml:space="preserve"> הכספי</w:t>
      </w:r>
      <w:r>
        <w:rPr>
          <w:rFonts w:cs="David" w:hint="cs"/>
          <w:sz w:val="24"/>
          <w:szCs w:val="24"/>
          <w:rtl/>
        </w:rPr>
        <w:t>ים או להפחית מהם</w:t>
      </w:r>
      <w:r w:rsidRPr="008201EB">
        <w:rPr>
          <w:rFonts w:cs="David" w:hint="cs"/>
          <w:sz w:val="24"/>
          <w:szCs w:val="24"/>
          <w:rtl/>
        </w:rPr>
        <w:t xml:space="preserve"> בהתאם לכללי ההפחתה. בנוסף, ביום </w:t>
      </w:r>
      <w:r>
        <w:rPr>
          <w:rFonts w:cs="David" w:hint="cs"/>
          <w:sz w:val="24"/>
          <w:szCs w:val="24"/>
          <w:rtl/>
        </w:rPr>
        <w:t>28</w:t>
      </w:r>
      <w:r w:rsidRPr="008201EB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בדצמבר</w:t>
      </w:r>
      <w:r w:rsidRPr="008201EB">
        <w:rPr>
          <w:rFonts w:cs="David" w:hint="cs"/>
          <w:sz w:val="24"/>
          <w:szCs w:val="24"/>
          <w:rtl/>
        </w:rPr>
        <w:t xml:space="preserve"> 2023, התקיימה ישיבת שימוע עם הבנק בה הוא הציג את טענותיו גם בעל פה.</w:t>
      </w:r>
      <w:r>
        <w:rPr>
          <w:rFonts w:cs="David" w:hint="cs"/>
          <w:sz w:val="24"/>
          <w:szCs w:val="24"/>
          <w:rtl/>
        </w:rPr>
        <w:t xml:space="preserve"> </w:t>
      </w:r>
    </w:p>
    <w:p w:rsidR="003D307F" w:rsidRDefault="003D307F" w:rsidP="003D307F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cs="David"/>
          <w:b/>
          <w:bCs/>
          <w:sz w:val="24"/>
          <w:szCs w:val="24"/>
          <w:u w:val="single"/>
          <w:rtl/>
          <w:lang w:eastAsia="he-IL"/>
        </w:rPr>
      </w:pPr>
    </w:p>
    <w:p w:rsidR="00FB479C" w:rsidRDefault="003D307F" w:rsidP="00FB479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cs="David"/>
          <w:b/>
          <w:bCs/>
          <w:sz w:val="24"/>
          <w:szCs w:val="24"/>
          <w:u w:val="single"/>
          <w:rtl/>
          <w:lang w:eastAsia="he-IL"/>
        </w:rPr>
      </w:pPr>
      <w:r w:rsidRPr="005F7331">
        <w:rPr>
          <w:rFonts w:cs="David" w:hint="cs"/>
          <w:b/>
          <w:bCs/>
          <w:sz w:val="24"/>
          <w:szCs w:val="24"/>
          <w:u w:val="single"/>
          <w:rtl/>
          <w:lang w:eastAsia="he-IL"/>
        </w:rPr>
        <w:t>החלטה</w:t>
      </w:r>
    </w:p>
    <w:p w:rsidR="003D307F" w:rsidRPr="00FB479C" w:rsidRDefault="003D307F" w:rsidP="00FB479C">
      <w:pPr>
        <w:pStyle w:val="ab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cs="David"/>
          <w:b/>
          <w:bCs/>
          <w:sz w:val="24"/>
          <w:szCs w:val="24"/>
          <w:u w:val="single"/>
          <w:lang w:eastAsia="he-IL"/>
        </w:rPr>
      </w:pPr>
      <w:r w:rsidRPr="00FB479C">
        <w:rPr>
          <w:rFonts w:cs="David" w:hint="cs"/>
          <w:snapToGrid w:val="0"/>
          <w:sz w:val="24"/>
          <w:szCs w:val="24"/>
          <w:rtl/>
        </w:rPr>
        <w:t xml:space="preserve">הפיקוח על הבנקים רואה חשיבות במתן </w:t>
      </w:r>
      <w:r w:rsidRPr="00FB479C">
        <w:rPr>
          <w:rFonts w:cs="David"/>
          <w:snapToGrid w:val="0"/>
          <w:sz w:val="24"/>
          <w:szCs w:val="24"/>
          <w:rtl/>
        </w:rPr>
        <w:t>שירות מקצועי הולם, זמין, אפקטיבי ואיכותי</w:t>
      </w:r>
      <w:r w:rsidRPr="00FB479C">
        <w:rPr>
          <w:rFonts w:cs="David" w:hint="cs"/>
          <w:snapToGrid w:val="0"/>
          <w:sz w:val="24"/>
          <w:szCs w:val="24"/>
          <w:rtl/>
        </w:rPr>
        <w:t xml:space="preserve"> ללקוחות בכל ערוצי השירות הבנקאיים</w:t>
      </w:r>
      <w:r w:rsidR="00FB479C">
        <w:rPr>
          <w:rFonts w:cs="David" w:hint="cs"/>
          <w:snapToGrid w:val="0"/>
          <w:sz w:val="24"/>
          <w:szCs w:val="24"/>
          <w:rtl/>
        </w:rPr>
        <w:t>.</w:t>
      </w:r>
      <w:r w:rsidRPr="00FB479C">
        <w:rPr>
          <w:rFonts w:cs="David" w:hint="cs"/>
          <w:snapToGrid w:val="0"/>
          <w:sz w:val="24"/>
          <w:szCs w:val="24"/>
          <w:rtl/>
        </w:rPr>
        <w:t xml:space="preserve"> סעיף 9 להוראה התווסף כהוראה מפורשת בשל חשיבות הנושא, ועל רקע פניות ציבור רבות שהגיעו לפיקוח על הבנקים בדבר אופן מתן השירות בסניפי חלק מהתאגידים הבנקאיים. כאמור בדברי ההסבר לתיקון ההוראה</w:t>
      </w:r>
      <w:r w:rsidRPr="00C03EBA">
        <w:rPr>
          <w:rStyle w:val="af"/>
          <w:rFonts w:cs="David"/>
          <w:snapToGrid w:val="0"/>
          <w:sz w:val="24"/>
          <w:szCs w:val="24"/>
          <w:rtl/>
        </w:rPr>
        <w:footnoteReference w:id="1"/>
      </w:r>
      <w:r w:rsidRPr="00FB479C">
        <w:rPr>
          <w:rFonts w:cs="David" w:hint="cs"/>
          <w:snapToGrid w:val="0"/>
          <w:sz w:val="24"/>
          <w:szCs w:val="24"/>
          <w:rtl/>
        </w:rPr>
        <w:t xml:space="preserve"> נדרשו </w:t>
      </w:r>
      <w:r w:rsidRPr="00FB479C">
        <w:rPr>
          <w:rFonts w:cs="David"/>
          <w:snapToGrid w:val="0"/>
          <w:sz w:val="24"/>
          <w:szCs w:val="24"/>
          <w:rtl/>
        </w:rPr>
        <w:t>התאגיד</w:t>
      </w:r>
      <w:r w:rsidRPr="00FB479C">
        <w:rPr>
          <w:rFonts w:cs="David" w:hint="cs"/>
          <w:snapToGrid w:val="0"/>
          <w:sz w:val="24"/>
          <w:szCs w:val="24"/>
          <w:rtl/>
        </w:rPr>
        <w:t>ים</w:t>
      </w:r>
      <w:r w:rsidRPr="00FB479C">
        <w:rPr>
          <w:rFonts w:cs="David"/>
          <w:snapToGrid w:val="0"/>
          <w:sz w:val="24"/>
          <w:szCs w:val="24"/>
          <w:rtl/>
        </w:rPr>
        <w:t xml:space="preserve"> הבנקאי</w:t>
      </w:r>
      <w:r w:rsidRPr="00FB479C">
        <w:rPr>
          <w:rFonts w:cs="David" w:hint="cs"/>
          <w:snapToGrid w:val="0"/>
          <w:sz w:val="24"/>
          <w:szCs w:val="24"/>
          <w:rtl/>
        </w:rPr>
        <w:t>ים</w:t>
      </w:r>
      <w:r w:rsidRPr="00FB479C">
        <w:rPr>
          <w:rFonts w:cs="David"/>
          <w:snapToGrid w:val="0"/>
          <w:sz w:val="24"/>
          <w:szCs w:val="24"/>
          <w:rtl/>
        </w:rPr>
        <w:t xml:space="preserve"> לתת ללקוחותי</w:t>
      </w:r>
      <w:r w:rsidRPr="00FB479C">
        <w:rPr>
          <w:rFonts w:cs="David" w:hint="cs"/>
          <w:snapToGrid w:val="0"/>
          <w:sz w:val="24"/>
          <w:szCs w:val="24"/>
          <w:rtl/>
        </w:rPr>
        <w:t xml:space="preserve">הם </w:t>
      </w:r>
      <w:r w:rsidRPr="00FB479C">
        <w:rPr>
          <w:rFonts w:cs="David"/>
          <w:snapToGrid w:val="0"/>
          <w:sz w:val="24"/>
          <w:szCs w:val="24"/>
          <w:rtl/>
        </w:rPr>
        <w:lastRenderedPageBreak/>
        <w:t>שירות בסניפים במסגרת שעות הפעילות, ולא למנוע כניסה לקבלת שירות בסניפים,</w:t>
      </w:r>
      <w:r w:rsidRPr="00FB479C">
        <w:rPr>
          <w:rFonts w:cs="David" w:hint="cs"/>
          <w:snapToGrid w:val="0"/>
          <w:sz w:val="24"/>
          <w:szCs w:val="24"/>
          <w:rtl/>
        </w:rPr>
        <w:t xml:space="preserve"> </w:t>
      </w:r>
      <w:r w:rsidRPr="00FB479C">
        <w:rPr>
          <w:rFonts w:cs="David"/>
          <w:snapToGrid w:val="0"/>
          <w:sz w:val="24"/>
          <w:szCs w:val="24"/>
          <w:rtl/>
        </w:rPr>
        <w:t>וזאת במטרה למנ</w:t>
      </w:r>
      <w:r w:rsidRPr="00FB479C">
        <w:rPr>
          <w:rFonts w:cs="David" w:hint="cs"/>
          <w:snapToGrid w:val="0"/>
          <w:sz w:val="24"/>
          <w:szCs w:val="24"/>
          <w:rtl/>
        </w:rPr>
        <w:t>ו</w:t>
      </w:r>
      <w:r w:rsidRPr="00FB479C">
        <w:rPr>
          <w:rFonts w:cs="David"/>
          <w:snapToGrid w:val="0"/>
          <w:sz w:val="24"/>
          <w:szCs w:val="24"/>
          <w:rtl/>
        </w:rPr>
        <w:t xml:space="preserve">ע חסמים בקבלת שירות בסניף </w:t>
      </w:r>
      <w:r w:rsidRPr="00FB479C">
        <w:rPr>
          <w:rFonts w:cs="David" w:hint="cs"/>
          <w:snapToGrid w:val="0"/>
          <w:sz w:val="24"/>
          <w:szCs w:val="24"/>
          <w:rtl/>
        </w:rPr>
        <w:t>ו</w:t>
      </w:r>
      <w:r w:rsidRPr="00FB479C">
        <w:rPr>
          <w:rFonts w:cs="David"/>
          <w:snapToGrid w:val="0"/>
          <w:sz w:val="24"/>
          <w:szCs w:val="24"/>
          <w:rtl/>
        </w:rPr>
        <w:t xml:space="preserve">גרימת נזק, הטעיה, קושי או עלויות עודפות כתוצאה מאי מתן השירות בסניף. </w:t>
      </w:r>
    </w:p>
    <w:p w:rsidR="003D307F" w:rsidRPr="003D307F" w:rsidRDefault="003D307F" w:rsidP="003D307F">
      <w:pPr>
        <w:pStyle w:val="ab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cs="David"/>
          <w:snapToGrid w:val="0"/>
          <w:sz w:val="24"/>
          <w:szCs w:val="24"/>
        </w:rPr>
      </w:pPr>
      <w:r w:rsidRPr="003D307F">
        <w:rPr>
          <w:rFonts w:cs="David" w:hint="cs"/>
          <w:snapToGrid w:val="0"/>
          <w:sz w:val="24"/>
          <w:szCs w:val="24"/>
          <w:rtl/>
        </w:rPr>
        <w:t xml:space="preserve">הפיקוח סבור כי מנגנון זימון תורים הינו יעיל ואפקטיבי, וכפי שהובהר בדברי ההסבר להוראה,  </w:t>
      </w:r>
      <w:r w:rsidRPr="003D307F">
        <w:rPr>
          <w:rFonts w:cs="David"/>
          <w:snapToGrid w:val="0"/>
          <w:sz w:val="24"/>
          <w:szCs w:val="24"/>
          <w:rtl/>
        </w:rPr>
        <w:t>אין מניעה שתאגיד בנקאי יפעיל מערכת לזימון תורים, אשר תאפשר ללקוח שהגיע לסניף</w:t>
      </w:r>
      <w:r w:rsidRPr="003D307F">
        <w:rPr>
          <w:rFonts w:cs="David" w:hint="cs"/>
          <w:snapToGrid w:val="0"/>
          <w:sz w:val="24"/>
          <w:szCs w:val="24"/>
          <w:rtl/>
        </w:rPr>
        <w:t xml:space="preserve"> </w:t>
      </w:r>
      <w:r w:rsidRPr="003D307F">
        <w:rPr>
          <w:rFonts w:cs="David"/>
          <w:snapToGrid w:val="0"/>
          <w:sz w:val="24"/>
          <w:szCs w:val="24"/>
          <w:rtl/>
        </w:rPr>
        <w:t>לקבוע תור בסניף, על מנת להשתלב בסדר מתן השירות ללקוחות.</w:t>
      </w:r>
      <w:r w:rsidRPr="003D307F">
        <w:rPr>
          <w:rFonts w:cs="David" w:hint="cs"/>
          <w:snapToGrid w:val="0"/>
          <w:sz w:val="24"/>
          <w:szCs w:val="24"/>
          <w:rtl/>
        </w:rPr>
        <w:t xml:space="preserve"> אולם לצד זאת, יש לאפשר כניסה חופשית ללקוח אשר בחר שלא לעשות שימוש במערכת לזימון תורים.</w:t>
      </w:r>
    </w:p>
    <w:p w:rsidR="003D307F" w:rsidRPr="003D307F" w:rsidRDefault="003D307F" w:rsidP="003D307F">
      <w:pPr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cs="David"/>
          <w:snapToGrid w:val="0"/>
          <w:sz w:val="24"/>
          <w:szCs w:val="24"/>
        </w:rPr>
      </w:pPr>
      <w:r w:rsidRPr="003D307F">
        <w:rPr>
          <w:rFonts w:cs="David" w:hint="cs"/>
          <w:snapToGrid w:val="0"/>
          <w:sz w:val="24"/>
          <w:szCs w:val="24"/>
          <w:rtl/>
        </w:rPr>
        <w:t xml:space="preserve">מהבקרה עלה כי </w:t>
      </w:r>
      <w:r w:rsidRPr="003D307F">
        <w:rPr>
          <w:rFonts w:cs="David"/>
          <w:snapToGrid w:val="0"/>
          <w:sz w:val="24"/>
          <w:szCs w:val="24"/>
          <w:rtl/>
        </w:rPr>
        <w:t xml:space="preserve">ההפרות שנמצאו אינן נקודתיות </w:t>
      </w:r>
      <w:r w:rsidRPr="003D307F">
        <w:rPr>
          <w:rFonts w:cs="David" w:hint="cs"/>
          <w:snapToGrid w:val="0"/>
          <w:sz w:val="24"/>
          <w:szCs w:val="24"/>
          <w:rtl/>
        </w:rPr>
        <w:t>ו</w:t>
      </w:r>
      <w:r w:rsidRPr="003D307F">
        <w:rPr>
          <w:rFonts w:cs="David"/>
          <w:snapToGrid w:val="0"/>
          <w:sz w:val="24"/>
          <w:szCs w:val="24"/>
          <w:rtl/>
        </w:rPr>
        <w:t>מדובר בהפרה מהותית</w:t>
      </w:r>
      <w:r w:rsidRPr="003D307F">
        <w:rPr>
          <w:rFonts w:cs="David" w:hint="cs"/>
          <w:snapToGrid w:val="0"/>
          <w:sz w:val="24"/>
          <w:szCs w:val="24"/>
          <w:rtl/>
        </w:rPr>
        <w:t xml:space="preserve"> וחוזרת.  </w:t>
      </w:r>
    </w:p>
    <w:p w:rsidR="003D307F" w:rsidRPr="003D307F" w:rsidRDefault="003D307F" w:rsidP="003D307F">
      <w:pPr>
        <w:pStyle w:val="ab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David" w:hAnsi="David" w:cs="David"/>
          <w:sz w:val="24"/>
          <w:szCs w:val="24"/>
          <w:rtl/>
          <w:lang w:eastAsia="he-IL"/>
        </w:rPr>
      </w:pPr>
      <w:r w:rsidRPr="003D307F">
        <w:rPr>
          <w:rFonts w:cs="David" w:hint="cs"/>
          <w:sz w:val="24"/>
          <w:szCs w:val="24"/>
          <w:rtl/>
          <w:lang w:eastAsia="he-IL"/>
        </w:rPr>
        <w:t xml:space="preserve">לאור המתואר לעיל, </w:t>
      </w:r>
      <w:r>
        <w:rPr>
          <w:rFonts w:cs="David" w:hint="cs"/>
          <w:sz w:val="24"/>
          <w:szCs w:val="24"/>
          <w:rtl/>
          <w:lang w:eastAsia="he-IL"/>
        </w:rPr>
        <w:t>הוחלט</w:t>
      </w:r>
      <w:r w:rsidRPr="003D307F">
        <w:rPr>
          <w:rFonts w:cs="David" w:hint="cs"/>
          <w:sz w:val="24"/>
          <w:szCs w:val="24"/>
          <w:rtl/>
          <w:lang w:eastAsia="he-IL"/>
        </w:rPr>
        <w:t xml:space="preserve"> </w:t>
      </w:r>
      <w:r w:rsidRPr="003D307F">
        <w:rPr>
          <w:rFonts w:cs="David" w:hint="cs"/>
          <w:snapToGrid w:val="0"/>
          <w:sz w:val="24"/>
          <w:szCs w:val="24"/>
          <w:rtl/>
        </w:rPr>
        <w:t xml:space="preserve">על הטלת עיצום כספי בסך 1,000,000 ש"ח לפי </w:t>
      </w:r>
      <w:r w:rsidRPr="003D307F">
        <w:rPr>
          <w:rFonts w:ascii="David" w:hAnsi="David" w:cs="David" w:hint="cs"/>
          <w:snapToGrid w:val="0"/>
          <w:kern w:val="28"/>
          <w:sz w:val="24"/>
          <w:szCs w:val="24"/>
          <w:rtl/>
        </w:rPr>
        <w:t>14ח(א)(1) לפקודת הבנקאות</w:t>
      </w:r>
      <w:r>
        <w:rPr>
          <w:rFonts w:cs="David" w:hint="cs"/>
          <w:snapToGrid w:val="0"/>
          <w:sz w:val="24"/>
          <w:szCs w:val="24"/>
          <w:rtl/>
        </w:rPr>
        <w:t>.</w:t>
      </w:r>
      <w:r w:rsidRPr="003D307F">
        <w:rPr>
          <w:rFonts w:cs="David" w:hint="cs"/>
          <w:snapToGrid w:val="0"/>
          <w:sz w:val="24"/>
          <w:szCs w:val="24"/>
          <w:rtl/>
        </w:rPr>
        <w:t xml:space="preserve"> </w:t>
      </w:r>
    </w:p>
    <w:p w:rsidR="003D307F" w:rsidRDefault="003D307F" w:rsidP="003D307F">
      <w:pPr>
        <w:rPr>
          <w:rFonts w:cs="David"/>
          <w:sz w:val="24"/>
          <w:szCs w:val="24"/>
          <w:rtl/>
        </w:rPr>
      </w:pPr>
    </w:p>
    <w:p w:rsidR="003D307F" w:rsidRDefault="003D307F" w:rsidP="003D307F">
      <w:pPr>
        <w:rPr>
          <w:rFonts w:cs="David"/>
          <w:sz w:val="24"/>
          <w:szCs w:val="24"/>
          <w:rtl/>
        </w:rPr>
      </w:pPr>
    </w:p>
    <w:p w:rsidR="003D307F" w:rsidRPr="00A23721" w:rsidRDefault="003D307F" w:rsidP="002E3B44">
      <w:pPr>
        <w:tabs>
          <w:tab w:val="left" w:pos="1814"/>
          <w:tab w:val="left" w:pos="2665"/>
        </w:tabs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sz w:val="24"/>
          <w:szCs w:val="24"/>
        </w:rPr>
      </w:pPr>
      <w:r>
        <w:rPr>
          <w:rFonts w:cs="David"/>
          <w:kern w:val="28"/>
          <w:sz w:val="22"/>
          <w:szCs w:val="24"/>
          <w:rtl/>
        </w:rPr>
        <w:tab/>
      </w:r>
      <w:r>
        <w:rPr>
          <w:rFonts w:cs="David"/>
          <w:kern w:val="28"/>
          <w:sz w:val="22"/>
          <w:szCs w:val="24"/>
          <w:rtl/>
        </w:rPr>
        <w:tab/>
      </w:r>
      <w:r>
        <w:rPr>
          <w:rFonts w:cs="David"/>
          <w:kern w:val="28"/>
          <w:sz w:val="22"/>
          <w:szCs w:val="24"/>
          <w:rtl/>
        </w:rPr>
        <w:tab/>
      </w:r>
      <w:r>
        <w:rPr>
          <w:rFonts w:cs="David"/>
          <w:kern w:val="28"/>
          <w:sz w:val="22"/>
          <w:szCs w:val="24"/>
          <w:rtl/>
        </w:rPr>
        <w:tab/>
      </w:r>
      <w:r>
        <w:rPr>
          <w:rFonts w:cs="David"/>
          <w:kern w:val="28"/>
          <w:sz w:val="22"/>
          <w:szCs w:val="24"/>
          <w:rtl/>
        </w:rPr>
        <w:tab/>
      </w:r>
    </w:p>
    <w:p w:rsidR="00BF4C73" w:rsidRDefault="00BF4C73"/>
    <w:sectPr w:rsidR="00BF4C73" w:rsidSect="00776F12">
      <w:headerReference w:type="even" r:id="rId7"/>
      <w:footerReference w:type="default" r:id="rId8"/>
      <w:headerReference w:type="first" r:id="rId9"/>
      <w:footerReference w:type="first" r:id="rId10"/>
      <w:endnotePr>
        <w:numFmt w:val="lowerLetter"/>
      </w:endnotePr>
      <w:pgSz w:w="11909" w:h="16834"/>
      <w:pgMar w:top="1440" w:right="1800" w:bottom="1276" w:left="1350" w:header="720" w:footer="57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7F" w:rsidRDefault="0023717F" w:rsidP="003D307F">
      <w:r>
        <w:separator/>
      </w:r>
    </w:p>
  </w:endnote>
  <w:endnote w:type="continuationSeparator" w:id="0">
    <w:p w:rsidR="0023717F" w:rsidRDefault="0023717F" w:rsidP="003D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AE" w:rsidRPr="00181BAE" w:rsidRDefault="003D307F" w:rsidP="00181BAE">
    <w:pPr>
      <w:pStyle w:val="a3"/>
      <w:framePr w:wrap="around" w:vAnchor="text" w:hAnchor="margin" w:xAlign="center" w:y="1"/>
      <w:rPr>
        <w:rStyle w:val="a7"/>
        <w:rFonts w:ascii="David" w:hAnsi="David" w:cs="David"/>
        <w:sz w:val="24"/>
        <w:szCs w:val="24"/>
        <w:rtl/>
      </w:rPr>
    </w:pPr>
    <w:r w:rsidRPr="00181BAE">
      <w:rPr>
        <w:rStyle w:val="a7"/>
        <w:rFonts w:ascii="David" w:hAnsi="David" w:cs="David"/>
        <w:sz w:val="24"/>
        <w:szCs w:val="24"/>
        <w:rtl/>
      </w:rPr>
      <w:fldChar w:fldCharType="begin"/>
    </w:r>
    <w:r w:rsidRPr="00181BAE">
      <w:rPr>
        <w:rStyle w:val="a7"/>
        <w:rFonts w:ascii="David" w:hAnsi="David" w:cs="David"/>
        <w:sz w:val="24"/>
        <w:szCs w:val="24"/>
      </w:rPr>
      <w:instrText xml:space="preserve">PAGE  </w:instrText>
    </w:r>
    <w:r w:rsidRPr="00181BAE">
      <w:rPr>
        <w:rStyle w:val="a7"/>
        <w:rFonts w:ascii="David" w:hAnsi="David" w:cs="David"/>
        <w:sz w:val="24"/>
        <w:szCs w:val="24"/>
        <w:rtl/>
      </w:rPr>
      <w:fldChar w:fldCharType="separate"/>
    </w:r>
    <w:r w:rsidR="00A323B7">
      <w:rPr>
        <w:rStyle w:val="a7"/>
        <w:rFonts w:ascii="David" w:hAnsi="David" w:cs="David"/>
        <w:noProof/>
        <w:sz w:val="24"/>
        <w:szCs w:val="24"/>
        <w:rtl/>
      </w:rPr>
      <w:t>2</w:t>
    </w:r>
    <w:r w:rsidRPr="00181BAE">
      <w:rPr>
        <w:rStyle w:val="a7"/>
        <w:rFonts w:ascii="David" w:hAnsi="David" w:cs="David"/>
        <w:sz w:val="24"/>
        <w:szCs w:val="24"/>
        <w:rtl/>
      </w:rPr>
      <w:fldChar w:fldCharType="end"/>
    </w:r>
  </w:p>
  <w:p w:rsidR="00EB1B0C" w:rsidRPr="00181BAE" w:rsidRDefault="00A323B7" w:rsidP="00181BAE">
    <w:pPr>
      <w:pStyle w:val="a5"/>
      <w:rPr>
        <w:rFonts w:ascii="David" w:hAnsi="David" w:cs="David"/>
        <w:sz w:val="24"/>
        <w:szCs w:val="24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66" w:rsidRPr="004D4985" w:rsidRDefault="003D307F" w:rsidP="00590B66">
    <w:pPr>
      <w:pStyle w:val="a5"/>
      <w:jc w:val="center"/>
      <w:rPr>
        <w:rFonts w:ascii="David" w:hAnsi="David" w:cs="David"/>
        <w:i/>
        <w:iCs/>
        <w:sz w:val="22"/>
        <w:szCs w:val="22"/>
        <w:rtl/>
      </w:rPr>
    </w:pPr>
    <w:r w:rsidRPr="004D4985">
      <w:rPr>
        <w:rFonts w:ascii="David" w:hAnsi="David" w:cs="David"/>
        <w:sz w:val="22"/>
        <w:szCs w:val="22"/>
        <w:rtl/>
      </w:rPr>
      <w:t>ת"ד 780, ירושלים 91007</w:t>
    </w:r>
    <w:r w:rsidRPr="004D4985">
      <w:rPr>
        <w:rFonts w:ascii="David" w:hAnsi="David" w:cs="David" w:hint="cs"/>
        <w:sz w:val="22"/>
        <w:szCs w:val="22"/>
        <w:rtl/>
      </w:rPr>
      <w:t xml:space="preserve"> | </w:t>
    </w:r>
    <w:r w:rsidRPr="004D4985">
      <w:rPr>
        <w:rFonts w:ascii="David" w:hAnsi="David" w:cs="David"/>
        <w:sz w:val="22"/>
        <w:szCs w:val="22"/>
        <w:rtl/>
      </w:rPr>
      <w:t xml:space="preserve">טל: 02-6552400 </w:t>
    </w:r>
    <w:r w:rsidRPr="004D4985">
      <w:rPr>
        <w:rFonts w:ascii="David" w:hAnsi="David" w:cs="David" w:hint="cs"/>
        <w:sz w:val="22"/>
        <w:szCs w:val="22"/>
        <w:rtl/>
      </w:rPr>
      <w:t xml:space="preserve">| אתר אינטרנט: </w:t>
    </w:r>
    <w:r w:rsidRPr="004D4985">
      <w:rPr>
        <w:rFonts w:ascii="David" w:hAnsi="David" w:cs="David"/>
        <w:sz w:val="22"/>
        <w:szCs w:val="22"/>
      </w:rPr>
      <w:t>www.boi.org.il</w:t>
    </w:r>
  </w:p>
  <w:p w:rsidR="00EB1B0C" w:rsidRPr="00C063FB" w:rsidRDefault="00A323B7" w:rsidP="00C063FB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7F" w:rsidRDefault="0023717F" w:rsidP="003D307F">
      <w:r>
        <w:separator/>
      </w:r>
    </w:p>
  </w:footnote>
  <w:footnote w:type="continuationSeparator" w:id="0">
    <w:p w:rsidR="0023717F" w:rsidRDefault="0023717F" w:rsidP="003D307F">
      <w:r>
        <w:continuationSeparator/>
      </w:r>
    </w:p>
  </w:footnote>
  <w:footnote w:id="1">
    <w:p w:rsidR="003D307F" w:rsidRPr="00542BBE" w:rsidRDefault="003D307F" w:rsidP="003D307F">
      <w:pPr>
        <w:pStyle w:val="ad"/>
        <w:rPr>
          <w:sz w:val="22"/>
          <w:szCs w:val="22"/>
          <w:rtl/>
        </w:rPr>
      </w:pPr>
      <w:r w:rsidRPr="00542BBE">
        <w:rPr>
          <w:rStyle w:val="af"/>
          <w:sz w:val="22"/>
          <w:szCs w:val="22"/>
        </w:rPr>
        <w:footnoteRef/>
      </w:r>
      <w:r w:rsidRPr="00542BBE">
        <w:rPr>
          <w:sz w:val="22"/>
          <w:szCs w:val="22"/>
          <w:rtl/>
        </w:rPr>
        <w:t xml:space="preserve"> </w:t>
      </w:r>
      <w:r w:rsidRPr="00542BBE">
        <w:rPr>
          <w:rFonts w:ascii="David" w:hAnsi="David" w:cs="David"/>
          <w:rtl/>
        </w:rPr>
        <w:t>חוזר המפקח מס' ח-2744-06</w:t>
      </w:r>
      <w:r>
        <w:rPr>
          <w:rFonts w:hint="cs"/>
          <w:sz w:val="22"/>
          <w:szCs w:val="22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0C" w:rsidRDefault="003D307F">
    <w:pPr>
      <w:pStyle w:val="a3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EB1B0C" w:rsidRDefault="00A323B7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8B" w:rsidRPr="00181BAE" w:rsidRDefault="003D307F" w:rsidP="00181BAE">
    <w:pPr>
      <w:pStyle w:val="a3"/>
      <w:tabs>
        <w:tab w:val="clear" w:pos="4153"/>
        <w:tab w:val="clear" w:pos="8306"/>
        <w:tab w:val="left" w:pos="1934"/>
      </w:tabs>
      <w:rPr>
        <w:rFonts w:cs="David"/>
      </w:rPr>
    </w:pPr>
    <w:r>
      <w:rPr>
        <w:rFonts w:hint="cs"/>
        <w:noProof/>
      </w:rPr>
      <w:drawing>
        <wp:inline distT="0" distB="0" distL="0" distR="0" wp14:anchorId="4AF9FB99" wp14:editId="7335EFD3">
          <wp:extent cx="5402580" cy="572770"/>
          <wp:effectExtent l="0" t="0" r="7620" b="0"/>
          <wp:docPr id="7" name="תמונה 7" descr="לוגו בנק ישראל" title="לוגו בנק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3" r="2605"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348B" w:rsidRPr="007454DA" w:rsidRDefault="00A323B7" w:rsidP="008D348B">
    <w:pPr>
      <w:pStyle w:val="a3"/>
      <w:tabs>
        <w:tab w:val="clear" w:pos="4153"/>
        <w:tab w:val="clear" w:pos="8306"/>
        <w:tab w:val="left" w:pos="1934"/>
      </w:tabs>
      <w:rPr>
        <w:rFonts w:cs="David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FC6"/>
    <w:multiLevelType w:val="hybridMultilevel"/>
    <w:tmpl w:val="E7E4D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7B2E57"/>
    <w:multiLevelType w:val="multilevel"/>
    <w:tmpl w:val="B31254B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7F"/>
    <w:rsid w:val="00003AAC"/>
    <w:rsid w:val="00013450"/>
    <w:rsid w:val="0003412F"/>
    <w:rsid w:val="000369DA"/>
    <w:rsid w:val="000551B7"/>
    <w:rsid w:val="00063C19"/>
    <w:rsid w:val="00080E0A"/>
    <w:rsid w:val="000811A3"/>
    <w:rsid w:val="00084736"/>
    <w:rsid w:val="000962EF"/>
    <w:rsid w:val="000C58C0"/>
    <w:rsid w:val="001223D5"/>
    <w:rsid w:val="00124CCC"/>
    <w:rsid w:val="001762A8"/>
    <w:rsid w:val="0017728B"/>
    <w:rsid w:val="001B7B2C"/>
    <w:rsid w:val="001E1BC6"/>
    <w:rsid w:val="001E69E5"/>
    <w:rsid w:val="001F7727"/>
    <w:rsid w:val="002053D7"/>
    <w:rsid w:val="00220F0F"/>
    <w:rsid w:val="00225864"/>
    <w:rsid w:val="0023717F"/>
    <w:rsid w:val="00237EA9"/>
    <w:rsid w:val="00260842"/>
    <w:rsid w:val="00274903"/>
    <w:rsid w:val="00282206"/>
    <w:rsid w:val="00293A2B"/>
    <w:rsid w:val="002C2BEB"/>
    <w:rsid w:val="002D6CCC"/>
    <w:rsid w:val="002E33C4"/>
    <w:rsid w:val="002E3B44"/>
    <w:rsid w:val="002F45B1"/>
    <w:rsid w:val="00305068"/>
    <w:rsid w:val="003054EB"/>
    <w:rsid w:val="00347356"/>
    <w:rsid w:val="00352F85"/>
    <w:rsid w:val="0038742B"/>
    <w:rsid w:val="003C0C8E"/>
    <w:rsid w:val="003D307F"/>
    <w:rsid w:val="003E1832"/>
    <w:rsid w:val="003F2B0D"/>
    <w:rsid w:val="00417322"/>
    <w:rsid w:val="00420B92"/>
    <w:rsid w:val="00425957"/>
    <w:rsid w:val="00441A47"/>
    <w:rsid w:val="00447224"/>
    <w:rsid w:val="00494B1C"/>
    <w:rsid w:val="004C4FDA"/>
    <w:rsid w:val="004D7F12"/>
    <w:rsid w:val="004E1561"/>
    <w:rsid w:val="00510BC6"/>
    <w:rsid w:val="00526585"/>
    <w:rsid w:val="00533ED8"/>
    <w:rsid w:val="00540FAB"/>
    <w:rsid w:val="00552F17"/>
    <w:rsid w:val="0055302A"/>
    <w:rsid w:val="005542F8"/>
    <w:rsid w:val="00573D66"/>
    <w:rsid w:val="0058200F"/>
    <w:rsid w:val="005D7072"/>
    <w:rsid w:val="00621159"/>
    <w:rsid w:val="006275C3"/>
    <w:rsid w:val="00657929"/>
    <w:rsid w:val="006733B2"/>
    <w:rsid w:val="00692A37"/>
    <w:rsid w:val="00723106"/>
    <w:rsid w:val="007846D9"/>
    <w:rsid w:val="007A6068"/>
    <w:rsid w:val="007A7BA5"/>
    <w:rsid w:val="007F239F"/>
    <w:rsid w:val="008011E6"/>
    <w:rsid w:val="00830183"/>
    <w:rsid w:val="008347A8"/>
    <w:rsid w:val="00845894"/>
    <w:rsid w:val="00864DF1"/>
    <w:rsid w:val="00894BBB"/>
    <w:rsid w:val="008F1213"/>
    <w:rsid w:val="00914BF3"/>
    <w:rsid w:val="00917883"/>
    <w:rsid w:val="00933A83"/>
    <w:rsid w:val="009A3E7B"/>
    <w:rsid w:val="009B3550"/>
    <w:rsid w:val="009B35E5"/>
    <w:rsid w:val="009C7897"/>
    <w:rsid w:val="009E1992"/>
    <w:rsid w:val="00A170DC"/>
    <w:rsid w:val="00A21C48"/>
    <w:rsid w:val="00A32232"/>
    <w:rsid w:val="00A323B7"/>
    <w:rsid w:val="00A41DCD"/>
    <w:rsid w:val="00A45D30"/>
    <w:rsid w:val="00A85350"/>
    <w:rsid w:val="00A86815"/>
    <w:rsid w:val="00AA14FA"/>
    <w:rsid w:val="00AA2A74"/>
    <w:rsid w:val="00AC0425"/>
    <w:rsid w:val="00AE5C3B"/>
    <w:rsid w:val="00AF21BF"/>
    <w:rsid w:val="00B015DD"/>
    <w:rsid w:val="00B10E1A"/>
    <w:rsid w:val="00B216D8"/>
    <w:rsid w:val="00B575DA"/>
    <w:rsid w:val="00B729EF"/>
    <w:rsid w:val="00BC697C"/>
    <w:rsid w:val="00BD0720"/>
    <w:rsid w:val="00BF235F"/>
    <w:rsid w:val="00BF2882"/>
    <w:rsid w:val="00BF4C73"/>
    <w:rsid w:val="00BF59B7"/>
    <w:rsid w:val="00C07F28"/>
    <w:rsid w:val="00C10961"/>
    <w:rsid w:val="00C117F6"/>
    <w:rsid w:val="00C1772E"/>
    <w:rsid w:val="00C34410"/>
    <w:rsid w:val="00C45A6D"/>
    <w:rsid w:val="00C530C0"/>
    <w:rsid w:val="00C60982"/>
    <w:rsid w:val="00CB1140"/>
    <w:rsid w:val="00CC7FE4"/>
    <w:rsid w:val="00CD3F19"/>
    <w:rsid w:val="00CF43C9"/>
    <w:rsid w:val="00D01F73"/>
    <w:rsid w:val="00D25E1C"/>
    <w:rsid w:val="00D57A08"/>
    <w:rsid w:val="00D60FDB"/>
    <w:rsid w:val="00D839D1"/>
    <w:rsid w:val="00D86FC9"/>
    <w:rsid w:val="00DB7B5D"/>
    <w:rsid w:val="00DC3FA8"/>
    <w:rsid w:val="00DC41FB"/>
    <w:rsid w:val="00DD6022"/>
    <w:rsid w:val="00E00697"/>
    <w:rsid w:val="00E011F4"/>
    <w:rsid w:val="00E24881"/>
    <w:rsid w:val="00E349BA"/>
    <w:rsid w:val="00E4202B"/>
    <w:rsid w:val="00E44710"/>
    <w:rsid w:val="00E7531D"/>
    <w:rsid w:val="00E90FC2"/>
    <w:rsid w:val="00EA35EF"/>
    <w:rsid w:val="00EC71F4"/>
    <w:rsid w:val="00ED6A43"/>
    <w:rsid w:val="00F013A3"/>
    <w:rsid w:val="00F1562D"/>
    <w:rsid w:val="00F341C5"/>
    <w:rsid w:val="00F34CA1"/>
    <w:rsid w:val="00F950FB"/>
    <w:rsid w:val="00FB479C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3972"/>
  <w15:chartTrackingRefBased/>
  <w15:docId w15:val="{B1AB4707-4DD3-4D0D-BA4B-54978476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7F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307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3D307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D307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D307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3D307F"/>
  </w:style>
  <w:style w:type="table" w:styleId="a8">
    <w:name w:val="Table Grid"/>
    <w:basedOn w:val="a1"/>
    <w:rsid w:val="003D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גוף טקסט תו"/>
    <w:basedOn w:val="a0"/>
    <w:link w:val="aa"/>
    <w:rsid w:val="003D307F"/>
    <w:rPr>
      <w:rFonts w:ascii="David" w:eastAsia="David" w:hAnsi="David" w:cs="David"/>
    </w:rPr>
  </w:style>
  <w:style w:type="character" w:customStyle="1" w:styleId="Heading2">
    <w:name w:val="Heading #2_"/>
    <w:basedOn w:val="a0"/>
    <w:link w:val="Heading20"/>
    <w:rsid w:val="003D307F"/>
    <w:rPr>
      <w:rFonts w:ascii="David" w:eastAsia="David" w:hAnsi="David" w:cs="David"/>
      <w:b/>
      <w:bCs/>
      <w:u w:val="single"/>
    </w:rPr>
  </w:style>
  <w:style w:type="paragraph" w:styleId="aa">
    <w:name w:val="Body Text"/>
    <w:basedOn w:val="a"/>
    <w:link w:val="a9"/>
    <w:qFormat/>
    <w:rsid w:val="003D307F"/>
    <w:pPr>
      <w:widowControl w:val="0"/>
      <w:overflowPunct/>
      <w:autoSpaceDE/>
      <w:autoSpaceDN/>
      <w:adjustRightInd/>
      <w:spacing w:after="40" w:line="360" w:lineRule="auto"/>
      <w:textAlignment w:val="auto"/>
    </w:pPr>
    <w:rPr>
      <w:rFonts w:ascii="David" w:eastAsia="David" w:hAnsi="David" w:cs="David"/>
      <w:sz w:val="22"/>
      <w:szCs w:val="22"/>
    </w:rPr>
  </w:style>
  <w:style w:type="character" w:customStyle="1" w:styleId="1">
    <w:name w:val="גוף טקסט תו1"/>
    <w:basedOn w:val="a0"/>
    <w:uiPriority w:val="99"/>
    <w:semiHidden/>
    <w:rsid w:val="003D307F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rsid w:val="003D307F"/>
    <w:pPr>
      <w:widowControl w:val="0"/>
      <w:overflowPunct/>
      <w:autoSpaceDE/>
      <w:autoSpaceDN/>
      <w:adjustRightInd/>
      <w:spacing w:after="200" w:line="322" w:lineRule="auto"/>
      <w:textAlignment w:val="auto"/>
      <w:outlineLvl w:val="1"/>
    </w:pPr>
    <w:rPr>
      <w:rFonts w:ascii="David" w:eastAsia="David" w:hAnsi="David" w:cs="David"/>
      <w:b/>
      <w:bCs/>
      <w:sz w:val="22"/>
      <w:szCs w:val="22"/>
      <w:u w:val="single"/>
    </w:rPr>
  </w:style>
  <w:style w:type="paragraph" w:styleId="ab">
    <w:name w:val="List Paragraph"/>
    <w:aliases w:val="List Paragraph,Use Case List Paragraph"/>
    <w:basedOn w:val="a"/>
    <w:link w:val="ac"/>
    <w:uiPriority w:val="34"/>
    <w:qFormat/>
    <w:rsid w:val="003D307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3D307F"/>
  </w:style>
  <w:style w:type="character" w:customStyle="1" w:styleId="ae">
    <w:name w:val="טקסט הערת שוליים תו"/>
    <w:basedOn w:val="a0"/>
    <w:link w:val="ad"/>
    <w:uiPriority w:val="99"/>
    <w:rsid w:val="003D307F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3D307F"/>
    <w:rPr>
      <w:vertAlign w:val="superscript"/>
    </w:rPr>
  </w:style>
  <w:style w:type="character" w:customStyle="1" w:styleId="ac">
    <w:name w:val="פיסקת רשימה תו"/>
    <w:aliases w:val="List Paragraph תו,Use Case List Paragraph תו"/>
    <w:basedOn w:val="a0"/>
    <w:link w:val="ab"/>
    <w:uiPriority w:val="34"/>
    <w:locked/>
    <w:rsid w:val="003D307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3450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0"/>
    <w:link w:val="af0"/>
    <w:uiPriority w:val="99"/>
    <w:semiHidden/>
    <w:rsid w:val="00013450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נחמה לאופר</dc:creator>
  <cp:keywords/>
  <dc:description/>
  <cp:lastModifiedBy>נחמה לאופר</cp:lastModifiedBy>
  <cp:revision>6</cp:revision>
  <cp:lastPrinted>2024-02-04T08:33:00Z</cp:lastPrinted>
  <dcterms:created xsi:type="dcterms:W3CDTF">2024-01-16T10:18:00Z</dcterms:created>
  <dcterms:modified xsi:type="dcterms:W3CDTF">2024-02-07T07:33:00Z</dcterms:modified>
</cp:coreProperties>
</file>