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8A" w:rsidRPr="00E8008F" w:rsidRDefault="00C14683" w:rsidP="009D3A36">
      <w:pPr>
        <w:bidi w:val="0"/>
        <w:jc w:val="center"/>
        <w:rPr>
          <w:rtl/>
        </w:rPr>
      </w:pPr>
      <w:r>
        <w:rPr>
          <w:noProof/>
        </w:rPr>
        <w:drawing>
          <wp:inline distT="0" distB="0" distL="0" distR="0" wp14:anchorId="0D0B5735" wp14:editId="071D3B76">
            <wp:extent cx="762000" cy="714375"/>
            <wp:effectExtent l="0" t="0" r="0" b="9525"/>
            <wp:docPr id="3" name="תמונה 2" descr="Bank of Israel Logo" title="Bank of Israe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K:\Dover\תפעול לשכת הדובר\כלים\לוגו\boi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354" cy="71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829" w:rsidRDefault="000E1829" w:rsidP="00036CC1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</w:p>
    <w:p w:rsidR="009D3A36" w:rsidRPr="00AD0AA7" w:rsidRDefault="009D3A36" w:rsidP="009D3A36">
      <w:pPr>
        <w:pStyle w:val="LetterheadBOI"/>
        <w:rPr>
          <w:sz w:val="28"/>
          <w:szCs w:val="28"/>
        </w:rPr>
      </w:pPr>
      <w:r w:rsidRPr="00AD0AA7">
        <w:rPr>
          <w:sz w:val="28"/>
          <w:szCs w:val="28"/>
        </w:rPr>
        <w:t>BANK OF ISRAEL</w:t>
      </w:r>
    </w:p>
    <w:p w:rsidR="009D3A36" w:rsidRPr="00AD0AA7" w:rsidRDefault="009D3A36" w:rsidP="009D3A36">
      <w:pPr>
        <w:pStyle w:val="Letterhead2"/>
        <w:rPr>
          <w:b/>
          <w:sz w:val="28"/>
          <w:szCs w:val="28"/>
        </w:rPr>
      </w:pPr>
      <w:r w:rsidRPr="00AD0AA7">
        <w:rPr>
          <w:sz w:val="28"/>
          <w:szCs w:val="28"/>
        </w:rPr>
        <w:t>Office of the Spokesperson and Economic Information</w:t>
      </w:r>
    </w:p>
    <w:p w:rsidR="00B53B98" w:rsidRDefault="00B53B98" w:rsidP="00B53B98">
      <w:pPr>
        <w:bidi w:val="0"/>
        <w:jc w:val="right"/>
        <w:rPr>
          <w:sz w:val="26"/>
          <w:szCs w:val="26"/>
        </w:rPr>
      </w:pPr>
    </w:p>
    <w:p w:rsidR="00491A8A" w:rsidRPr="00AD0AA7" w:rsidRDefault="004772C2" w:rsidP="00B53B98">
      <w:pPr>
        <w:bidi w:val="0"/>
        <w:jc w:val="right"/>
        <w:rPr>
          <w:sz w:val="26"/>
          <w:szCs w:val="26"/>
        </w:rPr>
      </w:pPr>
      <w:r w:rsidRPr="00AD0AA7">
        <w:rPr>
          <w:sz w:val="26"/>
          <w:szCs w:val="26"/>
        </w:rPr>
        <w:t>July 2</w:t>
      </w:r>
      <w:r w:rsidR="00B53B98">
        <w:rPr>
          <w:sz w:val="26"/>
          <w:szCs w:val="26"/>
        </w:rPr>
        <w:t>1</w:t>
      </w:r>
      <w:r w:rsidR="00C14683" w:rsidRPr="00AD0AA7">
        <w:rPr>
          <w:sz w:val="26"/>
          <w:szCs w:val="26"/>
        </w:rPr>
        <w:t>, 2016</w:t>
      </w:r>
    </w:p>
    <w:p w:rsidR="00D71F36" w:rsidRPr="00AD0AA7" w:rsidRDefault="00D71F36" w:rsidP="00036CC1">
      <w:pPr>
        <w:bidi w:val="0"/>
        <w:jc w:val="center"/>
        <w:rPr>
          <w:b/>
          <w:bCs/>
          <w:sz w:val="26"/>
          <w:szCs w:val="26"/>
        </w:rPr>
      </w:pPr>
    </w:p>
    <w:p w:rsidR="009D3A36" w:rsidRDefault="009D3A36" w:rsidP="00FC0696">
      <w:pPr>
        <w:pStyle w:val="PressReleaseTitle"/>
        <w:rPr>
          <w:b w:val="0"/>
          <w:bCs w:val="0"/>
          <w:sz w:val="24"/>
          <w:szCs w:val="24"/>
        </w:rPr>
      </w:pPr>
      <w:r w:rsidRPr="00B53B98">
        <w:rPr>
          <w:b w:val="0"/>
          <w:bCs w:val="0"/>
          <w:sz w:val="24"/>
          <w:szCs w:val="24"/>
        </w:rPr>
        <w:t>Press Release</w:t>
      </w:r>
    </w:p>
    <w:p w:rsidR="00B53B98" w:rsidRPr="00B53B98" w:rsidRDefault="00B53B98" w:rsidP="00FC0696">
      <w:pPr>
        <w:pStyle w:val="PressReleaseTitle"/>
        <w:rPr>
          <w:b w:val="0"/>
          <w:bCs w:val="0"/>
          <w:sz w:val="24"/>
          <w:szCs w:val="24"/>
        </w:rPr>
      </w:pPr>
    </w:p>
    <w:p w:rsidR="00D71F36" w:rsidRPr="00B53B98" w:rsidRDefault="009D3A36" w:rsidP="00FC0696">
      <w:pPr>
        <w:pStyle w:val="PressReleaseTitle"/>
        <w:rPr>
          <w:sz w:val="28"/>
          <w:szCs w:val="28"/>
        </w:rPr>
      </w:pPr>
      <w:r w:rsidRPr="00B53B98">
        <w:rPr>
          <w:sz w:val="28"/>
          <w:szCs w:val="28"/>
        </w:rPr>
        <w:t xml:space="preserve">Companies Survey for the </w:t>
      </w:r>
      <w:r w:rsidR="004772C2" w:rsidRPr="00B53B98">
        <w:rPr>
          <w:sz w:val="28"/>
          <w:szCs w:val="28"/>
        </w:rPr>
        <w:t xml:space="preserve">Second </w:t>
      </w:r>
      <w:r w:rsidRPr="00B53B98">
        <w:rPr>
          <w:sz w:val="28"/>
          <w:szCs w:val="28"/>
        </w:rPr>
        <w:t>Quarter of 2016—Main Findings</w:t>
      </w:r>
    </w:p>
    <w:p w:rsidR="00D71F36" w:rsidRDefault="00D71F36" w:rsidP="00036CC1">
      <w:pPr>
        <w:bidi w:val="0"/>
        <w:jc w:val="center"/>
      </w:pPr>
    </w:p>
    <w:p w:rsidR="00963BA7" w:rsidRPr="00320932" w:rsidRDefault="00302BA8" w:rsidP="003770B6">
      <w:pPr>
        <w:bidi w:val="0"/>
        <w:jc w:val="both"/>
        <w:rPr>
          <w:rFonts w:asciiTheme="majorBidi" w:hAnsiTheme="majorBidi" w:cstheme="majorBidi"/>
          <w:b/>
          <w:bCs/>
        </w:rPr>
      </w:pPr>
      <w:r w:rsidRPr="00320932">
        <w:rPr>
          <w:b/>
          <w:bCs/>
        </w:rPr>
        <w:t>T</w:t>
      </w:r>
      <w:r w:rsidR="00A00160" w:rsidRPr="00320932">
        <w:rPr>
          <w:b/>
          <w:bCs/>
        </w:rPr>
        <w:t xml:space="preserve">he Companies Survey for the </w:t>
      </w:r>
      <w:r w:rsidR="004772C2" w:rsidRPr="00320932">
        <w:rPr>
          <w:b/>
          <w:bCs/>
        </w:rPr>
        <w:t>second quarter</w:t>
      </w:r>
      <w:r w:rsidR="00A00160" w:rsidRPr="00320932">
        <w:rPr>
          <w:b/>
          <w:bCs/>
        </w:rPr>
        <w:t xml:space="preserve"> of 2016</w:t>
      </w:r>
      <w:r w:rsidRPr="00320932">
        <w:rPr>
          <w:b/>
          <w:bCs/>
        </w:rPr>
        <w:t xml:space="preserve"> indicates that the business sector </w:t>
      </w:r>
      <w:r w:rsidR="003F1B49">
        <w:rPr>
          <w:b/>
          <w:bCs/>
        </w:rPr>
        <w:t>returned to the gro</w:t>
      </w:r>
      <w:r w:rsidR="00A57B9C">
        <w:rPr>
          <w:b/>
          <w:bCs/>
        </w:rPr>
        <w:t>w</w:t>
      </w:r>
      <w:r w:rsidR="003F1B49">
        <w:rPr>
          <w:b/>
          <w:bCs/>
        </w:rPr>
        <w:t xml:space="preserve">th rate that </w:t>
      </w:r>
      <w:r w:rsidR="00A57B9C">
        <w:rPr>
          <w:b/>
          <w:bCs/>
        </w:rPr>
        <w:t xml:space="preserve">has </w:t>
      </w:r>
      <w:r w:rsidR="003F1B49">
        <w:rPr>
          <w:b/>
          <w:bCs/>
        </w:rPr>
        <w:t xml:space="preserve">characterized it </w:t>
      </w:r>
      <w:r w:rsidR="003770B6">
        <w:rPr>
          <w:b/>
          <w:bCs/>
        </w:rPr>
        <w:t xml:space="preserve">over </w:t>
      </w:r>
      <w:r w:rsidR="003F1B49">
        <w:rPr>
          <w:b/>
          <w:bCs/>
        </w:rPr>
        <w:t xml:space="preserve">the past three years. The </w:t>
      </w:r>
      <w:r w:rsidR="00A00160" w:rsidRPr="00320932">
        <w:rPr>
          <w:b/>
          <w:bCs/>
        </w:rPr>
        <w:t xml:space="preserve">weighted net balance </w:t>
      </w:r>
      <w:r w:rsidR="003F1B49">
        <w:rPr>
          <w:b/>
          <w:bCs/>
        </w:rPr>
        <w:t xml:space="preserve">for the second quarter </w:t>
      </w:r>
      <w:r w:rsidRPr="00320932">
        <w:rPr>
          <w:b/>
          <w:bCs/>
        </w:rPr>
        <w:t xml:space="preserve">is positive to a statistically significant degree </w:t>
      </w:r>
      <w:r w:rsidR="00A00160" w:rsidRPr="00320932">
        <w:rPr>
          <w:b/>
          <w:bCs/>
        </w:rPr>
        <w:t>(Figure 1 and Table 1)</w:t>
      </w:r>
      <w:r w:rsidRPr="00320932">
        <w:rPr>
          <w:b/>
          <w:bCs/>
        </w:rPr>
        <w:t>. There are positive net balances in domestic</w:t>
      </w:r>
      <w:r w:rsidR="00CE07C1" w:rsidRPr="00320932">
        <w:rPr>
          <w:b/>
          <w:bCs/>
        </w:rPr>
        <w:t>-</w:t>
      </w:r>
      <w:r w:rsidRPr="00320932">
        <w:rPr>
          <w:b/>
          <w:bCs/>
        </w:rPr>
        <w:t>demand</w:t>
      </w:r>
      <w:r w:rsidR="00CE07C1" w:rsidRPr="00320932">
        <w:rPr>
          <w:b/>
          <w:bCs/>
        </w:rPr>
        <w:t xml:space="preserve"> oriented industries</w:t>
      </w:r>
      <w:r w:rsidRPr="00320932">
        <w:rPr>
          <w:b/>
          <w:bCs/>
        </w:rPr>
        <w:t xml:space="preserve">—trade, construction and </w:t>
      </w:r>
      <w:r w:rsidRPr="00320932">
        <w:rPr>
          <w:rFonts w:asciiTheme="majorBidi" w:hAnsiTheme="majorBidi" w:cstheme="majorBidi"/>
          <w:b/>
          <w:bCs/>
        </w:rPr>
        <w:t>transport and communications. In contrast</w:t>
      </w:r>
      <w:r w:rsidR="00D17BF2" w:rsidRPr="00320932">
        <w:rPr>
          <w:rFonts w:asciiTheme="majorBidi" w:hAnsiTheme="majorBidi" w:cstheme="majorBidi"/>
          <w:b/>
          <w:bCs/>
        </w:rPr>
        <w:t xml:space="preserve">, in the manufacturing, </w:t>
      </w:r>
      <w:r w:rsidRPr="00320932">
        <w:rPr>
          <w:rFonts w:asciiTheme="majorBidi" w:hAnsiTheme="majorBidi" w:cstheme="majorBidi"/>
          <w:b/>
          <w:bCs/>
        </w:rPr>
        <w:t>services</w:t>
      </w:r>
      <w:r w:rsidR="000B636C" w:rsidRPr="00320932">
        <w:rPr>
          <w:rFonts w:asciiTheme="majorBidi" w:hAnsiTheme="majorBidi" w:cstheme="majorBidi"/>
          <w:b/>
          <w:bCs/>
        </w:rPr>
        <w:t xml:space="preserve">, </w:t>
      </w:r>
      <w:r w:rsidR="00D17BF2" w:rsidRPr="00320932">
        <w:rPr>
          <w:rFonts w:asciiTheme="majorBidi" w:hAnsiTheme="majorBidi" w:cstheme="majorBidi"/>
          <w:b/>
          <w:bCs/>
        </w:rPr>
        <w:t>and hotels</w:t>
      </w:r>
      <w:r w:rsidR="000B636C" w:rsidRPr="00320932">
        <w:rPr>
          <w:rFonts w:asciiTheme="majorBidi" w:hAnsiTheme="majorBidi" w:cstheme="majorBidi"/>
          <w:b/>
          <w:bCs/>
        </w:rPr>
        <w:t xml:space="preserve"> industries</w:t>
      </w:r>
      <w:r w:rsidR="00A00160" w:rsidRPr="00320932">
        <w:rPr>
          <w:b/>
          <w:bCs/>
        </w:rPr>
        <w:t xml:space="preserve">, </w:t>
      </w:r>
      <w:r w:rsidRPr="00320932">
        <w:rPr>
          <w:b/>
          <w:bCs/>
        </w:rPr>
        <w:t xml:space="preserve">the net balances are near zero, indicating that in those industries </w:t>
      </w:r>
      <w:r w:rsidR="003F1B49">
        <w:rPr>
          <w:b/>
          <w:bCs/>
        </w:rPr>
        <w:t>the rate of change is lower</w:t>
      </w:r>
      <w:r w:rsidRPr="00320932">
        <w:rPr>
          <w:b/>
          <w:bCs/>
        </w:rPr>
        <w:t>.</w:t>
      </w:r>
      <w:r w:rsidR="003F1B49">
        <w:rPr>
          <w:b/>
          <w:bCs/>
        </w:rPr>
        <w:t xml:space="preserve"> </w:t>
      </w:r>
      <w:r w:rsidRPr="00320932">
        <w:rPr>
          <w:b/>
          <w:bCs/>
        </w:rPr>
        <w:t>E</w:t>
      </w:r>
      <w:r w:rsidR="00A00160" w:rsidRPr="00320932">
        <w:rPr>
          <w:b/>
          <w:bCs/>
        </w:rPr>
        <w:t xml:space="preserve">xpectations for the </w:t>
      </w:r>
      <w:r w:rsidR="0021607B">
        <w:rPr>
          <w:b/>
          <w:bCs/>
        </w:rPr>
        <w:t xml:space="preserve">third </w:t>
      </w:r>
      <w:r w:rsidR="00A00160" w:rsidRPr="00320932">
        <w:rPr>
          <w:b/>
          <w:bCs/>
        </w:rPr>
        <w:t>quarter</w:t>
      </w:r>
      <w:r w:rsidRPr="00320932">
        <w:rPr>
          <w:b/>
          <w:bCs/>
        </w:rPr>
        <w:t xml:space="preserve"> among </w:t>
      </w:r>
      <w:r w:rsidR="00A57B9C">
        <w:rPr>
          <w:b/>
          <w:bCs/>
        </w:rPr>
        <w:t xml:space="preserve">the </w:t>
      </w:r>
      <w:r w:rsidRPr="00320932">
        <w:rPr>
          <w:b/>
          <w:bCs/>
        </w:rPr>
        <w:t>various industries are in line with the net balances of the current quarter, other than in the services industry, where a marked ex</w:t>
      </w:r>
      <w:r w:rsidR="00234AB9" w:rsidRPr="00320932">
        <w:rPr>
          <w:b/>
          <w:bCs/>
        </w:rPr>
        <w:t xml:space="preserve">pansion in activity is expected </w:t>
      </w:r>
      <w:r w:rsidR="007A0F83" w:rsidRPr="00320932">
        <w:rPr>
          <w:b/>
          <w:bCs/>
        </w:rPr>
        <w:t>(</w:t>
      </w:r>
      <w:r w:rsidRPr="00320932">
        <w:rPr>
          <w:b/>
          <w:bCs/>
        </w:rPr>
        <w:t>despite a near-zero net balance</w:t>
      </w:r>
      <w:r w:rsidR="007A0F83" w:rsidRPr="00320932">
        <w:rPr>
          <w:b/>
          <w:bCs/>
        </w:rPr>
        <w:t>)</w:t>
      </w:r>
      <w:r w:rsidRPr="00320932">
        <w:rPr>
          <w:b/>
          <w:bCs/>
        </w:rPr>
        <w:t xml:space="preserve">. </w:t>
      </w:r>
    </w:p>
    <w:p w:rsidR="00097CF2" w:rsidRDefault="00097CF2" w:rsidP="0095153E">
      <w:pPr>
        <w:bidi w:val="0"/>
        <w:jc w:val="both"/>
      </w:pPr>
    </w:p>
    <w:p w:rsidR="00DA491C" w:rsidRPr="008B347D" w:rsidRDefault="00236ACF" w:rsidP="0095153E">
      <w:pPr>
        <w:bidi w:val="0"/>
        <w:jc w:val="both"/>
        <w:rPr>
          <w:rFonts w:asciiTheme="majorBidi" w:hAnsiTheme="majorBidi" w:cstheme="majorBidi"/>
          <w:b/>
          <w:bCs/>
        </w:rPr>
      </w:pPr>
      <w:r w:rsidRPr="008B347D">
        <w:rPr>
          <w:rFonts w:asciiTheme="majorBidi" w:hAnsiTheme="majorBidi" w:cstheme="majorBidi"/>
          <w:b/>
          <w:bCs/>
        </w:rPr>
        <w:t>Figure 1</w:t>
      </w:r>
    </w:p>
    <w:p w:rsidR="00FC0696" w:rsidRDefault="00FC0696" w:rsidP="00FC0696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58240" behindDoc="0" locked="0" layoutInCell="1" allowOverlap="1" wp14:anchorId="0D494529" wp14:editId="4EEEE792">
            <wp:simplePos x="0" y="0"/>
            <wp:positionH relativeFrom="column">
              <wp:posOffset>209550</wp:posOffset>
            </wp:positionH>
            <wp:positionV relativeFrom="paragraph">
              <wp:posOffset>62230</wp:posOffset>
            </wp:positionV>
            <wp:extent cx="4933950" cy="3177540"/>
            <wp:effectExtent l="0" t="0" r="0" b="381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17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696" w:rsidRDefault="00FC0696" w:rsidP="00FC0696">
      <w:pPr>
        <w:bidi w:val="0"/>
        <w:jc w:val="both"/>
        <w:rPr>
          <w:rFonts w:asciiTheme="majorBidi" w:hAnsiTheme="majorBidi" w:cstheme="majorBidi"/>
        </w:rPr>
      </w:pPr>
    </w:p>
    <w:p w:rsidR="00FC0696" w:rsidRDefault="00FC0696" w:rsidP="00FC0696">
      <w:pPr>
        <w:bidi w:val="0"/>
        <w:jc w:val="both"/>
        <w:rPr>
          <w:rFonts w:asciiTheme="majorBidi" w:hAnsiTheme="majorBidi" w:cstheme="majorBidi"/>
        </w:rPr>
      </w:pPr>
    </w:p>
    <w:p w:rsidR="00FC0696" w:rsidRDefault="00FC0696" w:rsidP="00FC0696">
      <w:pPr>
        <w:bidi w:val="0"/>
        <w:jc w:val="both"/>
        <w:rPr>
          <w:rFonts w:asciiTheme="majorBidi" w:hAnsiTheme="majorBidi" w:cstheme="majorBidi"/>
        </w:rPr>
      </w:pPr>
    </w:p>
    <w:p w:rsidR="00FC0696" w:rsidRDefault="00FC0696" w:rsidP="00FC0696">
      <w:pPr>
        <w:bidi w:val="0"/>
        <w:jc w:val="both"/>
        <w:rPr>
          <w:rFonts w:asciiTheme="majorBidi" w:hAnsiTheme="majorBidi" w:cstheme="majorBidi"/>
        </w:rPr>
      </w:pPr>
    </w:p>
    <w:p w:rsidR="00FC0696" w:rsidRDefault="00FC0696" w:rsidP="00FC0696">
      <w:pPr>
        <w:bidi w:val="0"/>
        <w:jc w:val="both"/>
        <w:rPr>
          <w:rFonts w:asciiTheme="majorBidi" w:hAnsiTheme="majorBidi" w:cstheme="majorBidi"/>
        </w:rPr>
      </w:pPr>
    </w:p>
    <w:p w:rsidR="00FC0696" w:rsidRDefault="00FC0696" w:rsidP="00FC0696">
      <w:pPr>
        <w:bidi w:val="0"/>
        <w:jc w:val="both"/>
        <w:rPr>
          <w:rFonts w:asciiTheme="majorBidi" w:hAnsiTheme="majorBidi" w:cstheme="majorBidi"/>
        </w:rPr>
      </w:pPr>
    </w:p>
    <w:p w:rsidR="00FC0696" w:rsidRDefault="00FC0696" w:rsidP="00FC0696">
      <w:pPr>
        <w:bidi w:val="0"/>
        <w:jc w:val="both"/>
        <w:rPr>
          <w:rFonts w:asciiTheme="majorBidi" w:hAnsiTheme="majorBidi" w:cstheme="majorBidi"/>
        </w:rPr>
      </w:pPr>
    </w:p>
    <w:p w:rsidR="00FC0696" w:rsidRDefault="00FC0696" w:rsidP="00FC0696">
      <w:pPr>
        <w:bidi w:val="0"/>
        <w:jc w:val="both"/>
        <w:rPr>
          <w:rFonts w:asciiTheme="majorBidi" w:hAnsiTheme="majorBidi" w:cstheme="majorBidi"/>
        </w:rPr>
      </w:pPr>
    </w:p>
    <w:p w:rsidR="00FC0696" w:rsidRDefault="00FC0696" w:rsidP="00FC0696">
      <w:pPr>
        <w:bidi w:val="0"/>
        <w:jc w:val="both"/>
        <w:rPr>
          <w:rFonts w:asciiTheme="majorBidi" w:hAnsiTheme="majorBidi" w:cstheme="majorBidi"/>
        </w:rPr>
      </w:pPr>
    </w:p>
    <w:p w:rsidR="00FC0696" w:rsidRDefault="00FC0696" w:rsidP="00FC0696">
      <w:pPr>
        <w:bidi w:val="0"/>
        <w:jc w:val="both"/>
        <w:rPr>
          <w:rFonts w:asciiTheme="majorBidi" w:hAnsiTheme="majorBidi" w:cstheme="majorBidi"/>
        </w:rPr>
      </w:pPr>
    </w:p>
    <w:p w:rsidR="00FC0696" w:rsidRDefault="00FC0696" w:rsidP="00FC0696">
      <w:pPr>
        <w:bidi w:val="0"/>
        <w:jc w:val="both"/>
        <w:rPr>
          <w:rFonts w:asciiTheme="majorBidi" w:hAnsiTheme="majorBidi" w:cstheme="majorBidi"/>
        </w:rPr>
      </w:pPr>
    </w:p>
    <w:p w:rsidR="00FC0696" w:rsidRDefault="00FC0696" w:rsidP="00FC0696">
      <w:pPr>
        <w:bidi w:val="0"/>
        <w:jc w:val="both"/>
        <w:rPr>
          <w:rFonts w:asciiTheme="majorBidi" w:hAnsiTheme="majorBidi" w:cstheme="majorBidi"/>
        </w:rPr>
      </w:pPr>
    </w:p>
    <w:p w:rsidR="00FC0696" w:rsidRDefault="00FC0696" w:rsidP="00FC0696">
      <w:pPr>
        <w:bidi w:val="0"/>
        <w:jc w:val="both"/>
        <w:rPr>
          <w:rFonts w:asciiTheme="majorBidi" w:hAnsiTheme="majorBidi" w:cstheme="majorBidi"/>
        </w:rPr>
      </w:pPr>
    </w:p>
    <w:p w:rsidR="00FC0696" w:rsidRDefault="00FC0696" w:rsidP="00FC0696">
      <w:pPr>
        <w:bidi w:val="0"/>
        <w:jc w:val="both"/>
        <w:rPr>
          <w:rFonts w:asciiTheme="majorBidi" w:hAnsiTheme="majorBidi" w:cstheme="majorBidi"/>
        </w:rPr>
      </w:pPr>
    </w:p>
    <w:p w:rsidR="00FC0696" w:rsidRDefault="00FC0696" w:rsidP="00FC0696">
      <w:pPr>
        <w:bidi w:val="0"/>
        <w:jc w:val="both"/>
        <w:rPr>
          <w:rFonts w:asciiTheme="majorBidi" w:hAnsiTheme="majorBidi" w:cstheme="majorBidi"/>
        </w:rPr>
      </w:pPr>
    </w:p>
    <w:p w:rsidR="00FC0696" w:rsidRDefault="00FC0696" w:rsidP="00FC0696">
      <w:pPr>
        <w:bidi w:val="0"/>
        <w:jc w:val="both"/>
        <w:rPr>
          <w:rFonts w:asciiTheme="majorBidi" w:hAnsiTheme="majorBidi" w:cstheme="majorBidi"/>
        </w:rPr>
      </w:pPr>
    </w:p>
    <w:p w:rsidR="00FC0696" w:rsidRDefault="00FC0696" w:rsidP="00FC0696">
      <w:pPr>
        <w:bidi w:val="0"/>
        <w:jc w:val="both"/>
        <w:rPr>
          <w:rFonts w:asciiTheme="majorBidi" w:hAnsiTheme="majorBidi" w:cstheme="majorBidi"/>
        </w:rPr>
      </w:pPr>
    </w:p>
    <w:p w:rsidR="00FC0696" w:rsidRDefault="00FC0696" w:rsidP="00FC0696">
      <w:pPr>
        <w:bidi w:val="0"/>
        <w:jc w:val="both"/>
        <w:rPr>
          <w:rFonts w:asciiTheme="majorBidi" w:hAnsiTheme="majorBidi" w:cstheme="majorBidi"/>
        </w:rPr>
      </w:pPr>
    </w:p>
    <w:p w:rsidR="006535E6" w:rsidRPr="006535E6" w:rsidRDefault="006535E6" w:rsidP="00FC0696">
      <w:pPr>
        <w:bidi w:val="0"/>
        <w:jc w:val="both"/>
        <w:rPr>
          <w:rFonts w:asciiTheme="majorBidi" w:hAnsiTheme="majorBidi" w:cstheme="majorBidi"/>
        </w:rPr>
      </w:pPr>
      <w:r w:rsidRPr="006535E6">
        <w:rPr>
          <w:rFonts w:asciiTheme="majorBidi" w:hAnsiTheme="majorBidi" w:cstheme="majorBidi"/>
        </w:rPr>
        <w:t>* The net balance is the difference between the share of companies and businesses reporting an increase in activity and the share of those reporting a decrease in activity, weighted according to size of the industry in the business sector.</w:t>
      </w:r>
    </w:p>
    <w:p w:rsidR="006535E6" w:rsidRDefault="006535E6" w:rsidP="006535E6">
      <w:pPr>
        <w:bidi w:val="0"/>
        <w:jc w:val="both"/>
        <w:rPr>
          <w:rFonts w:asciiTheme="majorBidi" w:hAnsiTheme="majorBidi" w:cstheme="majorBidi"/>
        </w:rPr>
      </w:pPr>
    </w:p>
    <w:p w:rsidR="006535E6" w:rsidRDefault="006535E6" w:rsidP="006535E6">
      <w:pPr>
        <w:bidi w:val="0"/>
        <w:jc w:val="both"/>
        <w:rPr>
          <w:rFonts w:asciiTheme="majorBidi" w:hAnsiTheme="majorBidi" w:cstheme="majorBidi"/>
          <w:b/>
          <w:bCs/>
        </w:rPr>
      </w:pPr>
      <w:r w:rsidRPr="008B347D">
        <w:rPr>
          <w:rFonts w:asciiTheme="majorBidi" w:hAnsiTheme="majorBidi" w:cstheme="majorBidi"/>
          <w:b/>
          <w:bCs/>
        </w:rPr>
        <w:lastRenderedPageBreak/>
        <w:t>Table 1</w:t>
      </w:r>
      <w:r w:rsidR="005C4B72">
        <w:rPr>
          <w:rFonts w:asciiTheme="majorBidi" w:hAnsiTheme="majorBidi" w:cstheme="majorBidi"/>
          <w:b/>
          <w:bCs/>
        </w:rPr>
        <w:t xml:space="preserve"> - </w:t>
      </w:r>
      <w:r w:rsidR="005C4B72" w:rsidRPr="005C4B72">
        <w:rPr>
          <w:rFonts w:asciiTheme="majorBidi" w:hAnsiTheme="majorBidi" w:cstheme="majorBidi"/>
          <w:b/>
          <w:bCs/>
        </w:rPr>
        <w:t>Economic activity in the principal industries, based on the net balance of reported activity</w:t>
      </w:r>
    </w:p>
    <w:p w:rsidR="005C4B72" w:rsidRDefault="005C4B72" w:rsidP="005C4B72">
      <w:pPr>
        <w:bidi w:val="0"/>
        <w:jc w:val="both"/>
        <w:rPr>
          <w:rFonts w:asciiTheme="majorBidi" w:hAnsiTheme="majorBidi" w:cstheme="majorBidi"/>
        </w:rPr>
      </w:pPr>
      <w:r w:rsidRPr="005C4B72">
        <w:rPr>
          <w:rFonts w:asciiTheme="majorBidi" w:hAnsiTheme="majorBidi" w:cstheme="majorBidi"/>
        </w:rPr>
        <w:t>(Original and seasonally adjusted data, percent)</w:t>
      </w:r>
    </w:p>
    <w:p w:rsidR="005C4B72" w:rsidRPr="005C4B72" w:rsidRDefault="005C4B72" w:rsidP="005C4B72">
      <w:pPr>
        <w:bidi w:val="0"/>
        <w:jc w:val="both"/>
        <w:rPr>
          <w:rFonts w:asciiTheme="majorBidi" w:hAnsiTheme="majorBidi" w:cstheme="majorBidi"/>
        </w:rPr>
      </w:pPr>
    </w:p>
    <w:p w:rsidR="00FC0696" w:rsidRPr="008B347D" w:rsidRDefault="00FC0696" w:rsidP="00FC0696">
      <w:pPr>
        <w:bidi w:val="0"/>
        <w:jc w:val="both"/>
        <w:rPr>
          <w:rFonts w:asciiTheme="majorBidi" w:hAnsiTheme="majorBidi" w:cstheme="majorBidi"/>
          <w:b/>
          <w:bCs/>
        </w:rPr>
      </w:pPr>
      <w:r w:rsidRPr="00FC0696">
        <w:rPr>
          <w:noProof/>
        </w:rPr>
        <w:drawing>
          <wp:inline distT="0" distB="0" distL="0" distR="0" wp14:anchorId="3E36B64A" wp14:editId="53FBFE16">
            <wp:extent cx="5486400" cy="2236023"/>
            <wp:effectExtent l="0" t="0" r="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3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B72" w:rsidRDefault="005C4B72" w:rsidP="006535E6">
      <w:pPr>
        <w:bidi w:val="0"/>
        <w:jc w:val="both"/>
        <w:rPr>
          <w:rFonts w:asciiTheme="majorBidi" w:hAnsiTheme="majorBidi" w:cstheme="majorBidi"/>
        </w:rPr>
      </w:pPr>
    </w:p>
    <w:p w:rsidR="000B1B2F" w:rsidRPr="00320932" w:rsidRDefault="00AD13E6" w:rsidP="000B636C">
      <w:pPr>
        <w:bidi w:val="0"/>
        <w:jc w:val="both"/>
        <w:rPr>
          <w:rFonts w:asciiTheme="majorBidi" w:hAnsiTheme="majorBidi" w:cstheme="majorBidi"/>
        </w:rPr>
      </w:pPr>
      <w:r w:rsidRPr="00320932">
        <w:rPr>
          <w:rFonts w:asciiTheme="majorBidi" w:hAnsiTheme="majorBidi" w:cstheme="majorBidi"/>
        </w:rPr>
        <w:t xml:space="preserve">The </w:t>
      </w:r>
      <w:r w:rsidR="00566101" w:rsidRPr="00320932">
        <w:rPr>
          <w:rFonts w:asciiTheme="majorBidi" w:hAnsiTheme="majorBidi" w:cstheme="majorBidi"/>
        </w:rPr>
        <w:t xml:space="preserve">net balance of </w:t>
      </w:r>
      <w:r w:rsidR="00566101" w:rsidRPr="00320932">
        <w:rPr>
          <w:rFonts w:asciiTheme="majorBidi" w:hAnsiTheme="majorBidi" w:cstheme="majorBidi"/>
          <w:b/>
          <w:bCs/>
        </w:rPr>
        <w:t>manufacturing</w:t>
      </w:r>
      <w:r w:rsidR="00566101" w:rsidRPr="00320932">
        <w:rPr>
          <w:rFonts w:asciiTheme="majorBidi" w:hAnsiTheme="majorBidi" w:cstheme="majorBidi"/>
        </w:rPr>
        <w:t xml:space="preserve"> industry output indicat</w:t>
      </w:r>
      <w:r w:rsidR="00A00160" w:rsidRPr="00320932">
        <w:rPr>
          <w:rFonts w:asciiTheme="majorBidi" w:hAnsiTheme="majorBidi" w:cstheme="majorBidi"/>
        </w:rPr>
        <w:t>es</w:t>
      </w:r>
      <w:r w:rsidR="00566101" w:rsidRPr="00320932">
        <w:rPr>
          <w:rFonts w:asciiTheme="majorBidi" w:hAnsiTheme="majorBidi" w:cstheme="majorBidi"/>
        </w:rPr>
        <w:t xml:space="preserve"> </w:t>
      </w:r>
      <w:r w:rsidR="008A39A2" w:rsidRPr="00320932">
        <w:rPr>
          <w:rFonts w:asciiTheme="majorBidi" w:hAnsiTheme="majorBidi" w:cstheme="majorBidi"/>
        </w:rPr>
        <w:t>that output and the number of employees have</w:t>
      </w:r>
      <w:r w:rsidR="00D17BF2" w:rsidRPr="00320932">
        <w:rPr>
          <w:rFonts w:asciiTheme="majorBidi" w:hAnsiTheme="majorBidi" w:cstheme="majorBidi"/>
        </w:rPr>
        <w:t xml:space="preserve"> </w:t>
      </w:r>
      <w:r w:rsidR="000B636C" w:rsidRPr="00320932">
        <w:rPr>
          <w:rFonts w:asciiTheme="majorBidi" w:hAnsiTheme="majorBidi" w:cstheme="majorBidi"/>
        </w:rPr>
        <w:t>essentially</w:t>
      </w:r>
      <w:r w:rsidR="008A39A2" w:rsidRPr="00320932">
        <w:rPr>
          <w:rFonts w:asciiTheme="majorBidi" w:hAnsiTheme="majorBidi" w:cstheme="majorBidi"/>
        </w:rPr>
        <w:t xml:space="preserve"> not changed. Nonetheless, companies report a decline in sales to th</w:t>
      </w:r>
      <w:r w:rsidR="00960EAD" w:rsidRPr="00320932">
        <w:rPr>
          <w:rFonts w:asciiTheme="majorBidi" w:hAnsiTheme="majorBidi" w:cstheme="majorBidi"/>
        </w:rPr>
        <w:t xml:space="preserve">e domestic market and a moderate contraction in exports. </w:t>
      </w:r>
      <w:r w:rsidR="00E97AA9" w:rsidRPr="00320932">
        <w:rPr>
          <w:rFonts w:asciiTheme="majorBidi" w:hAnsiTheme="majorBidi" w:cstheme="majorBidi"/>
        </w:rPr>
        <w:t xml:space="preserve">Expectations in the </w:t>
      </w:r>
      <w:r w:rsidR="00960EAD" w:rsidRPr="00320932">
        <w:rPr>
          <w:rFonts w:asciiTheme="majorBidi" w:hAnsiTheme="majorBidi" w:cstheme="majorBidi"/>
        </w:rPr>
        <w:t xml:space="preserve">industry </w:t>
      </w:r>
      <w:r w:rsidR="00E97AA9" w:rsidRPr="00320932">
        <w:rPr>
          <w:rFonts w:asciiTheme="majorBidi" w:hAnsiTheme="majorBidi" w:cstheme="majorBidi"/>
        </w:rPr>
        <w:t xml:space="preserve">are for </w:t>
      </w:r>
      <w:r w:rsidR="00960EAD" w:rsidRPr="00320932">
        <w:rPr>
          <w:rFonts w:asciiTheme="majorBidi" w:hAnsiTheme="majorBidi" w:cstheme="majorBidi"/>
        </w:rPr>
        <w:t xml:space="preserve">an additional slight slowdown next quarter, based on </w:t>
      </w:r>
      <w:r w:rsidR="00323737" w:rsidRPr="00320932">
        <w:rPr>
          <w:rFonts w:asciiTheme="majorBidi" w:hAnsiTheme="majorBidi" w:cstheme="majorBidi"/>
        </w:rPr>
        <w:t xml:space="preserve">the </w:t>
      </w:r>
      <w:r w:rsidR="00A00160" w:rsidRPr="00320932">
        <w:rPr>
          <w:rFonts w:asciiTheme="majorBidi" w:hAnsiTheme="majorBidi" w:cstheme="majorBidi"/>
        </w:rPr>
        <w:t>orders</w:t>
      </w:r>
      <w:r w:rsidR="00323737" w:rsidRPr="00320932">
        <w:rPr>
          <w:rFonts w:asciiTheme="majorBidi" w:hAnsiTheme="majorBidi" w:cstheme="majorBidi"/>
        </w:rPr>
        <w:t xml:space="preserve"> </w:t>
      </w:r>
      <w:r w:rsidR="00A00160" w:rsidRPr="00320932">
        <w:rPr>
          <w:rFonts w:asciiTheme="majorBidi" w:hAnsiTheme="majorBidi" w:cstheme="majorBidi"/>
        </w:rPr>
        <w:t>for the domestic market and for exports</w:t>
      </w:r>
      <w:r w:rsidR="000B1B2F" w:rsidRPr="00320932">
        <w:rPr>
          <w:rFonts w:asciiTheme="majorBidi" w:hAnsiTheme="majorBidi" w:cstheme="majorBidi"/>
        </w:rPr>
        <w:t>.</w:t>
      </w:r>
    </w:p>
    <w:p w:rsidR="000B1B2F" w:rsidRDefault="000B1B2F" w:rsidP="000B1B2F">
      <w:pPr>
        <w:bidi w:val="0"/>
        <w:jc w:val="both"/>
        <w:rPr>
          <w:rFonts w:asciiTheme="majorBidi" w:hAnsiTheme="majorBidi" w:cstheme="majorBidi"/>
        </w:rPr>
      </w:pPr>
    </w:p>
    <w:p w:rsidR="00680F6E" w:rsidRDefault="00680F6E" w:rsidP="0041764B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net balance of </w:t>
      </w:r>
      <w:r w:rsidRPr="000F64CE">
        <w:rPr>
          <w:rFonts w:asciiTheme="majorBidi" w:hAnsiTheme="majorBidi" w:cstheme="majorBidi"/>
          <w:b/>
          <w:bCs/>
        </w:rPr>
        <w:t>services</w:t>
      </w:r>
      <w:r>
        <w:rPr>
          <w:rFonts w:asciiTheme="majorBidi" w:hAnsiTheme="majorBidi" w:cstheme="majorBidi"/>
        </w:rPr>
        <w:t xml:space="preserve"> industry revenue </w:t>
      </w:r>
      <w:r w:rsidR="00E20B66">
        <w:rPr>
          <w:rFonts w:asciiTheme="majorBidi" w:hAnsiTheme="majorBidi" w:cstheme="majorBidi"/>
        </w:rPr>
        <w:t xml:space="preserve">also indicates no change in activity, </w:t>
      </w:r>
      <w:r>
        <w:rPr>
          <w:rFonts w:asciiTheme="majorBidi" w:hAnsiTheme="majorBidi" w:cstheme="majorBidi"/>
        </w:rPr>
        <w:t xml:space="preserve">due to </w:t>
      </w:r>
      <w:r w:rsidR="00E20B66">
        <w:rPr>
          <w:rFonts w:asciiTheme="majorBidi" w:hAnsiTheme="majorBidi" w:cstheme="majorBidi"/>
        </w:rPr>
        <w:t xml:space="preserve">stability </w:t>
      </w:r>
      <w:r w:rsidR="00A00160">
        <w:rPr>
          <w:rFonts w:asciiTheme="majorBidi" w:hAnsiTheme="majorBidi" w:cstheme="majorBidi"/>
        </w:rPr>
        <w:t xml:space="preserve">in </w:t>
      </w:r>
      <w:r>
        <w:rPr>
          <w:rFonts w:asciiTheme="majorBidi" w:hAnsiTheme="majorBidi" w:cstheme="majorBidi"/>
        </w:rPr>
        <w:t>the sales of services in Israel</w:t>
      </w:r>
      <w:r w:rsidR="00E20B66">
        <w:rPr>
          <w:rFonts w:asciiTheme="majorBidi" w:hAnsiTheme="majorBidi" w:cstheme="majorBidi"/>
        </w:rPr>
        <w:t xml:space="preserve">, even as sales to </w:t>
      </w:r>
      <w:r w:rsidR="00A00160">
        <w:rPr>
          <w:rFonts w:asciiTheme="majorBidi" w:hAnsiTheme="majorBidi" w:cstheme="majorBidi"/>
        </w:rPr>
        <w:t>abroad</w:t>
      </w:r>
      <w:r w:rsidR="00E20B66">
        <w:rPr>
          <w:rFonts w:asciiTheme="majorBidi" w:hAnsiTheme="majorBidi" w:cstheme="majorBidi"/>
        </w:rPr>
        <w:t xml:space="preserve"> </w:t>
      </w:r>
      <w:r w:rsidR="00904C43">
        <w:rPr>
          <w:rFonts w:asciiTheme="majorBidi" w:hAnsiTheme="majorBidi" w:cstheme="majorBidi"/>
        </w:rPr>
        <w:t xml:space="preserve">continue to </w:t>
      </w:r>
      <w:r w:rsidR="00E20B66">
        <w:rPr>
          <w:rFonts w:asciiTheme="majorBidi" w:hAnsiTheme="majorBidi" w:cstheme="majorBidi"/>
        </w:rPr>
        <w:t>contract. It appears that companies see the contraction as a temporary situation, as they are expanding their workforces and expect an increase in orders next quarter.</w:t>
      </w:r>
    </w:p>
    <w:p w:rsidR="00680F6E" w:rsidRDefault="00680F6E" w:rsidP="00680F6E">
      <w:pPr>
        <w:bidi w:val="0"/>
        <w:jc w:val="both"/>
        <w:rPr>
          <w:rFonts w:asciiTheme="majorBidi" w:hAnsiTheme="majorBidi" w:cstheme="majorBidi"/>
        </w:rPr>
      </w:pPr>
    </w:p>
    <w:p w:rsidR="00FA2A42" w:rsidRDefault="00FA2A42" w:rsidP="00E20B66">
      <w:pPr>
        <w:bidi w:val="0"/>
        <w:jc w:val="both"/>
        <w:rPr>
          <w:rFonts w:asciiTheme="majorBidi" w:hAnsiTheme="majorBidi" w:cstheme="majorBidi"/>
        </w:rPr>
      </w:pPr>
      <w:r w:rsidRPr="00A60637">
        <w:rPr>
          <w:rFonts w:asciiTheme="majorBidi" w:hAnsiTheme="majorBidi" w:cstheme="majorBidi"/>
        </w:rPr>
        <w:t>The net balance of sales i</w:t>
      </w:r>
      <w:r w:rsidR="00036CC1" w:rsidRPr="00A60637">
        <w:rPr>
          <w:rFonts w:asciiTheme="majorBidi" w:hAnsiTheme="majorBidi" w:cstheme="majorBidi"/>
        </w:rPr>
        <w:t xml:space="preserve">n the </w:t>
      </w:r>
      <w:r w:rsidR="00036CC1" w:rsidRPr="00A60637">
        <w:rPr>
          <w:rFonts w:asciiTheme="majorBidi" w:hAnsiTheme="majorBidi" w:cstheme="majorBidi"/>
          <w:b/>
          <w:bCs/>
        </w:rPr>
        <w:t>trade</w:t>
      </w:r>
      <w:r w:rsidR="00036CC1" w:rsidRPr="00A60637">
        <w:rPr>
          <w:rFonts w:asciiTheme="majorBidi" w:hAnsiTheme="majorBidi" w:cstheme="majorBidi"/>
        </w:rPr>
        <w:t xml:space="preserve"> industry</w:t>
      </w:r>
      <w:r w:rsidRPr="00A60637">
        <w:rPr>
          <w:rFonts w:asciiTheme="majorBidi" w:hAnsiTheme="majorBidi" w:cstheme="majorBidi"/>
        </w:rPr>
        <w:t xml:space="preserve"> was </w:t>
      </w:r>
      <w:r w:rsidR="00E20B66">
        <w:rPr>
          <w:rFonts w:asciiTheme="majorBidi" w:hAnsiTheme="majorBidi" w:cstheme="majorBidi"/>
        </w:rPr>
        <w:t>positive to a s</w:t>
      </w:r>
      <w:bookmarkStart w:id="0" w:name="_GoBack"/>
      <w:bookmarkEnd w:id="0"/>
      <w:r w:rsidR="00E20B66">
        <w:rPr>
          <w:rFonts w:asciiTheme="majorBidi" w:hAnsiTheme="majorBidi" w:cstheme="majorBidi"/>
        </w:rPr>
        <w:t xml:space="preserve">tatistically significant extent, but was not </w:t>
      </w:r>
      <w:r w:rsidRPr="00A60637">
        <w:rPr>
          <w:rFonts w:asciiTheme="majorBidi" w:hAnsiTheme="majorBidi" w:cstheme="majorBidi"/>
        </w:rPr>
        <w:t xml:space="preserve">accompanied by </w:t>
      </w:r>
      <w:r w:rsidR="00E20B66">
        <w:rPr>
          <w:rFonts w:asciiTheme="majorBidi" w:hAnsiTheme="majorBidi" w:cstheme="majorBidi"/>
        </w:rPr>
        <w:t xml:space="preserve">an </w:t>
      </w:r>
      <w:r w:rsidR="00A00160">
        <w:rPr>
          <w:rFonts w:asciiTheme="majorBidi" w:hAnsiTheme="majorBidi" w:cstheme="majorBidi"/>
        </w:rPr>
        <w:t>increase</w:t>
      </w:r>
      <w:r w:rsidRPr="00A60637">
        <w:rPr>
          <w:rFonts w:asciiTheme="majorBidi" w:hAnsiTheme="majorBidi" w:cstheme="majorBidi"/>
        </w:rPr>
        <w:t xml:space="preserve"> in the number of employees.</w:t>
      </w:r>
      <w:r>
        <w:rPr>
          <w:rFonts w:asciiTheme="majorBidi" w:hAnsiTheme="majorBidi" w:cstheme="majorBidi"/>
        </w:rPr>
        <w:t xml:space="preserve"> Expectations in the industry are </w:t>
      </w:r>
      <w:r w:rsidR="00E20B66">
        <w:rPr>
          <w:rFonts w:asciiTheme="majorBidi" w:hAnsiTheme="majorBidi" w:cstheme="majorBidi"/>
        </w:rPr>
        <w:t xml:space="preserve">that sales will continue to increase </w:t>
      </w:r>
      <w:r w:rsidR="007104AF">
        <w:rPr>
          <w:rFonts w:asciiTheme="majorBidi" w:hAnsiTheme="majorBidi" w:cstheme="majorBidi"/>
        </w:rPr>
        <w:t>in the next quarter.</w:t>
      </w:r>
    </w:p>
    <w:p w:rsidR="000B1B2F" w:rsidRDefault="000B1B2F" w:rsidP="000B1B2F">
      <w:pPr>
        <w:bidi w:val="0"/>
        <w:jc w:val="both"/>
        <w:rPr>
          <w:rFonts w:asciiTheme="majorBidi" w:hAnsiTheme="majorBidi" w:cstheme="majorBidi"/>
        </w:rPr>
      </w:pPr>
    </w:p>
    <w:p w:rsidR="00EA7B97" w:rsidRDefault="00EA7B97" w:rsidP="001B388C">
      <w:pPr>
        <w:bidi w:val="0"/>
        <w:jc w:val="both"/>
        <w:rPr>
          <w:rFonts w:asciiTheme="majorBidi" w:hAnsiTheme="majorBidi" w:cstheme="majorBidi"/>
        </w:rPr>
      </w:pPr>
      <w:r w:rsidRPr="001B388C">
        <w:rPr>
          <w:rFonts w:asciiTheme="majorBidi" w:hAnsiTheme="majorBidi" w:cstheme="majorBidi"/>
        </w:rPr>
        <w:t xml:space="preserve">The net balance </w:t>
      </w:r>
      <w:r w:rsidR="00904C43">
        <w:rPr>
          <w:rFonts w:asciiTheme="majorBidi" w:hAnsiTheme="majorBidi" w:cstheme="majorBidi"/>
        </w:rPr>
        <w:t xml:space="preserve">of overall activity </w:t>
      </w:r>
      <w:r w:rsidRPr="001B388C">
        <w:rPr>
          <w:rFonts w:asciiTheme="majorBidi" w:hAnsiTheme="majorBidi" w:cstheme="majorBidi"/>
        </w:rPr>
        <w:t xml:space="preserve">in the </w:t>
      </w:r>
      <w:r w:rsidRPr="001B388C">
        <w:rPr>
          <w:rFonts w:asciiTheme="majorBidi" w:hAnsiTheme="majorBidi" w:cstheme="majorBidi"/>
          <w:b/>
          <w:bCs/>
        </w:rPr>
        <w:t>transport and communications</w:t>
      </w:r>
      <w:r w:rsidRPr="001B388C">
        <w:rPr>
          <w:rFonts w:asciiTheme="majorBidi" w:hAnsiTheme="majorBidi" w:cstheme="majorBidi"/>
        </w:rPr>
        <w:t xml:space="preserve"> industry was also </w:t>
      </w:r>
      <w:r w:rsidR="001B388C" w:rsidRPr="001B388C">
        <w:rPr>
          <w:rFonts w:asciiTheme="majorBidi" w:hAnsiTheme="majorBidi" w:cstheme="majorBidi"/>
        </w:rPr>
        <w:t xml:space="preserve">very </w:t>
      </w:r>
      <w:r w:rsidRPr="001B388C">
        <w:rPr>
          <w:rFonts w:asciiTheme="majorBidi" w:hAnsiTheme="majorBidi" w:cstheme="majorBidi"/>
        </w:rPr>
        <w:t>positive, reflect</w:t>
      </w:r>
      <w:r w:rsidR="001B388C" w:rsidRPr="001B388C">
        <w:rPr>
          <w:rFonts w:asciiTheme="majorBidi" w:hAnsiTheme="majorBidi" w:cstheme="majorBidi"/>
        </w:rPr>
        <w:t xml:space="preserve">ing </w:t>
      </w:r>
      <w:r w:rsidRPr="001B388C">
        <w:rPr>
          <w:rFonts w:asciiTheme="majorBidi" w:hAnsiTheme="majorBidi" w:cstheme="majorBidi"/>
        </w:rPr>
        <w:t>increase</w:t>
      </w:r>
      <w:r w:rsidR="001B388C" w:rsidRPr="001B388C">
        <w:rPr>
          <w:rFonts w:asciiTheme="majorBidi" w:hAnsiTheme="majorBidi" w:cstheme="majorBidi"/>
        </w:rPr>
        <w:t>s</w:t>
      </w:r>
      <w:r w:rsidRPr="001B388C">
        <w:rPr>
          <w:rFonts w:asciiTheme="majorBidi" w:hAnsiTheme="majorBidi" w:cstheme="majorBidi"/>
        </w:rPr>
        <w:t xml:space="preserve"> in sales of services to Israelis and in the utilization of equipment, alongside stability in sales of services to nonresidents. Expectations in the industry are that </w:t>
      </w:r>
      <w:r w:rsidR="001B388C" w:rsidRPr="001B388C">
        <w:rPr>
          <w:rFonts w:asciiTheme="majorBidi" w:hAnsiTheme="majorBidi" w:cstheme="majorBidi"/>
        </w:rPr>
        <w:t xml:space="preserve">activity will continue to expand </w:t>
      </w:r>
      <w:r w:rsidRPr="001B388C">
        <w:rPr>
          <w:rFonts w:asciiTheme="majorBidi" w:hAnsiTheme="majorBidi" w:cstheme="majorBidi"/>
        </w:rPr>
        <w:t>in the next quarter.</w:t>
      </w:r>
    </w:p>
    <w:p w:rsidR="00EA7B97" w:rsidRDefault="00EA7B97" w:rsidP="00EA7B97">
      <w:pPr>
        <w:bidi w:val="0"/>
        <w:jc w:val="both"/>
        <w:rPr>
          <w:rFonts w:asciiTheme="majorBidi" w:hAnsiTheme="majorBidi" w:cstheme="majorBidi"/>
        </w:rPr>
      </w:pPr>
    </w:p>
    <w:p w:rsidR="007104AF" w:rsidRDefault="007104AF" w:rsidP="00266332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the </w:t>
      </w:r>
      <w:r w:rsidRPr="00846206">
        <w:rPr>
          <w:rFonts w:asciiTheme="majorBidi" w:hAnsiTheme="majorBidi" w:cstheme="majorBidi"/>
          <w:b/>
          <w:bCs/>
        </w:rPr>
        <w:t>construction</w:t>
      </w:r>
      <w:r>
        <w:rPr>
          <w:rFonts w:asciiTheme="majorBidi" w:hAnsiTheme="majorBidi" w:cstheme="majorBidi"/>
        </w:rPr>
        <w:t xml:space="preserve"> industry, the net balance of volume of activity was positive</w:t>
      </w:r>
      <w:r w:rsidR="00571D96">
        <w:rPr>
          <w:rFonts w:asciiTheme="majorBidi" w:hAnsiTheme="majorBidi" w:cstheme="majorBidi"/>
        </w:rPr>
        <w:t>, reflecting an increase in activity in the construction of buildings</w:t>
      </w:r>
      <w:r>
        <w:rPr>
          <w:rFonts w:asciiTheme="majorBidi" w:hAnsiTheme="majorBidi" w:cstheme="majorBidi"/>
        </w:rPr>
        <w:t xml:space="preserve"> alongside a contraction in infrastructure construction. Expectations in the industry are that </w:t>
      </w:r>
      <w:r w:rsidR="00571D96">
        <w:rPr>
          <w:rFonts w:asciiTheme="majorBidi" w:hAnsiTheme="majorBidi" w:cstheme="majorBidi"/>
        </w:rPr>
        <w:t xml:space="preserve">activity will continue to expand </w:t>
      </w:r>
      <w:r>
        <w:rPr>
          <w:rFonts w:asciiTheme="majorBidi" w:hAnsiTheme="majorBidi" w:cstheme="majorBidi"/>
        </w:rPr>
        <w:t>in the next quarter</w:t>
      </w:r>
      <w:r w:rsidR="00266332">
        <w:rPr>
          <w:rFonts w:asciiTheme="majorBidi" w:hAnsiTheme="majorBidi" w:cstheme="majorBidi"/>
        </w:rPr>
        <w:t xml:space="preserve"> as well</w:t>
      </w:r>
      <w:r>
        <w:rPr>
          <w:rFonts w:asciiTheme="majorBidi" w:hAnsiTheme="majorBidi" w:cstheme="majorBidi"/>
        </w:rPr>
        <w:t xml:space="preserve">. </w:t>
      </w:r>
    </w:p>
    <w:p w:rsidR="00961FB3" w:rsidRDefault="00961FB3" w:rsidP="00961FB3">
      <w:pPr>
        <w:bidi w:val="0"/>
        <w:jc w:val="both"/>
        <w:rPr>
          <w:rFonts w:asciiTheme="majorBidi" w:hAnsiTheme="majorBidi" w:cstheme="majorBidi"/>
        </w:rPr>
      </w:pPr>
    </w:p>
    <w:p w:rsidR="00EA7B97" w:rsidRDefault="00EA7B97" w:rsidP="00C90DDA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net balance of activity in the </w:t>
      </w:r>
      <w:r>
        <w:rPr>
          <w:rFonts w:asciiTheme="majorBidi" w:hAnsiTheme="majorBidi" w:cstheme="majorBidi"/>
          <w:b/>
          <w:bCs/>
        </w:rPr>
        <w:t>hotels</w:t>
      </w:r>
      <w:r>
        <w:rPr>
          <w:rFonts w:asciiTheme="majorBidi" w:hAnsiTheme="majorBidi" w:cstheme="majorBidi"/>
        </w:rPr>
        <w:t xml:space="preserve"> industry </w:t>
      </w:r>
      <w:r w:rsidR="00C90DDA">
        <w:rPr>
          <w:rFonts w:asciiTheme="majorBidi" w:hAnsiTheme="majorBidi" w:cstheme="majorBidi"/>
        </w:rPr>
        <w:t xml:space="preserve">is negative and indicates a decline </w:t>
      </w:r>
      <w:r>
        <w:rPr>
          <w:rFonts w:asciiTheme="majorBidi" w:hAnsiTheme="majorBidi" w:cstheme="majorBidi"/>
        </w:rPr>
        <w:t>in the level of activity</w:t>
      </w:r>
      <w:r w:rsidR="00C90DDA">
        <w:rPr>
          <w:rFonts w:asciiTheme="majorBidi" w:hAnsiTheme="majorBidi" w:cstheme="majorBidi"/>
        </w:rPr>
        <w:t xml:space="preserve">. The balance reflects </w:t>
      </w:r>
      <w:r>
        <w:rPr>
          <w:rFonts w:asciiTheme="majorBidi" w:hAnsiTheme="majorBidi" w:cstheme="majorBidi"/>
        </w:rPr>
        <w:t>a further decline in the number of overnight stays by tourists from abroad</w:t>
      </w:r>
      <w:r w:rsidR="00C90DDA">
        <w:rPr>
          <w:rFonts w:asciiTheme="majorBidi" w:hAnsiTheme="majorBidi" w:cstheme="majorBidi"/>
        </w:rPr>
        <w:t xml:space="preserve"> alongside an increase in the number of </w:t>
      </w:r>
      <w:r w:rsidR="00C90DDA" w:rsidRPr="001D5A1E">
        <w:rPr>
          <w:rFonts w:asciiTheme="majorBidi" w:hAnsiTheme="majorBidi" w:cstheme="majorBidi"/>
        </w:rPr>
        <w:t>overnight stays by</w:t>
      </w:r>
      <w:r w:rsidR="00C90DDA">
        <w:rPr>
          <w:rFonts w:asciiTheme="majorBidi" w:hAnsiTheme="majorBidi" w:cstheme="majorBidi"/>
        </w:rPr>
        <w:t xml:space="preserve"> Israelis</w:t>
      </w:r>
      <w:r>
        <w:rPr>
          <w:rFonts w:asciiTheme="majorBidi" w:hAnsiTheme="majorBidi" w:cstheme="majorBidi"/>
        </w:rPr>
        <w:t>. Expectations in the industry are that the decline in reservations will continue</w:t>
      </w:r>
      <w:r w:rsidRPr="00A87C4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in the next quarter.</w:t>
      </w:r>
    </w:p>
    <w:p w:rsidR="00EA7B97" w:rsidRDefault="00EA7B97" w:rsidP="00EA7B97">
      <w:pPr>
        <w:bidi w:val="0"/>
        <w:jc w:val="both"/>
        <w:rPr>
          <w:rFonts w:asciiTheme="majorBidi" w:hAnsiTheme="majorBidi" w:cstheme="majorBidi"/>
        </w:rPr>
      </w:pPr>
    </w:p>
    <w:p w:rsidR="00556589" w:rsidRDefault="00556589" w:rsidP="00711E7B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An examination of supply and demand constraints indicates that demand </w:t>
      </w:r>
      <w:r w:rsidR="002372B0">
        <w:rPr>
          <w:rFonts w:asciiTheme="majorBidi" w:hAnsiTheme="majorBidi" w:cstheme="majorBidi"/>
        </w:rPr>
        <w:t xml:space="preserve">remains the main </w:t>
      </w:r>
      <w:r>
        <w:rPr>
          <w:rFonts w:asciiTheme="majorBidi" w:hAnsiTheme="majorBidi" w:cstheme="majorBidi"/>
        </w:rPr>
        <w:t xml:space="preserve">constraint </w:t>
      </w:r>
      <w:r w:rsidR="002372B0">
        <w:rPr>
          <w:rFonts w:asciiTheme="majorBidi" w:hAnsiTheme="majorBidi" w:cstheme="majorBidi"/>
        </w:rPr>
        <w:t xml:space="preserve">on activity (excluding </w:t>
      </w:r>
      <w:r w:rsidR="00904C43">
        <w:rPr>
          <w:rFonts w:asciiTheme="majorBidi" w:hAnsiTheme="majorBidi" w:cstheme="majorBidi"/>
        </w:rPr>
        <w:t xml:space="preserve">the </w:t>
      </w:r>
      <w:r w:rsidR="002372B0">
        <w:rPr>
          <w:rFonts w:asciiTheme="majorBidi" w:hAnsiTheme="majorBidi" w:cstheme="majorBidi"/>
        </w:rPr>
        <w:t xml:space="preserve">construction industry); </w:t>
      </w:r>
      <w:r w:rsidR="00571D96">
        <w:rPr>
          <w:rFonts w:asciiTheme="majorBidi" w:hAnsiTheme="majorBidi" w:cstheme="majorBidi"/>
        </w:rPr>
        <w:t>although d</w:t>
      </w:r>
      <w:r>
        <w:rPr>
          <w:rFonts w:asciiTheme="majorBidi" w:hAnsiTheme="majorBidi" w:cstheme="majorBidi"/>
        </w:rPr>
        <w:t>emand constraints in all industries are not severe</w:t>
      </w:r>
      <w:r w:rsidR="00571D96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In terms of the financing constraint, </w:t>
      </w:r>
      <w:r w:rsidR="00B571D2">
        <w:rPr>
          <w:rFonts w:asciiTheme="majorBidi" w:hAnsiTheme="majorBidi" w:cstheme="majorBidi"/>
        </w:rPr>
        <w:t xml:space="preserve">its level is low but it </w:t>
      </w:r>
      <w:r w:rsidR="002372B0">
        <w:rPr>
          <w:rFonts w:asciiTheme="majorBidi" w:hAnsiTheme="majorBidi" w:cstheme="majorBidi"/>
        </w:rPr>
        <w:t xml:space="preserve">has become </w:t>
      </w:r>
      <w:r w:rsidR="00B571D2">
        <w:rPr>
          <w:rFonts w:asciiTheme="majorBidi" w:hAnsiTheme="majorBidi" w:cstheme="majorBidi"/>
        </w:rPr>
        <w:t xml:space="preserve">somewhat </w:t>
      </w:r>
      <w:r w:rsidR="002372B0">
        <w:rPr>
          <w:rFonts w:asciiTheme="majorBidi" w:hAnsiTheme="majorBidi" w:cstheme="majorBidi"/>
        </w:rPr>
        <w:t xml:space="preserve">more severe </w:t>
      </w:r>
      <w:r>
        <w:rPr>
          <w:rFonts w:asciiTheme="majorBidi" w:hAnsiTheme="majorBidi" w:cstheme="majorBidi"/>
        </w:rPr>
        <w:t xml:space="preserve">among </w:t>
      </w:r>
      <w:r w:rsidR="002372B0">
        <w:rPr>
          <w:rFonts w:asciiTheme="majorBidi" w:hAnsiTheme="majorBidi" w:cstheme="majorBidi"/>
        </w:rPr>
        <w:t xml:space="preserve">small </w:t>
      </w:r>
      <w:r>
        <w:rPr>
          <w:rFonts w:asciiTheme="majorBidi" w:hAnsiTheme="majorBidi" w:cstheme="majorBidi"/>
        </w:rPr>
        <w:t xml:space="preserve">companies, and </w:t>
      </w:r>
      <w:r w:rsidR="002372B0">
        <w:rPr>
          <w:rFonts w:asciiTheme="majorBidi" w:hAnsiTheme="majorBidi" w:cstheme="majorBidi"/>
        </w:rPr>
        <w:t xml:space="preserve">is stable among medium and </w:t>
      </w:r>
      <w:r>
        <w:rPr>
          <w:rFonts w:asciiTheme="majorBidi" w:hAnsiTheme="majorBidi" w:cstheme="majorBidi"/>
        </w:rPr>
        <w:t xml:space="preserve">large companies (Figure 3). </w:t>
      </w:r>
    </w:p>
    <w:p w:rsidR="00A8534E" w:rsidRDefault="00A8534E" w:rsidP="00A8534E">
      <w:pPr>
        <w:bidi w:val="0"/>
        <w:jc w:val="both"/>
        <w:rPr>
          <w:rFonts w:asciiTheme="majorBidi" w:hAnsiTheme="majorBidi" w:cstheme="majorBidi"/>
        </w:rPr>
      </w:pPr>
    </w:p>
    <w:p w:rsidR="00A8534E" w:rsidRPr="00FC5F66" w:rsidRDefault="00A8534E" w:rsidP="00904C43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the </w:t>
      </w:r>
      <w:r w:rsidR="004772C2">
        <w:rPr>
          <w:rFonts w:asciiTheme="majorBidi" w:hAnsiTheme="majorBidi" w:cstheme="majorBidi"/>
        </w:rPr>
        <w:t>second quarter</w:t>
      </w:r>
      <w:r>
        <w:rPr>
          <w:rFonts w:asciiTheme="majorBidi" w:hAnsiTheme="majorBidi" w:cstheme="majorBidi"/>
        </w:rPr>
        <w:t xml:space="preserve"> of 201</w:t>
      </w:r>
      <w:r w:rsidR="0064484C">
        <w:rPr>
          <w:rFonts w:asciiTheme="majorBidi" w:hAnsiTheme="majorBidi" w:cstheme="majorBidi"/>
        </w:rPr>
        <w:t>6</w:t>
      </w:r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  <w:b/>
          <w:bCs/>
        </w:rPr>
        <w:t xml:space="preserve">companies’ expectations of the inflation rate over the coming 12 months </w:t>
      </w:r>
      <w:r w:rsidR="00BD2A71">
        <w:rPr>
          <w:rFonts w:asciiTheme="majorBidi" w:hAnsiTheme="majorBidi" w:cstheme="majorBidi"/>
          <w:b/>
          <w:bCs/>
        </w:rPr>
        <w:t xml:space="preserve">increased </w:t>
      </w:r>
      <w:r w:rsidR="0064484C">
        <w:rPr>
          <w:rFonts w:asciiTheme="majorBidi" w:hAnsiTheme="majorBidi" w:cstheme="majorBidi"/>
        </w:rPr>
        <w:t xml:space="preserve">to </w:t>
      </w:r>
      <w:r w:rsidR="00BD2A71">
        <w:rPr>
          <w:rFonts w:asciiTheme="majorBidi" w:hAnsiTheme="majorBidi" w:cstheme="majorBidi"/>
        </w:rPr>
        <w:t>1.22 percent, with the median remaining at th</w:t>
      </w:r>
      <w:r w:rsidR="00904C43">
        <w:rPr>
          <w:rFonts w:asciiTheme="majorBidi" w:hAnsiTheme="majorBidi" w:cstheme="majorBidi"/>
        </w:rPr>
        <w:t>e</w:t>
      </w:r>
      <w:r w:rsidR="00BD2A71">
        <w:rPr>
          <w:rFonts w:asciiTheme="majorBidi" w:hAnsiTheme="majorBidi" w:cstheme="majorBidi"/>
        </w:rPr>
        <w:t xml:space="preserve"> lower bound (1 percent) of the </w:t>
      </w:r>
      <w:r w:rsidR="0064484C">
        <w:rPr>
          <w:rFonts w:asciiTheme="majorBidi" w:hAnsiTheme="majorBidi" w:cstheme="majorBidi"/>
        </w:rPr>
        <w:t>price stability target range.</w:t>
      </w:r>
      <w:r>
        <w:rPr>
          <w:rFonts w:asciiTheme="majorBidi" w:hAnsiTheme="majorBidi" w:cstheme="majorBidi"/>
        </w:rPr>
        <w:t xml:space="preserve"> Likewise, the share of companies that expect inflation over the coming 12 months </w:t>
      </w:r>
      <w:r w:rsidR="00BD2A71">
        <w:rPr>
          <w:rFonts w:asciiTheme="majorBidi" w:hAnsiTheme="majorBidi" w:cstheme="majorBidi"/>
        </w:rPr>
        <w:t xml:space="preserve">to </w:t>
      </w:r>
      <w:r>
        <w:rPr>
          <w:rFonts w:asciiTheme="majorBidi" w:hAnsiTheme="majorBidi" w:cstheme="majorBidi"/>
        </w:rPr>
        <w:t xml:space="preserve">be within the target range indicating price stability (1–3 percent) </w:t>
      </w:r>
      <w:r w:rsidR="00BD2A71">
        <w:rPr>
          <w:rFonts w:asciiTheme="majorBidi" w:hAnsiTheme="majorBidi" w:cstheme="majorBidi"/>
        </w:rPr>
        <w:t xml:space="preserve">increased to 70 </w:t>
      </w:r>
      <w:r>
        <w:rPr>
          <w:rFonts w:asciiTheme="majorBidi" w:hAnsiTheme="majorBidi" w:cstheme="majorBidi"/>
        </w:rPr>
        <w:t xml:space="preserve">percent. </w:t>
      </w:r>
      <w:r>
        <w:rPr>
          <w:rFonts w:asciiTheme="majorBidi" w:hAnsiTheme="majorBidi" w:cstheme="majorBidi"/>
          <w:b/>
          <w:bCs/>
        </w:rPr>
        <w:t>Expectations for the next quarter regarding the exchange rate</w:t>
      </w:r>
      <w:r>
        <w:rPr>
          <w:rFonts w:asciiTheme="majorBidi" w:hAnsiTheme="majorBidi" w:cstheme="majorBidi"/>
        </w:rPr>
        <w:t xml:space="preserve"> </w:t>
      </w:r>
      <w:r w:rsidR="00BD2A71">
        <w:rPr>
          <w:rFonts w:asciiTheme="majorBidi" w:hAnsiTheme="majorBidi" w:cstheme="majorBidi"/>
        </w:rPr>
        <w:t>remained stable</w:t>
      </w:r>
      <w:r>
        <w:rPr>
          <w:rFonts w:asciiTheme="majorBidi" w:hAnsiTheme="majorBidi" w:cstheme="majorBidi"/>
        </w:rPr>
        <w:t xml:space="preserve">, </w:t>
      </w:r>
      <w:r w:rsidR="00BD2A71">
        <w:rPr>
          <w:rFonts w:asciiTheme="majorBidi" w:hAnsiTheme="majorBidi" w:cstheme="majorBidi"/>
        </w:rPr>
        <w:t xml:space="preserve">at </w:t>
      </w:r>
      <w:r>
        <w:rPr>
          <w:rFonts w:asciiTheme="majorBidi" w:hAnsiTheme="majorBidi" w:cstheme="majorBidi"/>
        </w:rPr>
        <w:t>NIS 3.</w:t>
      </w:r>
      <w:r w:rsidR="00BD2A71">
        <w:rPr>
          <w:rFonts w:asciiTheme="majorBidi" w:hAnsiTheme="majorBidi" w:cstheme="majorBidi"/>
        </w:rPr>
        <w:t>89/</w:t>
      </w:r>
      <w:r>
        <w:rPr>
          <w:rFonts w:asciiTheme="majorBidi" w:hAnsiTheme="majorBidi" w:cstheme="majorBidi"/>
        </w:rPr>
        <w:t xml:space="preserve">$ </w:t>
      </w:r>
      <w:r w:rsidR="00A23376">
        <w:rPr>
          <w:rFonts w:asciiTheme="majorBidi" w:hAnsiTheme="majorBidi" w:cstheme="majorBidi"/>
        </w:rPr>
        <w:t xml:space="preserve">for the next </w:t>
      </w:r>
      <w:r>
        <w:rPr>
          <w:rFonts w:asciiTheme="majorBidi" w:hAnsiTheme="majorBidi" w:cstheme="majorBidi"/>
        </w:rPr>
        <w:t xml:space="preserve">quarter, </w:t>
      </w:r>
      <w:r w:rsidR="00A23376">
        <w:rPr>
          <w:rFonts w:asciiTheme="majorBidi" w:hAnsiTheme="majorBidi" w:cstheme="majorBidi"/>
        </w:rPr>
        <w:t xml:space="preserve">and at </w:t>
      </w:r>
      <w:r>
        <w:rPr>
          <w:rFonts w:asciiTheme="majorBidi" w:hAnsiTheme="majorBidi" w:cstheme="majorBidi"/>
        </w:rPr>
        <w:t>NIS 3.</w:t>
      </w:r>
      <w:r w:rsidR="00A23376">
        <w:rPr>
          <w:rFonts w:asciiTheme="majorBidi" w:hAnsiTheme="majorBidi" w:cstheme="majorBidi"/>
        </w:rPr>
        <w:t xml:space="preserve">94 </w:t>
      </w:r>
      <w:r>
        <w:rPr>
          <w:rFonts w:asciiTheme="majorBidi" w:hAnsiTheme="majorBidi" w:cstheme="majorBidi"/>
        </w:rPr>
        <w:t xml:space="preserve">/$ </w:t>
      </w:r>
      <w:r w:rsidR="00A23376">
        <w:rPr>
          <w:rFonts w:asciiTheme="majorBidi" w:hAnsiTheme="majorBidi" w:cstheme="majorBidi"/>
        </w:rPr>
        <w:t>for one year from now</w:t>
      </w:r>
      <w:r>
        <w:rPr>
          <w:rFonts w:asciiTheme="majorBidi" w:hAnsiTheme="majorBidi" w:cstheme="majorBidi"/>
        </w:rPr>
        <w:t>.</w:t>
      </w:r>
      <w:r w:rsidR="005C4276">
        <w:rPr>
          <w:rFonts w:asciiTheme="majorBidi" w:hAnsiTheme="majorBidi" w:cstheme="majorBidi"/>
        </w:rPr>
        <w:t xml:space="preserve"> </w:t>
      </w:r>
    </w:p>
    <w:p w:rsidR="00556589" w:rsidRDefault="00556589" w:rsidP="00556589">
      <w:pPr>
        <w:bidi w:val="0"/>
        <w:jc w:val="both"/>
        <w:rPr>
          <w:rFonts w:asciiTheme="majorBidi" w:hAnsiTheme="majorBidi" w:cstheme="majorBidi"/>
        </w:rPr>
      </w:pPr>
    </w:p>
    <w:p w:rsidR="00556589" w:rsidRPr="00425BCF" w:rsidRDefault="00425BCF" w:rsidP="00425BCF">
      <w:pPr>
        <w:pStyle w:val="a5"/>
        <w:bidi w:val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* * *</w:t>
      </w:r>
    </w:p>
    <w:p w:rsidR="00556589" w:rsidRDefault="00556589" w:rsidP="00556589">
      <w:pPr>
        <w:bidi w:val="0"/>
        <w:jc w:val="both"/>
        <w:rPr>
          <w:rFonts w:asciiTheme="majorBidi" w:hAnsiTheme="majorBidi" w:cstheme="majorBidi"/>
        </w:rPr>
      </w:pPr>
    </w:p>
    <w:p w:rsidR="00036CC1" w:rsidRDefault="00036CC1" w:rsidP="00D17BF2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Research Department notes that the </w:t>
      </w:r>
      <w:r w:rsidR="00A067A2">
        <w:rPr>
          <w:rFonts w:asciiTheme="majorBidi" w:hAnsiTheme="majorBidi" w:cstheme="majorBidi"/>
        </w:rPr>
        <w:t xml:space="preserve">findings of the Companies Survey for the </w:t>
      </w:r>
      <w:r w:rsidR="004772C2">
        <w:rPr>
          <w:rFonts w:asciiTheme="majorBidi" w:hAnsiTheme="majorBidi" w:cstheme="majorBidi"/>
        </w:rPr>
        <w:t>second quarter</w:t>
      </w:r>
      <w:r w:rsidR="00A067A2">
        <w:rPr>
          <w:rFonts w:asciiTheme="majorBidi" w:hAnsiTheme="majorBidi" w:cstheme="majorBidi"/>
        </w:rPr>
        <w:t xml:space="preserve"> of </w:t>
      </w:r>
      <w:r w:rsidR="00961FB3">
        <w:rPr>
          <w:rFonts w:asciiTheme="majorBidi" w:hAnsiTheme="majorBidi" w:cstheme="majorBidi"/>
        </w:rPr>
        <w:t>201</w:t>
      </w:r>
      <w:r w:rsidR="0064484C">
        <w:rPr>
          <w:rFonts w:asciiTheme="majorBidi" w:hAnsiTheme="majorBidi" w:cstheme="majorBidi"/>
        </w:rPr>
        <w:t>6</w:t>
      </w:r>
      <w:r w:rsidR="00A067A2">
        <w:rPr>
          <w:rFonts w:asciiTheme="majorBidi" w:hAnsiTheme="majorBidi" w:cstheme="majorBidi"/>
        </w:rPr>
        <w:t xml:space="preserve"> are based on the responses of about </w:t>
      </w:r>
      <w:r w:rsidR="00C309BA">
        <w:rPr>
          <w:rFonts w:asciiTheme="majorBidi" w:hAnsiTheme="majorBidi" w:cstheme="majorBidi"/>
        </w:rPr>
        <w:t>3</w:t>
      </w:r>
      <w:r w:rsidR="00D17BF2">
        <w:rPr>
          <w:rFonts w:asciiTheme="majorBidi" w:hAnsiTheme="majorBidi" w:cstheme="majorBidi"/>
        </w:rPr>
        <w:t>3</w:t>
      </w:r>
      <w:r w:rsidR="00C309BA">
        <w:rPr>
          <w:rFonts w:asciiTheme="majorBidi" w:hAnsiTheme="majorBidi" w:cstheme="majorBidi"/>
        </w:rPr>
        <w:t xml:space="preserve">0 </w:t>
      </w:r>
      <w:r w:rsidR="00A067A2">
        <w:rPr>
          <w:rFonts w:asciiTheme="majorBidi" w:hAnsiTheme="majorBidi" w:cstheme="majorBidi"/>
        </w:rPr>
        <w:t xml:space="preserve">companies and businesses in various industries. </w:t>
      </w:r>
    </w:p>
    <w:p w:rsidR="00A067A2" w:rsidRDefault="00A067A2" w:rsidP="0095153E">
      <w:pPr>
        <w:bidi w:val="0"/>
        <w:jc w:val="both"/>
        <w:rPr>
          <w:rFonts w:asciiTheme="majorBidi" w:hAnsiTheme="majorBidi" w:cstheme="majorBidi"/>
        </w:rPr>
      </w:pPr>
    </w:p>
    <w:p w:rsidR="00A067A2" w:rsidRDefault="00A067A2" w:rsidP="00C33BAB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survey’s questions are qualitative: companies are asked to report the direction of changes in various variables—increase, decline, or stability—and to note the strength of the change—“</w:t>
      </w:r>
      <w:r w:rsidR="00C33BAB">
        <w:rPr>
          <w:rFonts w:asciiTheme="majorBidi" w:hAnsiTheme="majorBidi" w:cstheme="majorBidi"/>
        </w:rPr>
        <w:t>great</w:t>
      </w:r>
      <w:r>
        <w:rPr>
          <w:rFonts w:asciiTheme="majorBidi" w:hAnsiTheme="majorBidi" w:cstheme="majorBidi"/>
        </w:rPr>
        <w:t>” or “</w:t>
      </w:r>
      <w:r w:rsidR="00C33BAB">
        <w:rPr>
          <w:rFonts w:asciiTheme="majorBidi" w:hAnsiTheme="majorBidi" w:cstheme="majorBidi"/>
        </w:rPr>
        <w:t>slight</w:t>
      </w:r>
      <w:r>
        <w:rPr>
          <w:rFonts w:asciiTheme="majorBidi" w:hAnsiTheme="majorBidi" w:cstheme="majorBidi"/>
        </w:rPr>
        <w:t>”.</w:t>
      </w:r>
    </w:p>
    <w:p w:rsidR="00A067A2" w:rsidRDefault="00A067A2" w:rsidP="0095153E">
      <w:pPr>
        <w:bidi w:val="0"/>
        <w:jc w:val="both"/>
        <w:rPr>
          <w:rFonts w:asciiTheme="majorBidi" w:hAnsiTheme="majorBidi" w:cstheme="majorBidi"/>
        </w:rPr>
      </w:pPr>
    </w:p>
    <w:p w:rsidR="00D124A2" w:rsidRDefault="00C309BA" w:rsidP="00B50472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</w:t>
      </w:r>
      <w:r w:rsidR="00D124A2">
        <w:rPr>
          <w:rFonts w:asciiTheme="majorBidi" w:hAnsiTheme="majorBidi" w:cstheme="majorBidi"/>
        </w:rPr>
        <w:t xml:space="preserve">Companies Survey data are generally in line with the trends of the macroeconomic data of the economy, and the findings’ advantage is in being </w:t>
      </w:r>
      <w:r w:rsidR="00107061">
        <w:rPr>
          <w:rFonts w:asciiTheme="majorBidi" w:hAnsiTheme="majorBidi" w:cstheme="majorBidi"/>
        </w:rPr>
        <w:t xml:space="preserve">readily </w:t>
      </w:r>
      <w:r w:rsidR="00D124A2">
        <w:rPr>
          <w:rFonts w:asciiTheme="majorBidi" w:hAnsiTheme="majorBidi" w:cstheme="majorBidi"/>
        </w:rPr>
        <w:t xml:space="preserve">available and </w:t>
      </w:r>
      <w:r w:rsidR="00946A08">
        <w:rPr>
          <w:rFonts w:asciiTheme="majorBidi" w:hAnsiTheme="majorBidi" w:cstheme="majorBidi"/>
        </w:rPr>
        <w:t>providing information rapidly, relative to other sources of data.</w:t>
      </w:r>
    </w:p>
    <w:p w:rsidR="00644224" w:rsidRDefault="00644224" w:rsidP="00644224">
      <w:pPr>
        <w:bidi w:val="0"/>
        <w:jc w:val="both"/>
        <w:rPr>
          <w:rFonts w:asciiTheme="majorBidi" w:hAnsiTheme="majorBidi" w:cstheme="majorBidi"/>
        </w:rPr>
      </w:pPr>
    </w:p>
    <w:p w:rsidR="000D097D" w:rsidRDefault="000D097D" w:rsidP="000D097D">
      <w:pPr>
        <w:bidi w:val="0"/>
        <w:jc w:val="both"/>
        <w:rPr>
          <w:rFonts w:asciiTheme="majorBidi" w:hAnsiTheme="majorBidi" w:cstheme="majorBidi"/>
        </w:rPr>
      </w:pPr>
    </w:p>
    <w:p w:rsidR="00644224" w:rsidRDefault="00644224" w:rsidP="00644224">
      <w:pPr>
        <w:bidi w:val="0"/>
        <w:jc w:val="both"/>
        <w:rPr>
          <w:rFonts w:asciiTheme="majorBidi" w:hAnsiTheme="majorBidi" w:cstheme="majorBidi"/>
        </w:rPr>
      </w:pPr>
    </w:p>
    <w:p w:rsidR="00FC0696" w:rsidRDefault="00FC0696" w:rsidP="00FC0696">
      <w:pPr>
        <w:bidi w:val="0"/>
        <w:jc w:val="center"/>
        <w:rPr>
          <w:rFonts w:asciiTheme="majorBidi" w:hAnsiTheme="majorBidi" w:cstheme="majorBidi"/>
          <w:b/>
          <w:bCs/>
        </w:rPr>
      </w:pPr>
    </w:p>
    <w:p w:rsidR="0053009D" w:rsidRDefault="0053009D">
      <w:pPr>
        <w:bidi w:val="0"/>
        <w:spacing w:after="200" w:line="276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:rsidR="0053009D" w:rsidRDefault="0053009D" w:rsidP="0053009D">
      <w:pPr>
        <w:bidi w:val="0"/>
        <w:jc w:val="center"/>
        <w:rPr>
          <w:rFonts w:asciiTheme="majorBidi" w:hAnsiTheme="majorBidi" w:cstheme="majorBidi"/>
          <w:b/>
          <w:bCs/>
        </w:rPr>
      </w:pPr>
      <w:r w:rsidRPr="00644224">
        <w:rPr>
          <w:rFonts w:asciiTheme="majorBidi" w:hAnsiTheme="majorBidi" w:cstheme="majorBidi"/>
          <w:b/>
          <w:bCs/>
        </w:rPr>
        <w:lastRenderedPageBreak/>
        <w:t>Other tables and figures</w:t>
      </w:r>
    </w:p>
    <w:p w:rsidR="0053009D" w:rsidRDefault="0053009D" w:rsidP="0053009D">
      <w:pPr>
        <w:bidi w:val="0"/>
        <w:jc w:val="center"/>
        <w:rPr>
          <w:rFonts w:asciiTheme="majorBidi" w:hAnsiTheme="majorBidi" w:cstheme="majorBidi"/>
          <w:b/>
          <w:bCs/>
        </w:rPr>
      </w:pPr>
    </w:p>
    <w:p w:rsidR="0053009D" w:rsidRDefault="0053009D" w:rsidP="0053009D">
      <w:pPr>
        <w:bidi w:val="0"/>
        <w:jc w:val="center"/>
        <w:rPr>
          <w:rFonts w:asciiTheme="majorBidi" w:hAnsiTheme="majorBidi" w:cstheme="majorBidi"/>
          <w:sz w:val="18"/>
          <w:szCs w:val="18"/>
        </w:rPr>
      </w:pPr>
      <w:r w:rsidRPr="006F7619">
        <w:rPr>
          <w:b/>
          <w:bCs/>
        </w:rPr>
        <w:t xml:space="preserve">Table 2: Statistical </w:t>
      </w:r>
      <w:r>
        <w:rPr>
          <w:b/>
          <w:bCs/>
        </w:rPr>
        <w:t>a</w:t>
      </w:r>
      <w:r w:rsidRPr="006F7619">
        <w:rPr>
          <w:b/>
          <w:bCs/>
        </w:rPr>
        <w:t xml:space="preserve">nalysis of 12-month </w:t>
      </w:r>
      <w:r>
        <w:rPr>
          <w:b/>
          <w:bCs/>
        </w:rPr>
        <w:t>i</w:t>
      </w:r>
      <w:r w:rsidRPr="006F7619">
        <w:rPr>
          <w:b/>
          <w:bCs/>
        </w:rPr>
        <w:t xml:space="preserve">nflation </w:t>
      </w:r>
      <w:r>
        <w:rPr>
          <w:b/>
          <w:bCs/>
        </w:rPr>
        <w:t>e</w:t>
      </w:r>
      <w:r w:rsidRPr="006F7619">
        <w:rPr>
          <w:b/>
          <w:bCs/>
        </w:rPr>
        <w:t>xpectations</w:t>
      </w:r>
    </w:p>
    <w:p w:rsidR="0053009D" w:rsidRPr="00B10EF6" w:rsidRDefault="0053009D" w:rsidP="0053009D">
      <w:pPr>
        <w:bidi w:val="0"/>
        <w:jc w:val="center"/>
        <w:rPr>
          <w:rFonts w:cs="David"/>
          <w:b/>
          <w:bCs/>
          <w:rtl/>
        </w:rPr>
      </w:pPr>
      <w:r w:rsidRPr="0053009D">
        <w:rPr>
          <w:noProof/>
        </w:rPr>
        <w:drawing>
          <wp:inline distT="0" distB="0" distL="0" distR="0" wp14:anchorId="75DA8185" wp14:editId="5AA7B257">
            <wp:extent cx="5486400" cy="1225270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09D" w:rsidRDefault="0053009D" w:rsidP="0053009D">
      <w:pPr>
        <w:bidi w:val="0"/>
        <w:rPr>
          <w:rFonts w:cs="David"/>
          <w:sz w:val="18"/>
          <w:szCs w:val="18"/>
          <w:rtl/>
        </w:rPr>
      </w:pPr>
      <w:r w:rsidRPr="00800F37">
        <w:rPr>
          <w:rFonts w:asciiTheme="majorBidi" w:hAnsiTheme="majorBidi" w:cstheme="majorBidi"/>
          <w:sz w:val="18"/>
          <w:szCs w:val="18"/>
        </w:rPr>
        <w:t>* Skew</w:t>
      </w:r>
      <w:r>
        <w:rPr>
          <w:rFonts w:asciiTheme="majorBidi" w:hAnsiTheme="majorBidi" w:cstheme="majorBidi"/>
          <w:sz w:val="18"/>
          <w:szCs w:val="18"/>
        </w:rPr>
        <w:t>ness</w:t>
      </w:r>
      <w:r w:rsidRPr="00800F37">
        <w:rPr>
          <w:rFonts w:asciiTheme="majorBidi" w:hAnsiTheme="majorBidi" w:cstheme="majorBidi"/>
          <w:sz w:val="18"/>
          <w:szCs w:val="18"/>
        </w:rPr>
        <w:t xml:space="preserve"> is calculated as the difference between average and mode</w:t>
      </w:r>
      <w:r>
        <w:rPr>
          <w:rFonts w:asciiTheme="majorBidi" w:hAnsiTheme="majorBidi" w:cstheme="majorBidi"/>
          <w:sz w:val="18"/>
          <w:szCs w:val="18"/>
        </w:rPr>
        <w:t>.</w:t>
      </w:r>
    </w:p>
    <w:p w:rsidR="0053009D" w:rsidRDefault="0053009D" w:rsidP="0053009D">
      <w:pPr>
        <w:bidi w:val="0"/>
        <w:ind w:left="84"/>
        <w:rPr>
          <w:rFonts w:cs="David"/>
          <w:sz w:val="18"/>
          <w:szCs w:val="18"/>
          <w:rtl/>
        </w:rPr>
      </w:pPr>
    </w:p>
    <w:p w:rsidR="0053009D" w:rsidRPr="00BA5702" w:rsidRDefault="0053009D" w:rsidP="0053009D">
      <w:pPr>
        <w:bidi w:val="0"/>
        <w:jc w:val="center"/>
        <w:rPr>
          <w:rFonts w:asciiTheme="majorBidi" w:hAnsiTheme="majorBidi" w:cstheme="majorBidi"/>
          <w:b/>
          <w:bCs/>
        </w:rPr>
      </w:pPr>
      <w:r w:rsidRPr="00BA5702">
        <w:rPr>
          <w:rFonts w:asciiTheme="majorBidi" w:hAnsiTheme="majorBidi" w:cstheme="majorBidi"/>
          <w:b/>
          <w:bCs/>
        </w:rPr>
        <w:t>Table 3: Companies’ expectations for the NIS/$ exchange rate</w:t>
      </w:r>
    </w:p>
    <w:p w:rsidR="0053009D" w:rsidRDefault="0053009D" w:rsidP="0053009D">
      <w:pPr>
        <w:bidi w:val="0"/>
        <w:ind w:left="84"/>
        <w:jc w:val="center"/>
        <w:rPr>
          <w:rFonts w:cs="David"/>
          <w:sz w:val="18"/>
          <w:szCs w:val="18"/>
          <w:rtl/>
        </w:rPr>
      </w:pPr>
      <w:r w:rsidRPr="00BA5702">
        <w:rPr>
          <w:rFonts w:asciiTheme="majorBidi" w:hAnsiTheme="majorBidi" w:cstheme="majorBidi"/>
          <w:sz w:val="20"/>
          <w:szCs w:val="20"/>
        </w:rPr>
        <w:t>At the time of the survey, the average exchange rate was NIS 3.</w:t>
      </w:r>
      <w:r>
        <w:rPr>
          <w:rFonts w:asciiTheme="majorBidi" w:hAnsiTheme="majorBidi" w:cstheme="majorBidi"/>
          <w:sz w:val="20"/>
          <w:szCs w:val="20"/>
        </w:rPr>
        <w:t>86</w:t>
      </w:r>
      <w:r w:rsidRPr="00BA5702">
        <w:rPr>
          <w:rFonts w:asciiTheme="majorBidi" w:hAnsiTheme="majorBidi" w:cstheme="majorBidi"/>
          <w:sz w:val="20"/>
          <w:szCs w:val="20"/>
        </w:rPr>
        <w:t>/$</w:t>
      </w:r>
    </w:p>
    <w:p w:rsidR="0053009D" w:rsidRPr="00B10EF6" w:rsidRDefault="0053009D" w:rsidP="0053009D">
      <w:pPr>
        <w:bidi w:val="0"/>
        <w:ind w:left="84"/>
        <w:rPr>
          <w:rFonts w:cs="David"/>
          <w:sz w:val="18"/>
          <w:szCs w:val="18"/>
          <w:rtl/>
        </w:rPr>
      </w:pPr>
    </w:p>
    <w:p w:rsidR="0053009D" w:rsidRDefault="0053009D" w:rsidP="0053009D">
      <w:pPr>
        <w:bidi w:val="0"/>
        <w:jc w:val="center"/>
        <w:rPr>
          <w:rFonts w:cs="David"/>
          <w:b/>
          <w:bCs/>
        </w:rPr>
      </w:pPr>
      <w:r w:rsidRPr="0053009D">
        <w:rPr>
          <w:noProof/>
        </w:rPr>
        <w:drawing>
          <wp:inline distT="0" distB="0" distL="0" distR="0" wp14:anchorId="373C0B87" wp14:editId="159316EB">
            <wp:extent cx="5486400" cy="1349966"/>
            <wp:effectExtent l="0" t="0" r="0" b="3175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4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09D" w:rsidRPr="00B10EF6" w:rsidRDefault="0053009D" w:rsidP="0053009D">
      <w:pPr>
        <w:bidi w:val="0"/>
        <w:jc w:val="center"/>
        <w:rPr>
          <w:rFonts w:cs="David"/>
          <w:b/>
          <w:bCs/>
          <w:rtl/>
        </w:rPr>
      </w:pPr>
    </w:p>
    <w:p w:rsidR="0053009D" w:rsidRDefault="0053009D" w:rsidP="0053009D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drawing>
          <wp:inline distT="0" distB="0" distL="0" distR="0" wp14:anchorId="010AA063">
            <wp:extent cx="5163820" cy="3523615"/>
            <wp:effectExtent l="0" t="0" r="0" b="635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820" cy="352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</w:rPr>
        <w:br w:type="page"/>
      </w:r>
    </w:p>
    <w:p w:rsidR="0053009D" w:rsidRDefault="0053009D" w:rsidP="0053009D">
      <w:pPr>
        <w:bidi w:val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lastRenderedPageBreak/>
        <w:t xml:space="preserve">Table 4: Manufacturing – </w:t>
      </w:r>
      <w:r w:rsidRPr="00BA5702">
        <w:rPr>
          <w:rFonts w:asciiTheme="majorBidi" w:hAnsiTheme="majorBidi" w:cstheme="majorBidi"/>
          <w:b/>
          <w:bCs/>
        </w:rPr>
        <w:t>net balances</w:t>
      </w:r>
    </w:p>
    <w:p w:rsidR="0053009D" w:rsidRPr="00B10EF6" w:rsidRDefault="0053009D" w:rsidP="0053009D">
      <w:pPr>
        <w:bidi w:val="0"/>
      </w:pPr>
      <w:r w:rsidRPr="0053009D">
        <w:rPr>
          <w:noProof/>
        </w:rPr>
        <w:drawing>
          <wp:inline distT="0" distB="0" distL="0" distR="0" wp14:anchorId="194EB60E" wp14:editId="7BAAE6A9">
            <wp:extent cx="5486400" cy="1958912"/>
            <wp:effectExtent l="0" t="0" r="0" b="381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5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09D" w:rsidRPr="00B10EF6" w:rsidRDefault="0053009D" w:rsidP="0053009D">
      <w:pPr>
        <w:bidi w:val="0"/>
        <w:rPr>
          <w:rFonts w:cs="David"/>
          <w:b/>
          <w:bCs/>
          <w:rtl/>
        </w:rPr>
      </w:pPr>
    </w:p>
    <w:p w:rsidR="0053009D" w:rsidRDefault="0053009D" w:rsidP="0053009D">
      <w:pPr>
        <w:bidi w:val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Table 5: Trade – </w:t>
      </w:r>
      <w:r w:rsidRPr="00BA5702">
        <w:rPr>
          <w:rFonts w:asciiTheme="majorBidi" w:hAnsiTheme="majorBidi" w:cstheme="majorBidi"/>
          <w:b/>
          <w:bCs/>
        </w:rPr>
        <w:t>net balances</w:t>
      </w:r>
    </w:p>
    <w:p w:rsidR="0053009D" w:rsidRPr="00B10EF6" w:rsidRDefault="0053009D" w:rsidP="0053009D">
      <w:pPr>
        <w:bidi w:val="0"/>
        <w:jc w:val="center"/>
        <w:rPr>
          <w:rFonts w:cs="David"/>
          <w:b/>
          <w:bCs/>
          <w:rtl/>
        </w:rPr>
      </w:pPr>
      <w:r w:rsidRPr="0053009D">
        <w:rPr>
          <w:noProof/>
        </w:rPr>
        <w:drawing>
          <wp:inline distT="0" distB="0" distL="0" distR="0" wp14:anchorId="41E22F2B" wp14:editId="1D386761">
            <wp:extent cx="5486400" cy="1568575"/>
            <wp:effectExtent l="0" t="0" r="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09D" w:rsidRDefault="0053009D" w:rsidP="0053009D">
      <w:pPr>
        <w:bidi w:val="0"/>
        <w:jc w:val="center"/>
        <w:rPr>
          <w:noProof/>
          <w:rtl/>
        </w:rPr>
      </w:pPr>
    </w:p>
    <w:p w:rsidR="0053009D" w:rsidRDefault="0053009D" w:rsidP="0053009D">
      <w:pPr>
        <w:bidi w:val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Table 6: Construction – </w:t>
      </w:r>
      <w:r w:rsidRPr="00BA5702">
        <w:rPr>
          <w:rFonts w:asciiTheme="majorBidi" w:hAnsiTheme="majorBidi" w:cstheme="majorBidi"/>
          <w:b/>
          <w:bCs/>
        </w:rPr>
        <w:t>net balances</w:t>
      </w:r>
    </w:p>
    <w:p w:rsidR="0053009D" w:rsidRDefault="0053009D" w:rsidP="0053009D">
      <w:pPr>
        <w:bidi w:val="0"/>
        <w:jc w:val="center"/>
        <w:rPr>
          <w:rFonts w:cs="David"/>
          <w:b/>
          <w:bCs/>
          <w:rtl/>
        </w:rPr>
      </w:pPr>
      <w:r w:rsidRPr="0053009D">
        <w:rPr>
          <w:noProof/>
        </w:rPr>
        <w:drawing>
          <wp:inline distT="0" distB="0" distL="0" distR="0" wp14:anchorId="03231EFE" wp14:editId="75689C8F">
            <wp:extent cx="5486400" cy="1828800"/>
            <wp:effectExtent l="0" t="0" r="0" b="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09D" w:rsidRDefault="0053009D" w:rsidP="0053009D">
      <w:pPr>
        <w:bidi w:val="0"/>
        <w:jc w:val="center"/>
        <w:rPr>
          <w:rFonts w:cs="David"/>
          <w:b/>
          <w:bCs/>
          <w:rtl/>
        </w:rPr>
      </w:pPr>
    </w:p>
    <w:p w:rsidR="0053009D" w:rsidRDefault="0053009D" w:rsidP="0053009D">
      <w:pPr>
        <w:bidi w:val="0"/>
        <w:jc w:val="center"/>
        <w:rPr>
          <w:rFonts w:asciiTheme="majorBidi" w:hAnsiTheme="majorBidi" w:cstheme="majorBidi"/>
          <w:b/>
          <w:bCs/>
        </w:rPr>
      </w:pPr>
    </w:p>
    <w:p w:rsidR="0053009D" w:rsidRDefault="0053009D" w:rsidP="0053009D">
      <w:pPr>
        <w:bidi w:val="0"/>
        <w:jc w:val="center"/>
        <w:rPr>
          <w:rFonts w:asciiTheme="majorBidi" w:hAnsiTheme="majorBidi" w:cstheme="majorBidi"/>
          <w:b/>
          <w:bCs/>
        </w:rPr>
      </w:pPr>
    </w:p>
    <w:p w:rsidR="0053009D" w:rsidRDefault="0053009D" w:rsidP="0053009D">
      <w:pPr>
        <w:bidi w:val="0"/>
        <w:jc w:val="center"/>
        <w:rPr>
          <w:rFonts w:asciiTheme="majorBidi" w:hAnsiTheme="majorBidi" w:cstheme="majorBidi"/>
          <w:b/>
          <w:bCs/>
        </w:rPr>
      </w:pPr>
    </w:p>
    <w:p w:rsidR="0053009D" w:rsidRDefault="0053009D" w:rsidP="0053009D">
      <w:pPr>
        <w:bidi w:val="0"/>
        <w:jc w:val="center"/>
        <w:rPr>
          <w:rFonts w:asciiTheme="majorBidi" w:hAnsiTheme="majorBidi" w:cstheme="majorBidi"/>
          <w:b/>
          <w:bCs/>
        </w:rPr>
      </w:pPr>
    </w:p>
    <w:p w:rsidR="0053009D" w:rsidRDefault="0053009D" w:rsidP="0053009D">
      <w:pPr>
        <w:bidi w:val="0"/>
        <w:jc w:val="center"/>
        <w:rPr>
          <w:rFonts w:asciiTheme="majorBidi" w:hAnsiTheme="majorBidi" w:cstheme="majorBidi"/>
          <w:b/>
          <w:bCs/>
        </w:rPr>
      </w:pPr>
    </w:p>
    <w:p w:rsidR="0053009D" w:rsidRDefault="0053009D" w:rsidP="0053009D">
      <w:pPr>
        <w:bidi w:val="0"/>
        <w:jc w:val="center"/>
        <w:rPr>
          <w:rFonts w:asciiTheme="majorBidi" w:hAnsiTheme="majorBidi" w:cstheme="majorBidi"/>
          <w:b/>
          <w:bCs/>
        </w:rPr>
      </w:pPr>
    </w:p>
    <w:p w:rsidR="0053009D" w:rsidRDefault="0053009D" w:rsidP="0053009D">
      <w:pPr>
        <w:bidi w:val="0"/>
        <w:jc w:val="center"/>
        <w:rPr>
          <w:rFonts w:asciiTheme="majorBidi" w:hAnsiTheme="majorBidi" w:cstheme="majorBidi"/>
          <w:b/>
          <w:bCs/>
        </w:rPr>
      </w:pPr>
    </w:p>
    <w:p w:rsidR="0053009D" w:rsidRDefault="0053009D" w:rsidP="0053009D">
      <w:pPr>
        <w:bidi w:val="0"/>
        <w:jc w:val="center"/>
        <w:rPr>
          <w:rFonts w:asciiTheme="majorBidi" w:hAnsiTheme="majorBidi" w:cstheme="majorBidi"/>
          <w:b/>
          <w:bCs/>
        </w:rPr>
      </w:pPr>
    </w:p>
    <w:p w:rsidR="0053009D" w:rsidRDefault="0053009D" w:rsidP="0053009D">
      <w:pPr>
        <w:bidi w:val="0"/>
        <w:jc w:val="center"/>
        <w:rPr>
          <w:rFonts w:asciiTheme="majorBidi" w:hAnsiTheme="majorBidi" w:cstheme="majorBidi"/>
          <w:b/>
          <w:bCs/>
        </w:rPr>
      </w:pPr>
    </w:p>
    <w:p w:rsidR="0053009D" w:rsidRDefault="0053009D" w:rsidP="0053009D">
      <w:pPr>
        <w:bidi w:val="0"/>
        <w:jc w:val="center"/>
        <w:rPr>
          <w:rFonts w:asciiTheme="majorBidi" w:hAnsiTheme="majorBidi" w:cstheme="majorBidi"/>
          <w:b/>
          <w:bCs/>
        </w:rPr>
      </w:pPr>
    </w:p>
    <w:p w:rsidR="0053009D" w:rsidRDefault="0053009D">
      <w:pPr>
        <w:bidi w:val="0"/>
        <w:spacing w:after="200" w:line="276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:rsidR="0053009D" w:rsidRDefault="0053009D" w:rsidP="0053009D">
      <w:pPr>
        <w:bidi w:val="0"/>
        <w:jc w:val="center"/>
        <w:rPr>
          <w:rFonts w:cs="David"/>
          <w:b/>
          <w:bCs/>
        </w:rPr>
      </w:pPr>
      <w:r w:rsidRPr="00E64FA0">
        <w:rPr>
          <w:rFonts w:asciiTheme="majorBidi" w:hAnsiTheme="majorBidi" w:cstheme="majorBidi"/>
          <w:b/>
          <w:bCs/>
        </w:rPr>
        <w:lastRenderedPageBreak/>
        <w:t>Table 7: Transport and Communication</w:t>
      </w:r>
      <w:r>
        <w:rPr>
          <w:rFonts w:asciiTheme="majorBidi" w:hAnsiTheme="majorBidi" w:cstheme="majorBidi"/>
          <w:b/>
          <w:bCs/>
        </w:rPr>
        <w:t>s</w:t>
      </w:r>
      <w:r w:rsidRPr="00E64FA0">
        <w:rPr>
          <w:rFonts w:asciiTheme="majorBidi" w:hAnsiTheme="majorBidi" w:cstheme="majorBidi"/>
          <w:b/>
          <w:bCs/>
        </w:rPr>
        <w:t xml:space="preserve"> – net balances</w:t>
      </w:r>
      <w:r w:rsidRPr="00F41662">
        <w:rPr>
          <w:noProof/>
          <w:rtl/>
        </w:rPr>
        <w:t xml:space="preserve"> </w:t>
      </w:r>
    </w:p>
    <w:p w:rsidR="0053009D" w:rsidRDefault="0053009D" w:rsidP="0053009D">
      <w:pPr>
        <w:bidi w:val="0"/>
        <w:jc w:val="center"/>
        <w:rPr>
          <w:rFonts w:cs="David"/>
          <w:b/>
          <w:bCs/>
          <w:rtl/>
        </w:rPr>
      </w:pPr>
      <w:r w:rsidRPr="0053009D">
        <w:rPr>
          <w:noProof/>
        </w:rPr>
        <w:drawing>
          <wp:inline distT="0" distB="0" distL="0" distR="0" wp14:anchorId="11BD38C3" wp14:editId="23373DE0">
            <wp:extent cx="5486400" cy="1438463"/>
            <wp:effectExtent l="0" t="0" r="0" b="9525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3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09D" w:rsidRDefault="0053009D" w:rsidP="0053009D">
      <w:pPr>
        <w:bidi w:val="0"/>
        <w:rPr>
          <w:rFonts w:asciiTheme="majorBidi" w:hAnsiTheme="majorBidi" w:cstheme="majorBidi"/>
          <w:b/>
          <w:bCs/>
        </w:rPr>
      </w:pPr>
    </w:p>
    <w:p w:rsidR="0053009D" w:rsidRDefault="0053009D" w:rsidP="0053009D">
      <w:pPr>
        <w:bidi w:val="0"/>
        <w:jc w:val="center"/>
        <w:rPr>
          <w:rFonts w:asciiTheme="majorBidi" w:hAnsiTheme="majorBidi" w:cstheme="majorBidi"/>
        </w:rPr>
      </w:pPr>
      <w:r w:rsidRPr="008F451D">
        <w:rPr>
          <w:rFonts w:asciiTheme="majorBidi" w:hAnsiTheme="majorBidi" w:cstheme="majorBidi"/>
          <w:b/>
          <w:bCs/>
        </w:rPr>
        <w:t>Table 8: Hotels – net balances</w:t>
      </w:r>
    </w:p>
    <w:p w:rsidR="0053009D" w:rsidRPr="008F451D" w:rsidRDefault="0053009D" w:rsidP="0053009D">
      <w:pPr>
        <w:bidi w:val="0"/>
        <w:jc w:val="center"/>
        <w:rPr>
          <w:rFonts w:asciiTheme="majorBidi" w:hAnsiTheme="majorBidi" w:cstheme="majorBidi"/>
        </w:rPr>
      </w:pPr>
      <w:r w:rsidRPr="0053009D">
        <w:rPr>
          <w:noProof/>
        </w:rPr>
        <w:drawing>
          <wp:inline distT="0" distB="0" distL="0" distR="0" wp14:anchorId="4AF369F2" wp14:editId="77345123">
            <wp:extent cx="5486400" cy="1568575"/>
            <wp:effectExtent l="0" t="0" r="0" b="0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09D" w:rsidRDefault="0053009D" w:rsidP="0053009D">
      <w:pPr>
        <w:bidi w:val="0"/>
        <w:jc w:val="center"/>
        <w:rPr>
          <w:rFonts w:cs="David"/>
          <w:rtl/>
        </w:rPr>
      </w:pPr>
    </w:p>
    <w:p w:rsidR="0053009D" w:rsidRDefault="0053009D" w:rsidP="0053009D">
      <w:pPr>
        <w:bidi w:val="0"/>
        <w:rPr>
          <w:rFonts w:cs="David"/>
          <w:rtl/>
        </w:rPr>
      </w:pPr>
    </w:p>
    <w:p w:rsidR="0053009D" w:rsidRDefault="0053009D" w:rsidP="0053009D">
      <w:pPr>
        <w:bidi w:val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Table 9: Service industries – </w:t>
      </w:r>
      <w:r w:rsidRPr="00BA5702">
        <w:rPr>
          <w:rFonts w:asciiTheme="majorBidi" w:hAnsiTheme="majorBidi" w:cstheme="majorBidi"/>
          <w:b/>
          <w:bCs/>
        </w:rPr>
        <w:t>net balances</w:t>
      </w:r>
    </w:p>
    <w:p w:rsidR="0053009D" w:rsidRDefault="0053009D" w:rsidP="0053009D">
      <w:pPr>
        <w:bidi w:val="0"/>
        <w:jc w:val="center"/>
        <w:rPr>
          <w:rFonts w:cs="David"/>
          <w:b/>
          <w:bCs/>
          <w:rtl/>
        </w:rPr>
      </w:pPr>
    </w:p>
    <w:p w:rsidR="0053009D" w:rsidRDefault="0053009D" w:rsidP="0053009D">
      <w:pPr>
        <w:bidi w:val="0"/>
        <w:jc w:val="center"/>
        <w:rPr>
          <w:rFonts w:cs="David"/>
          <w:b/>
          <w:bCs/>
          <w:rtl/>
        </w:rPr>
      </w:pPr>
      <w:r w:rsidRPr="0053009D">
        <w:rPr>
          <w:noProof/>
        </w:rPr>
        <w:drawing>
          <wp:inline distT="0" distB="0" distL="0" distR="0" wp14:anchorId="5A661DC6" wp14:editId="1A9118F6">
            <wp:extent cx="5486400" cy="1698688"/>
            <wp:effectExtent l="0" t="0" r="0" b="0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9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09D" w:rsidRDefault="0053009D" w:rsidP="0053009D">
      <w:pPr>
        <w:bidi w:val="0"/>
        <w:jc w:val="center"/>
        <w:rPr>
          <w:rFonts w:cs="David"/>
          <w:b/>
          <w:bCs/>
        </w:rPr>
      </w:pPr>
    </w:p>
    <w:p w:rsidR="0053009D" w:rsidRDefault="0053009D" w:rsidP="0053009D">
      <w:pPr>
        <w:bidi w:val="0"/>
        <w:jc w:val="center"/>
        <w:rPr>
          <w:rFonts w:cs="David"/>
          <w:b/>
          <w:bCs/>
        </w:rPr>
      </w:pPr>
    </w:p>
    <w:p w:rsidR="0053009D" w:rsidRDefault="0053009D" w:rsidP="0053009D">
      <w:pPr>
        <w:bidi w:val="0"/>
        <w:jc w:val="center"/>
        <w:rPr>
          <w:rFonts w:cs="David"/>
          <w:b/>
          <w:bCs/>
        </w:rPr>
      </w:pPr>
    </w:p>
    <w:p w:rsidR="0053009D" w:rsidRDefault="0053009D" w:rsidP="0053009D">
      <w:pPr>
        <w:bidi w:val="0"/>
        <w:jc w:val="center"/>
        <w:rPr>
          <w:rFonts w:cs="David"/>
          <w:b/>
          <w:bCs/>
        </w:rPr>
      </w:pPr>
    </w:p>
    <w:p w:rsidR="0053009D" w:rsidRDefault="0053009D" w:rsidP="0053009D">
      <w:pPr>
        <w:bidi w:val="0"/>
        <w:jc w:val="center"/>
        <w:rPr>
          <w:rFonts w:cs="David"/>
          <w:b/>
          <w:bCs/>
        </w:rPr>
      </w:pPr>
    </w:p>
    <w:p w:rsidR="0053009D" w:rsidRDefault="0053009D" w:rsidP="0053009D">
      <w:pPr>
        <w:bidi w:val="0"/>
        <w:jc w:val="center"/>
        <w:rPr>
          <w:rFonts w:cs="David"/>
          <w:b/>
          <w:bCs/>
        </w:rPr>
      </w:pPr>
    </w:p>
    <w:p w:rsidR="0053009D" w:rsidRDefault="0053009D" w:rsidP="0053009D">
      <w:pPr>
        <w:bidi w:val="0"/>
        <w:jc w:val="center"/>
        <w:rPr>
          <w:rFonts w:cs="David"/>
          <w:b/>
          <w:bCs/>
        </w:rPr>
      </w:pPr>
    </w:p>
    <w:p w:rsidR="0053009D" w:rsidRDefault="0053009D" w:rsidP="0053009D">
      <w:pPr>
        <w:bidi w:val="0"/>
        <w:jc w:val="center"/>
        <w:rPr>
          <w:rFonts w:cs="David"/>
          <w:b/>
          <w:bCs/>
        </w:rPr>
      </w:pPr>
    </w:p>
    <w:p w:rsidR="0053009D" w:rsidRDefault="0053009D" w:rsidP="0053009D">
      <w:pPr>
        <w:bidi w:val="0"/>
        <w:jc w:val="center"/>
        <w:rPr>
          <w:rFonts w:cs="David"/>
          <w:b/>
          <w:bCs/>
        </w:rPr>
      </w:pPr>
    </w:p>
    <w:p w:rsidR="0053009D" w:rsidRDefault="0053009D" w:rsidP="0053009D">
      <w:pPr>
        <w:bidi w:val="0"/>
        <w:jc w:val="center"/>
        <w:rPr>
          <w:rFonts w:cs="David"/>
          <w:b/>
          <w:bCs/>
        </w:rPr>
      </w:pPr>
    </w:p>
    <w:p w:rsidR="0053009D" w:rsidRDefault="0053009D" w:rsidP="0053009D">
      <w:pPr>
        <w:bidi w:val="0"/>
        <w:jc w:val="center"/>
        <w:rPr>
          <w:rFonts w:cs="David"/>
          <w:b/>
          <w:bCs/>
        </w:rPr>
      </w:pPr>
    </w:p>
    <w:p w:rsidR="0053009D" w:rsidRDefault="0053009D" w:rsidP="0053009D">
      <w:pPr>
        <w:bidi w:val="0"/>
        <w:jc w:val="center"/>
        <w:rPr>
          <w:rFonts w:cs="David"/>
          <w:b/>
          <w:bCs/>
          <w:rtl/>
        </w:rPr>
      </w:pPr>
    </w:p>
    <w:p w:rsidR="0053009D" w:rsidRDefault="0053009D" w:rsidP="0053009D">
      <w:pPr>
        <w:bidi w:val="0"/>
        <w:rPr>
          <w:rFonts w:asciiTheme="majorBidi" w:hAnsiTheme="majorBidi" w:cstheme="majorBidi"/>
          <w:b/>
          <w:bCs/>
        </w:rPr>
      </w:pPr>
    </w:p>
    <w:p w:rsidR="0053009D" w:rsidRDefault="0053009D" w:rsidP="0053009D">
      <w:pPr>
        <w:bidi w:val="0"/>
        <w:rPr>
          <w:rFonts w:asciiTheme="majorBidi" w:hAnsiTheme="majorBidi" w:cstheme="majorBidi"/>
          <w:b/>
          <w:bCs/>
        </w:rPr>
      </w:pPr>
    </w:p>
    <w:p w:rsidR="0053009D" w:rsidRDefault="0053009D" w:rsidP="0053009D">
      <w:pPr>
        <w:bidi w:val="0"/>
        <w:jc w:val="center"/>
        <w:rPr>
          <w:rFonts w:asciiTheme="majorBidi" w:hAnsiTheme="majorBidi" w:cstheme="majorBidi"/>
          <w:b/>
          <w:bCs/>
          <w:noProof/>
        </w:rPr>
      </w:pPr>
    </w:p>
    <w:p w:rsidR="00D17BF2" w:rsidRDefault="0053009D" w:rsidP="00D17BF2">
      <w:pPr>
        <w:bidi w:val="0"/>
        <w:spacing w:before="36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lastRenderedPageBreak/>
        <w:drawing>
          <wp:inline distT="0" distB="0" distL="0" distR="0" wp14:anchorId="769271D3">
            <wp:extent cx="6127549" cy="3667125"/>
            <wp:effectExtent l="0" t="0" r="6985" b="0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134" cy="3668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009D" w:rsidRDefault="0053009D" w:rsidP="00D17BF2">
      <w:pPr>
        <w:bidi w:val="0"/>
        <w:spacing w:before="360"/>
        <w:jc w:val="center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>T</w:t>
      </w:r>
      <w:r w:rsidRPr="000D57A2">
        <w:rPr>
          <w:rFonts w:asciiTheme="majorBidi" w:hAnsiTheme="majorBidi" w:cstheme="majorBidi"/>
          <w:b/>
          <w:bCs/>
        </w:rPr>
        <w:t>able 10</w:t>
      </w:r>
      <w:r>
        <w:rPr>
          <w:rFonts w:asciiTheme="majorBidi" w:hAnsiTheme="majorBidi" w:cstheme="majorBidi"/>
          <w:b/>
          <w:bCs/>
        </w:rPr>
        <w:t xml:space="preserve">.1: </w:t>
      </w:r>
      <w:r w:rsidRPr="000D57A2">
        <w:rPr>
          <w:rFonts w:asciiTheme="majorBidi" w:hAnsiTheme="majorBidi" w:cstheme="majorBidi"/>
          <w:b/>
          <w:bCs/>
        </w:rPr>
        <w:t xml:space="preserve">Net balance of the </w:t>
      </w:r>
      <w:r w:rsidRPr="002E1991">
        <w:rPr>
          <w:rFonts w:asciiTheme="majorBidi" w:hAnsiTheme="majorBidi" w:cstheme="majorBidi"/>
          <w:b/>
          <w:bCs/>
        </w:rPr>
        <w:t xml:space="preserve">Manufacturing companies </w:t>
      </w:r>
      <w:r w:rsidRPr="000D57A2">
        <w:rPr>
          <w:rFonts w:asciiTheme="majorBidi" w:hAnsiTheme="majorBidi" w:cstheme="majorBidi"/>
          <w:b/>
          <w:bCs/>
        </w:rPr>
        <w:t xml:space="preserve">by size of company, </w:t>
      </w:r>
      <w:r>
        <w:rPr>
          <w:rFonts w:asciiTheme="majorBidi" w:hAnsiTheme="majorBidi" w:cstheme="majorBidi"/>
          <w:b/>
          <w:bCs/>
        </w:rPr>
        <w:t>2016:Q1</w:t>
      </w:r>
    </w:p>
    <w:p w:rsidR="0053009D" w:rsidRPr="000D57A2" w:rsidRDefault="0053009D" w:rsidP="0053009D">
      <w:pPr>
        <w:bidi w:val="0"/>
        <w:jc w:val="center"/>
        <w:rPr>
          <w:rFonts w:asciiTheme="majorBidi" w:hAnsiTheme="majorBidi" w:cstheme="majorBidi"/>
          <w:b/>
          <w:bCs/>
        </w:rPr>
      </w:pPr>
    </w:p>
    <w:tbl>
      <w:tblPr>
        <w:tblW w:w="4778" w:type="dxa"/>
        <w:tblInd w:w="1768" w:type="dxa"/>
        <w:tblLook w:val="04A0" w:firstRow="1" w:lastRow="0" w:firstColumn="1" w:lastColumn="0" w:noHBand="0" w:noVBand="1"/>
      </w:tblPr>
      <w:tblGrid>
        <w:gridCol w:w="1853"/>
        <w:gridCol w:w="596"/>
        <w:gridCol w:w="822"/>
        <w:gridCol w:w="826"/>
        <w:gridCol w:w="681"/>
      </w:tblGrid>
      <w:tr w:rsidR="0053009D" w:rsidRPr="00535C13" w:rsidTr="00A54A7A">
        <w:trPr>
          <w:trHeight w:val="335"/>
        </w:trPr>
        <w:tc>
          <w:tcPr>
            <w:tcW w:w="477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noWrap/>
            <w:vAlign w:val="center"/>
            <w:hideMark/>
          </w:tcPr>
          <w:p w:rsidR="0053009D" w:rsidRPr="00B160E0" w:rsidRDefault="0053009D" w:rsidP="00A54A7A">
            <w:pPr>
              <w:bidi w:val="0"/>
              <w:jc w:val="center"/>
              <w:rPr>
                <w:rFonts w:asciiTheme="majorBidi" w:hAnsiTheme="majorBidi" w:cs="David"/>
                <w:b/>
                <w:bCs/>
                <w:sz w:val="18"/>
                <w:szCs w:val="18"/>
              </w:rPr>
            </w:pPr>
            <w:r w:rsidRPr="00B160E0">
              <w:rPr>
                <w:rFonts w:asciiTheme="majorBidi" w:hAnsiTheme="majorBidi" w:cs="David"/>
                <w:b/>
                <w:bCs/>
                <w:sz w:val="18"/>
                <w:szCs w:val="18"/>
              </w:rPr>
              <w:t>Manufacturing companies</w:t>
            </w:r>
          </w:p>
        </w:tc>
      </w:tr>
      <w:tr w:rsidR="0053009D" w:rsidRPr="00535C13" w:rsidTr="00A54A7A">
        <w:trPr>
          <w:trHeight w:val="312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hideMark/>
          </w:tcPr>
          <w:p w:rsidR="0053009D" w:rsidRPr="00B160E0" w:rsidRDefault="0053009D" w:rsidP="00A54A7A">
            <w:pPr>
              <w:bidi w:val="0"/>
              <w:rPr>
                <w:rFonts w:asciiTheme="majorBidi" w:hAnsiTheme="majorBidi" w:cs="David"/>
                <w:sz w:val="18"/>
                <w:szCs w:val="18"/>
              </w:rPr>
            </w:pPr>
            <w:r w:rsidRPr="00B160E0">
              <w:rPr>
                <w:rFonts w:asciiTheme="majorBidi" w:hAnsiTheme="majorBidi" w:cs="David"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53009D" w:rsidRPr="00B160E0" w:rsidRDefault="0053009D" w:rsidP="00A54A7A">
            <w:pPr>
              <w:bidi w:val="0"/>
              <w:jc w:val="center"/>
              <w:rPr>
                <w:rFonts w:asciiTheme="majorBidi" w:hAnsiTheme="majorBidi" w:cs="David"/>
                <w:sz w:val="18"/>
                <w:szCs w:val="18"/>
              </w:rPr>
            </w:pPr>
            <w:r w:rsidRPr="00B160E0">
              <w:rPr>
                <w:rFonts w:asciiTheme="majorBidi" w:hAnsiTheme="majorBidi" w:cs="David"/>
                <w:sz w:val="18"/>
                <w:szCs w:val="18"/>
              </w:rPr>
              <w:t>Total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:rsidR="0053009D" w:rsidRPr="00B160E0" w:rsidRDefault="0053009D" w:rsidP="00A54A7A">
            <w:pPr>
              <w:bidi w:val="0"/>
              <w:jc w:val="center"/>
              <w:rPr>
                <w:rFonts w:asciiTheme="majorBidi" w:hAnsiTheme="majorBidi" w:cs="David"/>
                <w:sz w:val="18"/>
                <w:szCs w:val="18"/>
              </w:rPr>
            </w:pPr>
            <w:r w:rsidRPr="00B160E0">
              <w:rPr>
                <w:rFonts w:asciiTheme="majorBidi" w:hAnsiTheme="majorBidi" w:cs="David"/>
                <w:sz w:val="18"/>
                <w:szCs w:val="18"/>
              </w:rPr>
              <w:t>Small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53009D" w:rsidRPr="00B160E0" w:rsidRDefault="0053009D" w:rsidP="00A54A7A">
            <w:pPr>
              <w:bidi w:val="0"/>
              <w:jc w:val="center"/>
              <w:rPr>
                <w:rFonts w:asciiTheme="majorBidi" w:hAnsiTheme="majorBidi" w:cs="David"/>
                <w:sz w:val="18"/>
                <w:szCs w:val="18"/>
              </w:rPr>
            </w:pPr>
            <w:r w:rsidRPr="00B160E0">
              <w:rPr>
                <w:rFonts w:asciiTheme="majorBidi" w:hAnsiTheme="majorBidi" w:cs="David"/>
                <w:sz w:val="18"/>
                <w:szCs w:val="18"/>
              </w:rPr>
              <w:t>Medium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53009D" w:rsidRPr="00B160E0" w:rsidRDefault="0053009D" w:rsidP="00A54A7A">
            <w:pPr>
              <w:bidi w:val="0"/>
              <w:jc w:val="center"/>
              <w:rPr>
                <w:rFonts w:asciiTheme="majorBidi" w:hAnsiTheme="majorBidi" w:cs="David"/>
                <w:sz w:val="18"/>
                <w:szCs w:val="18"/>
              </w:rPr>
            </w:pPr>
            <w:r w:rsidRPr="00B160E0">
              <w:rPr>
                <w:rFonts w:asciiTheme="majorBidi" w:hAnsiTheme="majorBidi" w:cs="David"/>
                <w:sz w:val="18"/>
                <w:szCs w:val="18"/>
              </w:rPr>
              <w:t>Large</w:t>
            </w:r>
          </w:p>
        </w:tc>
      </w:tr>
      <w:tr w:rsidR="0053009D" w:rsidRPr="00535C13" w:rsidTr="00F22137">
        <w:trPr>
          <w:trHeight w:val="312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9D" w:rsidRPr="00B160E0" w:rsidRDefault="0053009D" w:rsidP="00A54A7A">
            <w:pPr>
              <w:bidi w:val="0"/>
              <w:rPr>
                <w:rFonts w:asciiTheme="majorBidi" w:hAnsiTheme="majorBidi" w:cs="David"/>
                <w:sz w:val="18"/>
                <w:szCs w:val="18"/>
              </w:rPr>
            </w:pPr>
            <w:r w:rsidRPr="00B160E0">
              <w:rPr>
                <w:rFonts w:asciiTheme="majorBidi" w:hAnsiTheme="majorBidi" w:cs="David"/>
                <w:sz w:val="18"/>
                <w:szCs w:val="18"/>
              </w:rPr>
              <w:t>Output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53009D" w:rsidRPr="008364CF" w:rsidRDefault="0053009D" w:rsidP="00A54A7A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4-</w:t>
            </w:r>
            <w:r w:rsidRPr="008364CF">
              <w:rPr>
                <w:rFonts w:cs="David" w:hint="cs"/>
                <w:rtl/>
              </w:rPr>
              <w:t>*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009D" w:rsidRPr="008364CF" w:rsidRDefault="0053009D" w:rsidP="00A54A7A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23</w:t>
            </w:r>
            <w:r w:rsidRPr="008364CF">
              <w:rPr>
                <w:rFonts w:cs="David" w:hint="cs"/>
                <w:rtl/>
              </w:rPr>
              <w:t>-*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009D" w:rsidRPr="008364CF" w:rsidRDefault="0053009D" w:rsidP="00A54A7A">
            <w:pPr>
              <w:jc w:val="center"/>
              <w:rPr>
                <w:rFonts w:cs="David"/>
                <w:rtl/>
              </w:rPr>
            </w:pPr>
            <w:r w:rsidRPr="008364CF">
              <w:rPr>
                <w:rFonts w:cs="David" w:hint="cs"/>
                <w:rtl/>
              </w:rPr>
              <w:t>2</w:t>
            </w:r>
            <w:r>
              <w:rPr>
                <w:rFonts w:cs="David" w:hint="cs"/>
                <w:rtl/>
              </w:rPr>
              <w:t>1</w:t>
            </w:r>
            <w:r w:rsidRPr="008364CF">
              <w:rPr>
                <w:rFonts w:cs="David" w:hint="cs"/>
                <w:rtl/>
              </w:rPr>
              <w:t>-*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009D" w:rsidRPr="008364CF" w:rsidRDefault="0053009D" w:rsidP="00A54A7A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6</w:t>
            </w:r>
            <w:r w:rsidRPr="008364CF">
              <w:rPr>
                <w:rFonts w:cs="David" w:hint="cs"/>
                <w:rtl/>
              </w:rPr>
              <w:t>*</w:t>
            </w:r>
          </w:p>
        </w:tc>
      </w:tr>
      <w:tr w:rsidR="0053009D" w:rsidRPr="00535C13" w:rsidTr="00F22137">
        <w:trPr>
          <w:trHeight w:val="312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:rsidR="0053009D" w:rsidRPr="00B160E0" w:rsidRDefault="0053009D" w:rsidP="00A54A7A">
            <w:pPr>
              <w:bidi w:val="0"/>
              <w:rPr>
                <w:rFonts w:asciiTheme="majorBidi" w:hAnsiTheme="majorBidi" w:cs="David"/>
                <w:sz w:val="18"/>
                <w:szCs w:val="18"/>
              </w:rPr>
            </w:pPr>
            <w:r w:rsidRPr="00B160E0">
              <w:rPr>
                <w:rFonts w:asciiTheme="majorBidi" w:hAnsiTheme="majorBidi" w:cs="David"/>
                <w:sz w:val="18"/>
                <w:szCs w:val="18"/>
              </w:rPr>
              <w:t>Total sales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53009D" w:rsidRPr="008364CF" w:rsidRDefault="0053009D" w:rsidP="00A54A7A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4</w:t>
            </w:r>
            <w:r w:rsidRPr="008364CF">
              <w:rPr>
                <w:rFonts w:cs="David" w:hint="cs"/>
                <w:rtl/>
              </w:rPr>
              <w:t>-*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53009D" w:rsidRPr="008364CF" w:rsidRDefault="0053009D" w:rsidP="00A54A7A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13</w:t>
            </w:r>
            <w:r w:rsidRPr="008364CF">
              <w:rPr>
                <w:rFonts w:cs="David" w:hint="cs"/>
                <w:rtl/>
              </w:rPr>
              <w:t>-*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53009D" w:rsidRPr="008364CF" w:rsidRDefault="0053009D" w:rsidP="00A54A7A">
            <w:pPr>
              <w:jc w:val="center"/>
              <w:rPr>
                <w:rFonts w:cs="David"/>
                <w:rtl/>
              </w:rPr>
            </w:pPr>
            <w:r w:rsidRPr="008364CF">
              <w:rPr>
                <w:rFonts w:cs="David" w:hint="cs"/>
                <w:rtl/>
              </w:rPr>
              <w:t>3</w:t>
            </w:r>
            <w:r>
              <w:rPr>
                <w:rFonts w:cs="David" w:hint="cs"/>
                <w:rtl/>
              </w:rPr>
              <w:t>2</w:t>
            </w:r>
            <w:r w:rsidRPr="008364CF">
              <w:rPr>
                <w:rFonts w:cs="David" w:hint="cs"/>
                <w:rtl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53009D" w:rsidRPr="008364CF" w:rsidRDefault="0053009D" w:rsidP="00A54A7A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9</w:t>
            </w:r>
            <w:r w:rsidRPr="008364CF">
              <w:rPr>
                <w:rFonts w:cs="David" w:hint="cs"/>
                <w:rtl/>
              </w:rPr>
              <w:t>*</w:t>
            </w:r>
          </w:p>
        </w:tc>
      </w:tr>
      <w:tr w:rsidR="0053009D" w:rsidRPr="00535C13" w:rsidTr="00F22137">
        <w:trPr>
          <w:trHeight w:val="312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9D" w:rsidRPr="00B160E0" w:rsidRDefault="0053009D" w:rsidP="00A54A7A">
            <w:pPr>
              <w:bidi w:val="0"/>
              <w:rPr>
                <w:rFonts w:asciiTheme="majorBidi" w:hAnsiTheme="majorBidi" w:cs="David"/>
                <w:sz w:val="18"/>
                <w:szCs w:val="18"/>
              </w:rPr>
            </w:pPr>
            <w:r w:rsidRPr="00B160E0">
              <w:rPr>
                <w:rFonts w:asciiTheme="majorBidi" w:hAnsiTheme="majorBidi" w:cs="David"/>
                <w:sz w:val="18"/>
                <w:szCs w:val="18"/>
              </w:rPr>
              <w:t>Domestic sales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53009D" w:rsidRPr="008364CF" w:rsidRDefault="0053009D" w:rsidP="00A54A7A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11</w:t>
            </w:r>
            <w:r w:rsidRPr="008364CF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*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009D" w:rsidRPr="008364CF" w:rsidRDefault="0053009D" w:rsidP="00A54A7A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7</w:t>
            </w:r>
            <w:r w:rsidRPr="008364CF">
              <w:rPr>
                <w:rFonts w:cs="David" w:hint="cs"/>
                <w:rtl/>
              </w:rPr>
              <w:t>-*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009D" w:rsidRPr="008364CF" w:rsidRDefault="0053009D" w:rsidP="00A54A7A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47</w:t>
            </w:r>
            <w:r w:rsidRPr="008364CF">
              <w:rPr>
                <w:rFonts w:cs="David" w:hint="cs"/>
                <w:rtl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009D" w:rsidRPr="008364CF" w:rsidRDefault="0053009D" w:rsidP="00A54A7A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</w:t>
            </w:r>
            <w:r w:rsidRPr="008364CF">
              <w:rPr>
                <w:rFonts w:cs="David" w:hint="cs"/>
                <w:rtl/>
              </w:rPr>
              <w:t>*</w:t>
            </w:r>
          </w:p>
        </w:tc>
      </w:tr>
      <w:tr w:rsidR="0053009D" w:rsidRPr="00535C13" w:rsidTr="00F22137">
        <w:trPr>
          <w:trHeight w:val="312"/>
        </w:trPr>
        <w:tc>
          <w:tcPr>
            <w:tcW w:w="18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:rsidR="0053009D" w:rsidRPr="00B160E0" w:rsidRDefault="0053009D" w:rsidP="00A54A7A">
            <w:pPr>
              <w:bidi w:val="0"/>
              <w:rPr>
                <w:rFonts w:asciiTheme="majorBidi" w:hAnsiTheme="majorBidi" w:cs="David"/>
                <w:sz w:val="18"/>
                <w:szCs w:val="18"/>
              </w:rPr>
            </w:pPr>
            <w:r w:rsidRPr="00B160E0">
              <w:rPr>
                <w:rFonts w:asciiTheme="majorBidi" w:hAnsiTheme="majorBidi" w:cs="David"/>
                <w:sz w:val="18"/>
                <w:szCs w:val="18"/>
              </w:rPr>
              <w:t>Exports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6E3BC" w:themeFill="accent3" w:themeFillTint="66"/>
            <w:noWrap/>
          </w:tcPr>
          <w:p w:rsidR="0053009D" w:rsidRPr="008364CF" w:rsidRDefault="0053009D" w:rsidP="00A54A7A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5</w:t>
            </w:r>
            <w:r w:rsidRPr="008364CF">
              <w:rPr>
                <w:rFonts w:cs="David" w:hint="cs"/>
                <w:rtl/>
              </w:rPr>
              <w:t>-*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53009D" w:rsidRPr="008364CF" w:rsidRDefault="0053009D" w:rsidP="00A54A7A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38</w:t>
            </w:r>
            <w:r w:rsidRPr="008364CF">
              <w:rPr>
                <w:rFonts w:cs="David" w:hint="cs"/>
                <w:rtl/>
              </w:rPr>
              <w:t>-*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53009D" w:rsidRPr="008364CF" w:rsidRDefault="0053009D" w:rsidP="00A54A7A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27</w:t>
            </w:r>
            <w:r w:rsidRPr="008364CF">
              <w:rPr>
                <w:rFonts w:cs="David" w:hint="cs"/>
                <w:rtl/>
              </w:rPr>
              <w:t>-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53009D" w:rsidRPr="008364CF" w:rsidRDefault="0053009D" w:rsidP="00A54A7A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5</w:t>
            </w:r>
            <w:r w:rsidRPr="008364CF">
              <w:rPr>
                <w:rFonts w:cs="David" w:hint="cs"/>
                <w:rtl/>
              </w:rPr>
              <w:t>*</w:t>
            </w:r>
          </w:p>
        </w:tc>
      </w:tr>
      <w:tr w:rsidR="0053009D" w:rsidRPr="00535C13" w:rsidTr="00F22137">
        <w:trPr>
          <w:trHeight w:val="324"/>
        </w:trPr>
        <w:tc>
          <w:tcPr>
            <w:tcW w:w="18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09D" w:rsidRPr="00B160E0" w:rsidRDefault="0053009D" w:rsidP="00A54A7A">
            <w:pPr>
              <w:bidi w:val="0"/>
              <w:rPr>
                <w:rFonts w:asciiTheme="majorBidi" w:hAnsiTheme="majorBidi" w:cs="David"/>
                <w:sz w:val="18"/>
                <w:szCs w:val="18"/>
              </w:rPr>
            </w:pPr>
            <w:r w:rsidRPr="00B160E0">
              <w:rPr>
                <w:rFonts w:asciiTheme="majorBidi" w:hAnsiTheme="majorBidi" w:cs="David"/>
                <w:sz w:val="18"/>
                <w:szCs w:val="18"/>
              </w:rPr>
              <w:t>Number of companies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3009D" w:rsidRPr="008364CF" w:rsidRDefault="0053009D" w:rsidP="00A54A7A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136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3009D" w:rsidRPr="008364CF" w:rsidRDefault="0053009D" w:rsidP="00A54A7A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3009D" w:rsidRPr="008364CF" w:rsidRDefault="0053009D" w:rsidP="00A54A7A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34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3009D" w:rsidRPr="008364CF" w:rsidRDefault="0053009D" w:rsidP="00A54A7A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87</w:t>
            </w:r>
          </w:p>
        </w:tc>
      </w:tr>
    </w:tbl>
    <w:p w:rsidR="0053009D" w:rsidRDefault="0053009D" w:rsidP="0053009D">
      <w:pPr>
        <w:bidi w:val="0"/>
        <w:jc w:val="center"/>
        <w:rPr>
          <w:rFonts w:cs="David"/>
          <w:b/>
          <w:bCs/>
        </w:rPr>
      </w:pPr>
    </w:p>
    <w:p w:rsidR="0053009D" w:rsidRDefault="0053009D" w:rsidP="0053009D">
      <w:pPr>
        <w:bidi w:val="0"/>
        <w:jc w:val="center"/>
        <w:rPr>
          <w:rFonts w:asciiTheme="majorBidi" w:hAnsiTheme="majorBidi" w:cstheme="majorBidi"/>
          <w:b/>
          <w:bCs/>
        </w:rPr>
      </w:pPr>
    </w:p>
    <w:p w:rsidR="0053009D" w:rsidRPr="006F7619" w:rsidRDefault="0053009D" w:rsidP="0053009D">
      <w:pPr>
        <w:bidi w:val="0"/>
        <w:jc w:val="center"/>
        <w:rPr>
          <w:rFonts w:asciiTheme="majorBidi" w:hAnsiTheme="majorBidi" w:cstheme="majorBidi"/>
          <w:b/>
          <w:bCs/>
        </w:rPr>
      </w:pPr>
      <w:r w:rsidRPr="0044587F">
        <w:rPr>
          <w:rFonts w:asciiTheme="majorBidi" w:hAnsiTheme="majorBidi" w:cstheme="majorBidi"/>
          <w:b/>
          <w:bCs/>
        </w:rPr>
        <w:t>Table 1</w:t>
      </w:r>
      <w:r>
        <w:rPr>
          <w:rFonts w:asciiTheme="majorBidi" w:hAnsiTheme="majorBidi" w:cstheme="majorBidi"/>
          <w:b/>
          <w:bCs/>
        </w:rPr>
        <w:t>0</w:t>
      </w:r>
      <w:r w:rsidRPr="0044587F">
        <w:rPr>
          <w:rFonts w:asciiTheme="majorBidi" w:hAnsiTheme="majorBidi" w:cstheme="majorBidi"/>
          <w:b/>
          <w:bCs/>
        </w:rPr>
        <w:t>.1: The net balance of manufacturing companies classified by human-capital intensity and innovation</w:t>
      </w:r>
    </w:p>
    <w:p w:rsidR="0053009D" w:rsidRDefault="0053009D" w:rsidP="0053009D">
      <w:pPr>
        <w:bidi w:val="0"/>
        <w:jc w:val="center"/>
        <w:rPr>
          <w:rFonts w:asciiTheme="majorBidi" w:hAnsiTheme="majorBidi" w:cstheme="majorBidi"/>
          <w:sz w:val="18"/>
          <w:szCs w:val="18"/>
        </w:rPr>
      </w:pPr>
      <w:r w:rsidRPr="006F7619">
        <w:rPr>
          <w:rFonts w:asciiTheme="majorBidi" w:hAnsiTheme="majorBidi" w:cstheme="majorBidi"/>
          <w:sz w:val="18"/>
          <w:szCs w:val="18"/>
        </w:rPr>
        <w:t>(Original data, per</w:t>
      </w:r>
      <w:r>
        <w:rPr>
          <w:rFonts w:asciiTheme="majorBidi" w:hAnsiTheme="majorBidi" w:cstheme="majorBidi"/>
          <w:sz w:val="18"/>
          <w:szCs w:val="18"/>
        </w:rPr>
        <w:t>cent)</w:t>
      </w:r>
    </w:p>
    <w:p w:rsidR="0053009D" w:rsidRDefault="0053009D" w:rsidP="0053009D">
      <w:pPr>
        <w:bidi w:val="0"/>
        <w:spacing w:after="200" w:line="276" w:lineRule="auto"/>
        <w:rPr>
          <w:rFonts w:asciiTheme="majorBidi" w:hAnsiTheme="majorBidi" w:cstheme="majorBidi"/>
          <w:b/>
          <w:bCs/>
        </w:rPr>
      </w:pPr>
      <w:r w:rsidRPr="0053009D">
        <w:rPr>
          <w:noProof/>
        </w:rPr>
        <w:drawing>
          <wp:inline distT="0" distB="0" distL="0" distR="0" wp14:anchorId="5347195F" wp14:editId="69A53397">
            <wp:extent cx="5486400" cy="770021"/>
            <wp:effectExtent l="0" t="0" r="0" b="0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09D" w:rsidRDefault="0053009D" w:rsidP="0053009D">
      <w:pPr>
        <w:bidi w:val="0"/>
        <w:jc w:val="center"/>
        <w:rPr>
          <w:rFonts w:asciiTheme="majorBidi" w:hAnsiTheme="majorBidi" w:cstheme="majorBidi"/>
          <w:b/>
          <w:bCs/>
        </w:rPr>
      </w:pPr>
    </w:p>
    <w:p w:rsidR="0053009D" w:rsidRDefault="0053009D" w:rsidP="0053009D">
      <w:pPr>
        <w:bidi w:val="0"/>
        <w:jc w:val="center"/>
        <w:rPr>
          <w:rFonts w:asciiTheme="majorBidi" w:hAnsiTheme="majorBidi" w:cstheme="majorBidi"/>
          <w:b/>
          <w:bCs/>
        </w:rPr>
      </w:pPr>
    </w:p>
    <w:p w:rsidR="0053009D" w:rsidRDefault="0053009D" w:rsidP="0053009D">
      <w:pPr>
        <w:bidi w:val="0"/>
        <w:spacing w:after="200" w:line="276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:rsidR="0053009D" w:rsidRPr="00644224" w:rsidRDefault="0053009D" w:rsidP="0053009D">
      <w:pPr>
        <w:bidi w:val="0"/>
        <w:jc w:val="center"/>
        <w:rPr>
          <w:rFonts w:asciiTheme="majorBidi" w:hAnsiTheme="majorBidi" w:cstheme="majorBidi"/>
          <w:b/>
          <w:bCs/>
        </w:rPr>
      </w:pPr>
      <w:r w:rsidRPr="0053009D">
        <w:rPr>
          <w:noProof/>
        </w:rPr>
        <w:lastRenderedPageBreak/>
        <w:drawing>
          <wp:inline distT="0" distB="0" distL="0" distR="0" wp14:anchorId="50E538D6" wp14:editId="04C25950">
            <wp:extent cx="5486400" cy="5672380"/>
            <wp:effectExtent l="0" t="0" r="0" b="5080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67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09D" w:rsidRDefault="0053009D" w:rsidP="0053009D">
      <w:pPr>
        <w:bidi w:val="0"/>
        <w:jc w:val="center"/>
        <w:rPr>
          <w:rFonts w:asciiTheme="majorBidi" w:hAnsiTheme="majorBidi" w:cstheme="majorBidi"/>
          <w:b/>
          <w:bCs/>
        </w:rPr>
      </w:pPr>
    </w:p>
    <w:p w:rsidR="00FC0696" w:rsidRPr="00644224" w:rsidRDefault="00D17BF2" w:rsidP="00D17BF2">
      <w:pPr>
        <w:bidi w:val="0"/>
        <w:jc w:val="both"/>
        <w:rPr>
          <w:rFonts w:asciiTheme="majorBidi" w:hAnsiTheme="majorBidi" w:cstheme="majorBidi"/>
          <w:b/>
          <w:bCs/>
        </w:rPr>
      </w:pPr>
      <w:r>
        <w:rPr>
          <w:vertAlign w:val="superscript"/>
        </w:rPr>
        <w:t>1</w:t>
      </w:r>
      <w:r>
        <w:t xml:space="preserve"> Industries in which fewer than 20 companies responded to the question regarding constraints.</w:t>
      </w:r>
    </w:p>
    <w:sectPr w:rsidR="00FC0696" w:rsidRPr="00644224" w:rsidSect="00B53B98">
      <w:footerReference w:type="default" r:id="rId24"/>
      <w:pgSz w:w="12240" w:h="15840"/>
      <w:pgMar w:top="851" w:right="1800" w:bottom="993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AA2" w:rsidRDefault="00810AA2" w:rsidP="009A0038">
      <w:r>
        <w:separator/>
      </w:r>
    </w:p>
  </w:endnote>
  <w:endnote w:type="continuationSeparator" w:id="0">
    <w:p w:rsidR="00810AA2" w:rsidRDefault="00810AA2" w:rsidP="009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98" w:rsidRPr="004D7024" w:rsidRDefault="009A0038" w:rsidP="00B53B98">
    <w:pPr>
      <w:bidi w:val="0"/>
      <w:rPr>
        <w:rFonts w:asciiTheme="majorBidi" w:hAnsiTheme="majorBidi" w:cstheme="majorBidi"/>
        <w:b/>
        <w:bCs/>
        <w:sz w:val="26"/>
        <w:szCs w:val="26"/>
        <w:u w:val="single"/>
      </w:rPr>
    </w:pPr>
    <w:r>
      <w:t xml:space="preserve">Bank of Israel—Companies Survey for the </w:t>
    </w:r>
    <w:r w:rsidR="004772C2">
      <w:t>second quarter</w:t>
    </w:r>
    <w:r>
      <w:t xml:space="preserve"> of 201</w:t>
    </w:r>
    <w:r w:rsidR="007104AF">
      <w:t>6</w:t>
    </w:r>
    <w:r w:rsidR="00B53B98">
      <w:t xml:space="preserve"> </w:t>
    </w:r>
    <w:r w:rsidR="00B53B98">
      <w:rPr>
        <w:rFonts w:asciiTheme="majorBidi" w:hAnsiTheme="majorBidi" w:cstheme="majorBidi"/>
        <w:sz w:val="18"/>
        <w:szCs w:val="18"/>
      </w:rPr>
      <w:tab/>
    </w:r>
    <w:r w:rsidR="00B53B98" w:rsidRPr="00B53B98">
      <w:rPr>
        <w:rFonts w:asciiTheme="majorBidi" w:hAnsiTheme="majorBidi" w:cstheme="majorBidi"/>
      </w:rPr>
      <w:tab/>
    </w:r>
    <w:r w:rsidR="00B53B98" w:rsidRPr="00B53B98">
      <w:rPr>
        <w:rFonts w:asciiTheme="majorBidi" w:hAnsiTheme="majorBidi" w:cstheme="majorBidi"/>
      </w:rPr>
      <w:t>Page</w:t>
    </w:r>
    <w:r w:rsidR="00B53B98" w:rsidRPr="00B53B98">
      <w:rPr>
        <w:rFonts w:asciiTheme="majorBidi" w:hAnsiTheme="majorBidi" w:cstheme="majorBidi"/>
        <w:rtl/>
        <w:cs/>
        <w:lang w:val="he-IL"/>
      </w:rPr>
      <w:t xml:space="preserve"> </w:t>
    </w:r>
    <w:r w:rsidR="00B53B98" w:rsidRPr="00B53B98">
      <w:rPr>
        <w:rFonts w:asciiTheme="majorBidi" w:hAnsiTheme="majorBidi" w:cstheme="majorBidi"/>
        <w:b/>
        <w:bCs/>
      </w:rPr>
      <w:fldChar w:fldCharType="begin"/>
    </w:r>
    <w:r w:rsidR="00B53B98" w:rsidRPr="00B53B98">
      <w:rPr>
        <w:rFonts w:asciiTheme="majorBidi" w:hAnsiTheme="majorBidi" w:cstheme="majorBidi"/>
        <w:b/>
        <w:bCs/>
        <w:rtl/>
        <w:cs/>
      </w:rPr>
      <w:instrText>PAGE</w:instrText>
    </w:r>
    <w:r w:rsidR="00B53B98" w:rsidRPr="00B53B98">
      <w:rPr>
        <w:rFonts w:asciiTheme="majorBidi" w:hAnsiTheme="majorBidi" w:cstheme="majorBidi"/>
        <w:b/>
        <w:bCs/>
      </w:rPr>
      <w:fldChar w:fldCharType="separate"/>
    </w:r>
    <w:r w:rsidR="00B53B98">
      <w:rPr>
        <w:rFonts w:asciiTheme="majorBidi" w:hAnsiTheme="majorBidi" w:cstheme="majorBidi"/>
        <w:b/>
        <w:bCs/>
        <w:noProof/>
      </w:rPr>
      <w:t>2</w:t>
    </w:r>
    <w:r w:rsidR="00B53B98" w:rsidRPr="00B53B98">
      <w:rPr>
        <w:rFonts w:asciiTheme="majorBidi" w:hAnsiTheme="majorBidi" w:cstheme="majorBidi"/>
        <w:b/>
        <w:bCs/>
      </w:rPr>
      <w:fldChar w:fldCharType="end"/>
    </w:r>
    <w:r w:rsidR="00B53B98" w:rsidRPr="00B53B98">
      <w:rPr>
        <w:rFonts w:asciiTheme="majorBidi" w:hAnsiTheme="majorBidi" w:cstheme="majorBidi"/>
      </w:rPr>
      <w:t xml:space="preserve"> Of</w:t>
    </w:r>
    <w:r w:rsidR="00B53B98" w:rsidRPr="00B53B98">
      <w:rPr>
        <w:rFonts w:asciiTheme="majorBidi" w:hAnsiTheme="majorBidi" w:cstheme="majorBidi"/>
        <w:rtl/>
        <w:cs/>
        <w:lang w:val="he-IL"/>
      </w:rPr>
      <w:t xml:space="preserve"> </w:t>
    </w:r>
    <w:r w:rsidR="00B53B98" w:rsidRPr="00B53B98">
      <w:rPr>
        <w:rFonts w:asciiTheme="majorBidi" w:hAnsiTheme="majorBidi" w:cstheme="majorBidi"/>
        <w:b/>
        <w:bCs/>
      </w:rPr>
      <w:fldChar w:fldCharType="begin"/>
    </w:r>
    <w:r w:rsidR="00B53B98" w:rsidRPr="00B53B98">
      <w:rPr>
        <w:rFonts w:asciiTheme="majorBidi" w:hAnsiTheme="majorBidi" w:cstheme="majorBidi"/>
        <w:b/>
        <w:bCs/>
        <w:rtl/>
        <w:cs/>
      </w:rPr>
      <w:instrText>NUMPAGES</w:instrText>
    </w:r>
    <w:r w:rsidR="00B53B98" w:rsidRPr="00B53B98">
      <w:rPr>
        <w:rFonts w:asciiTheme="majorBidi" w:hAnsiTheme="majorBidi" w:cstheme="majorBidi"/>
        <w:b/>
        <w:bCs/>
      </w:rPr>
      <w:fldChar w:fldCharType="separate"/>
    </w:r>
    <w:r w:rsidR="00B53B98">
      <w:rPr>
        <w:rFonts w:asciiTheme="majorBidi" w:hAnsiTheme="majorBidi" w:cstheme="majorBidi"/>
        <w:b/>
        <w:bCs/>
        <w:noProof/>
      </w:rPr>
      <w:t>8</w:t>
    </w:r>
    <w:r w:rsidR="00B53B98" w:rsidRPr="00B53B98">
      <w:rPr>
        <w:rFonts w:asciiTheme="majorBidi" w:hAnsiTheme="majorBidi" w:cstheme="majorBidi"/>
        <w:b/>
        <w:bCs/>
      </w:rPr>
      <w:fldChar w:fldCharType="end"/>
    </w:r>
  </w:p>
  <w:p w:rsidR="009A0038" w:rsidRPr="00B53B98" w:rsidRDefault="009A0038" w:rsidP="007104AF">
    <w:pPr>
      <w:pStyle w:val="a8"/>
      <w:jc w:val="right"/>
    </w:pPr>
  </w:p>
  <w:p w:rsidR="00FF1BEF" w:rsidRDefault="00FF1BEF" w:rsidP="009A0038">
    <w:pPr>
      <w:pStyle w:val="a8"/>
      <w:jc w:val="right"/>
    </w:pPr>
  </w:p>
  <w:p w:rsidR="009A0038" w:rsidRDefault="009A0038" w:rsidP="00FF1BEF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AA2" w:rsidRDefault="00810AA2" w:rsidP="009A0038">
      <w:r>
        <w:separator/>
      </w:r>
    </w:p>
  </w:footnote>
  <w:footnote w:type="continuationSeparator" w:id="0">
    <w:p w:rsidR="00810AA2" w:rsidRDefault="00810AA2" w:rsidP="009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17122"/>
    <w:multiLevelType w:val="hybridMultilevel"/>
    <w:tmpl w:val="3370C8AE"/>
    <w:lvl w:ilvl="0" w:tplc="C18CC29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8A"/>
    <w:rsid w:val="00036CC1"/>
    <w:rsid w:val="000548A8"/>
    <w:rsid w:val="00061746"/>
    <w:rsid w:val="00097CF2"/>
    <w:rsid w:val="000B1B2F"/>
    <w:rsid w:val="000B636C"/>
    <w:rsid w:val="000D097D"/>
    <w:rsid w:val="000E1829"/>
    <w:rsid w:val="000F64CE"/>
    <w:rsid w:val="00107061"/>
    <w:rsid w:val="0017506A"/>
    <w:rsid w:val="001B388C"/>
    <w:rsid w:val="001D5A1E"/>
    <w:rsid w:val="0021607B"/>
    <w:rsid w:val="00234AB9"/>
    <w:rsid w:val="00236ACF"/>
    <w:rsid w:val="002370DF"/>
    <w:rsid w:val="002372B0"/>
    <w:rsid w:val="002613B6"/>
    <w:rsid w:val="00266332"/>
    <w:rsid w:val="002D70C5"/>
    <w:rsid w:val="002F0A62"/>
    <w:rsid w:val="00302BA8"/>
    <w:rsid w:val="00320932"/>
    <w:rsid w:val="00321196"/>
    <w:rsid w:val="00323737"/>
    <w:rsid w:val="0035027B"/>
    <w:rsid w:val="003770B6"/>
    <w:rsid w:val="00377445"/>
    <w:rsid w:val="00377C13"/>
    <w:rsid w:val="0038605B"/>
    <w:rsid w:val="003F1B49"/>
    <w:rsid w:val="00411D04"/>
    <w:rsid w:val="0041764B"/>
    <w:rsid w:val="00425BCF"/>
    <w:rsid w:val="004702E3"/>
    <w:rsid w:val="00470E0C"/>
    <w:rsid w:val="004772C2"/>
    <w:rsid w:val="00491A8A"/>
    <w:rsid w:val="004E25BB"/>
    <w:rsid w:val="0053009D"/>
    <w:rsid w:val="005454C0"/>
    <w:rsid w:val="00556589"/>
    <w:rsid w:val="00566101"/>
    <w:rsid w:val="00571D96"/>
    <w:rsid w:val="005A152A"/>
    <w:rsid w:val="005A7EC9"/>
    <w:rsid w:val="005C4276"/>
    <w:rsid w:val="005C4B72"/>
    <w:rsid w:val="005E3416"/>
    <w:rsid w:val="00625A0C"/>
    <w:rsid w:val="00644224"/>
    <w:rsid w:val="0064484C"/>
    <w:rsid w:val="006535E6"/>
    <w:rsid w:val="00680F6E"/>
    <w:rsid w:val="006A3F7F"/>
    <w:rsid w:val="007104AF"/>
    <w:rsid w:val="00711E7B"/>
    <w:rsid w:val="0072476A"/>
    <w:rsid w:val="00780196"/>
    <w:rsid w:val="007A0F83"/>
    <w:rsid w:val="00801650"/>
    <w:rsid w:val="00810AA2"/>
    <w:rsid w:val="0082122A"/>
    <w:rsid w:val="0083481E"/>
    <w:rsid w:val="0084069E"/>
    <w:rsid w:val="00846206"/>
    <w:rsid w:val="008A39A2"/>
    <w:rsid w:val="008A7D01"/>
    <w:rsid w:val="008B347D"/>
    <w:rsid w:val="00904C43"/>
    <w:rsid w:val="00946A08"/>
    <w:rsid w:val="0095153E"/>
    <w:rsid w:val="00960EAD"/>
    <w:rsid w:val="00961FB3"/>
    <w:rsid w:val="00963BA7"/>
    <w:rsid w:val="00980E7D"/>
    <w:rsid w:val="009A0038"/>
    <w:rsid w:val="009D3A36"/>
    <w:rsid w:val="00A00160"/>
    <w:rsid w:val="00A067A2"/>
    <w:rsid w:val="00A23376"/>
    <w:rsid w:val="00A34E2F"/>
    <w:rsid w:val="00A57B9C"/>
    <w:rsid w:val="00A60637"/>
    <w:rsid w:val="00A756F1"/>
    <w:rsid w:val="00A8534E"/>
    <w:rsid w:val="00A87C4E"/>
    <w:rsid w:val="00AA0F97"/>
    <w:rsid w:val="00AB2B2D"/>
    <w:rsid w:val="00AC3B72"/>
    <w:rsid w:val="00AD0AA7"/>
    <w:rsid w:val="00AD13E6"/>
    <w:rsid w:val="00AD4AAA"/>
    <w:rsid w:val="00B23A1B"/>
    <w:rsid w:val="00B35542"/>
    <w:rsid w:val="00B50472"/>
    <w:rsid w:val="00B53B98"/>
    <w:rsid w:val="00B571D2"/>
    <w:rsid w:val="00BC3DB0"/>
    <w:rsid w:val="00BC5FF5"/>
    <w:rsid w:val="00BD2A71"/>
    <w:rsid w:val="00BD7E57"/>
    <w:rsid w:val="00C14080"/>
    <w:rsid w:val="00C14683"/>
    <w:rsid w:val="00C309BA"/>
    <w:rsid w:val="00C33BAB"/>
    <w:rsid w:val="00C413A1"/>
    <w:rsid w:val="00C575E2"/>
    <w:rsid w:val="00C90DDA"/>
    <w:rsid w:val="00CB1DBC"/>
    <w:rsid w:val="00CD2CBC"/>
    <w:rsid w:val="00CE07C1"/>
    <w:rsid w:val="00D01AE1"/>
    <w:rsid w:val="00D124A2"/>
    <w:rsid w:val="00D17BF2"/>
    <w:rsid w:val="00D27A0B"/>
    <w:rsid w:val="00D60915"/>
    <w:rsid w:val="00D71F36"/>
    <w:rsid w:val="00DA3FBF"/>
    <w:rsid w:val="00DA491C"/>
    <w:rsid w:val="00DB3684"/>
    <w:rsid w:val="00DD599D"/>
    <w:rsid w:val="00E15082"/>
    <w:rsid w:val="00E20B66"/>
    <w:rsid w:val="00E40F16"/>
    <w:rsid w:val="00E97AA9"/>
    <w:rsid w:val="00EA7B97"/>
    <w:rsid w:val="00ED25C6"/>
    <w:rsid w:val="00EE227A"/>
    <w:rsid w:val="00F16D8B"/>
    <w:rsid w:val="00F44883"/>
    <w:rsid w:val="00F46477"/>
    <w:rsid w:val="00F9620E"/>
    <w:rsid w:val="00FA2A42"/>
    <w:rsid w:val="00FC0696"/>
    <w:rsid w:val="00FC13AD"/>
    <w:rsid w:val="00FF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8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gpar">
    <w:name w:val="regpar"/>
    <w:basedOn w:val="a"/>
    <w:rsid w:val="00491A8A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paragraph" w:styleId="a3">
    <w:name w:val="Balloon Text"/>
    <w:basedOn w:val="a"/>
    <w:link w:val="a4"/>
    <w:uiPriority w:val="99"/>
    <w:semiHidden/>
    <w:unhideWhenUsed/>
    <w:rsid w:val="00491A8A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91A8A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5BC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A0038"/>
    <w:pPr>
      <w:tabs>
        <w:tab w:val="center" w:pos="4320"/>
        <w:tab w:val="right" w:pos="8640"/>
      </w:tabs>
    </w:pPr>
  </w:style>
  <w:style w:type="character" w:customStyle="1" w:styleId="a7">
    <w:name w:val="כותרת עליונה תו"/>
    <w:basedOn w:val="a0"/>
    <w:link w:val="a6"/>
    <w:uiPriority w:val="99"/>
    <w:rsid w:val="009A003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A0038"/>
    <w:pPr>
      <w:tabs>
        <w:tab w:val="center" w:pos="4320"/>
        <w:tab w:val="right" w:pos="8640"/>
      </w:tabs>
    </w:pPr>
  </w:style>
  <w:style w:type="character" w:customStyle="1" w:styleId="a9">
    <w:name w:val="כותרת תחתונה תו"/>
    <w:basedOn w:val="a0"/>
    <w:link w:val="a8"/>
    <w:uiPriority w:val="99"/>
    <w:rsid w:val="009A0038"/>
    <w:rPr>
      <w:rFonts w:ascii="Times New Roman" w:eastAsia="Times New Roman" w:hAnsi="Times New Roman" w:cs="Times New Roman"/>
      <w:sz w:val="24"/>
      <w:szCs w:val="24"/>
    </w:rPr>
  </w:style>
  <w:style w:type="paragraph" w:customStyle="1" w:styleId="LetterheadBOI">
    <w:name w:val="Letterhead BOI"/>
    <w:basedOn w:val="regpar"/>
    <w:link w:val="LetterheadBOIChar"/>
    <w:qFormat/>
    <w:rsid w:val="009D3A36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9D3A36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LetterheadBOIChar">
    <w:name w:val="Letterhead BOI Char"/>
    <w:basedOn w:val="a0"/>
    <w:link w:val="LetterheadBOI"/>
    <w:rsid w:val="009D3A36"/>
    <w:rPr>
      <w:rFonts w:ascii="Times New Roman" w:eastAsia="Times New Roman" w:hAnsi="Times New Roman" w:cs="David"/>
      <w:b/>
      <w:sz w:val="24"/>
      <w:szCs w:val="24"/>
    </w:rPr>
  </w:style>
  <w:style w:type="character" w:customStyle="1" w:styleId="Letterhead2Char">
    <w:name w:val="Letterhead 2 Char"/>
    <w:basedOn w:val="a0"/>
    <w:link w:val="Letterhead2"/>
    <w:rsid w:val="009D3A36"/>
    <w:rPr>
      <w:rFonts w:ascii="Times New Roman" w:eastAsia="Times New Roman" w:hAnsi="Times New Roman" w:cs="Times New Roman"/>
      <w:sz w:val="26"/>
      <w:szCs w:val="26"/>
    </w:rPr>
  </w:style>
  <w:style w:type="paragraph" w:customStyle="1" w:styleId="PressReleaseTitle">
    <w:name w:val="Press Release Title"/>
    <w:basedOn w:val="a"/>
    <w:link w:val="PressReleaseTitleChar"/>
    <w:qFormat/>
    <w:rsid w:val="009D3A36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PressReleaseTitleChar">
    <w:name w:val="Press Release Title Char"/>
    <w:basedOn w:val="a0"/>
    <w:link w:val="PressReleaseTitle"/>
    <w:rsid w:val="009D3A36"/>
    <w:rPr>
      <w:rFonts w:ascii="Times New Roman" w:eastAsia="Times New Roman" w:hAnsi="Times New Roman" w:cs="David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8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gpar">
    <w:name w:val="regpar"/>
    <w:basedOn w:val="a"/>
    <w:rsid w:val="00491A8A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paragraph" w:styleId="a3">
    <w:name w:val="Balloon Text"/>
    <w:basedOn w:val="a"/>
    <w:link w:val="a4"/>
    <w:uiPriority w:val="99"/>
    <w:semiHidden/>
    <w:unhideWhenUsed/>
    <w:rsid w:val="00491A8A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91A8A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5BC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A0038"/>
    <w:pPr>
      <w:tabs>
        <w:tab w:val="center" w:pos="4320"/>
        <w:tab w:val="right" w:pos="8640"/>
      </w:tabs>
    </w:pPr>
  </w:style>
  <w:style w:type="character" w:customStyle="1" w:styleId="a7">
    <w:name w:val="כותרת עליונה תו"/>
    <w:basedOn w:val="a0"/>
    <w:link w:val="a6"/>
    <w:uiPriority w:val="99"/>
    <w:rsid w:val="009A003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A0038"/>
    <w:pPr>
      <w:tabs>
        <w:tab w:val="center" w:pos="4320"/>
        <w:tab w:val="right" w:pos="8640"/>
      </w:tabs>
    </w:pPr>
  </w:style>
  <w:style w:type="character" w:customStyle="1" w:styleId="a9">
    <w:name w:val="כותרת תחתונה תו"/>
    <w:basedOn w:val="a0"/>
    <w:link w:val="a8"/>
    <w:uiPriority w:val="99"/>
    <w:rsid w:val="009A0038"/>
    <w:rPr>
      <w:rFonts w:ascii="Times New Roman" w:eastAsia="Times New Roman" w:hAnsi="Times New Roman" w:cs="Times New Roman"/>
      <w:sz w:val="24"/>
      <w:szCs w:val="24"/>
    </w:rPr>
  </w:style>
  <w:style w:type="paragraph" w:customStyle="1" w:styleId="LetterheadBOI">
    <w:name w:val="Letterhead BOI"/>
    <w:basedOn w:val="regpar"/>
    <w:link w:val="LetterheadBOIChar"/>
    <w:qFormat/>
    <w:rsid w:val="009D3A36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9D3A36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LetterheadBOIChar">
    <w:name w:val="Letterhead BOI Char"/>
    <w:basedOn w:val="a0"/>
    <w:link w:val="LetterheadBOI"/>
    <w:rsid w:val="009D3A36"/>
    <w:rPr>
      <w:rFonts w:ascii="Times New Roman" w:eastAsia="Times New Roman" w:hAnsi="Times New Roman" w:cs="David"/>
      <w:b/>
      <w:sz w:val="24"/>
      <w:szCs w:val="24"/>
    </w:rPr>
  </w:style>
  <w:style w:type="character" w:customStyle="1" w:styleId="Letterhead2Char">
    <w:name w:val="Letterhead 2 Char"/>
    <w:basedOn w:val="a0"/>
    <w:link w:val="Letterhead2"/>
    <w:rsid w:val="009D3A36"/>
    <w:rPr>
      <w:rFonts w:ascii="Times New Roman" w:eastAsia="Times New Roman" w:hAnsi="Times New Roman" w:cs="Times New Roman"/>
      <w:sz w:val="26"/>
      <w:szCs w:val="26"/>
    </w:rPr>
  </w:style>
  <w:style w:type="paragraph" w:customStyle="1" w:styleId="PressReleaseTitle">
    <w:name w:val="Press Release Title"/>
    <w:basedOn w:val="a"/>
    <w:link w:val="PressReleaseTitleChar"/>
    <w:qFormat/>
    <w:rsid w:val="009D3A36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PressReleaseTitleChar">
    <w:name w:val="Press Release Title Char"/>
    <w:basedOn w:val="a0"/>
    <w:link w:val="PressReleaseTitle"/>
    <w:rsid w:val="009D3A36"/>
    <w:rPr>
      <w:rFonts w:ascii="Times New Roman" w:eastAsia="Times New Roman" w:hAnsi="Times New Roman" w:cs="David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customXml" Target="../customXml/item3.xml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emf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dc66967819e61477bbb22baefbd46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a2d015b092b9b034dac7bb82bea7ad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20F0F0-9583-4C0C-851A-E2FD6A845F68}"/>
</file>

<file path=customXml/itemProps2.xml><?xml version="1.0" encoding="utf-8"?>
<ds:datastoreItem xmlns:ds="http://schemas.openxmlformats.org/officeDocument/2006/customXml" ds:itemID="{93745D4C-0059-4F02-B4AF-C3EC2E1059D6}"/>
</file>

<file path=customXml/itemProps3.xml><?xml version="1.0" encoding="utf-8"?>
<ds:datastoreItem xmlns:ds="http://schemas.openxmlformats.org/officeDocument/2006/customXml" ds:itemID="{89CF68FD-E5BB-4879-B00C-0F8E4415C3A4}"/>
</file>

<file path=customXml/itemProps4.xml><?xml version="1.0" encoding="utf-8"?>
<ds:datastoreItem xmlns:ds="http://schemas.openxmlformats.org/officeDocument/2006/customXml" ds:itemID="{CF02098F-BA82-4E83-B1FC-FDE045112E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1021</Words>
  <Characters>5109</Characters>
  <Application>Microsoft Office Word</Application>
  <DocSecurity>4</DocSecurity>
  <Lines>42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u15c</dc:creator>
  <cp:lastModifiedBy>מיטל רפאלי</cp:lastModifiedBy>
  <cp:revision>2</cp:revision>
  <dcterms:created xsi:type="dcterms:W3CDTF">2016-07-21T06:57:00Z</dcterms:created>
  <dcterms:modified xsi:type="dcterms:W3CDTF">2016-07-21T06:57:00Z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