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04034A" w:rsidTr="0029736D">
        <w:tc>
          <w:tcPr>
            <w:tcW w:w="3343" w:type="dxa"/>
            <w:tcBorders>
              <w:top w:val="nil"/>
              <w:left w:val="nil"/>
              <w:bottom w:val="nil"/>
              <w:right w:val="nil"/>
            </w:tcBorders>
            <w:vAlign w:val="center"/>
          </w:tcPr>
          <w:p w:rsidR="009005BA" w:rsidRPr="0004034A" w:rsidRDefault="009005BA" w:rsidP="0029736D">
            <w:pPr>
              <w:rPr>
                <w:rFonts w:cstheme="minorHAnsi"/>
                <w:b/>
                <w:bCs/>
                <w:sz w:val="24"/>
                <w:szCs w:val="24"/>
                <w:rtl/>
              </w:rPr>
            </w:pPr>
            <w:r w:rsidRPr="0004034A">
              <w:rPr>
                <w:rFonts w:cstheme="minorHAnsi"/>
                <w:b/>
                <w:bCs/>
                <w:sz w:val="24"/>
                <w:szCs w:val="24"/>
                <w:rtl/>
              </w:rPr>
              <w:t>בנק ישראל</w:t>
            </w:r>
          </w:p>
          <w:p w:rsidR="009005BA" w:rsidRPr="0004034A" w:rsidRDefault="009005BA" w:rsidP="0029736D">
            <w:pPr>
              <w:rPr>
                <w:rFonts w:cstheme="minorHAnsi"/>
                <w:b/>
                <w:bCs/>
                <w:sz w:val="28"/>
                <w:szCs w:val="28"/>
              </w:rPr>
            </w:pPr>
            <w:r w:rsidRPr="0004034A">
              <w:rPr>
                <w:rFonts w:cstheme="minorHAnsi"/>
                <w:rtl/>
              </w:rPr>
              <w:t>דוברות והסברה כלכלית</w:t>
            </w:r>
          </w:p>
        </w:tc>
        <w:tc>
          <w:tcPr>
            <w:tcW w:w="2596" w:type="dxa"/>
            <w:tcBorders>
              <w:top w:val="nil"/>
              <w:left w:val="nil"/>
              <w:bottom w:val="nil"/>
              <w:right w:val="nil"/>
            </w:tcBorders>
            <w:shd w:val="clear" w:color="auto" w:fill="FFFFFF"/>
          </w:tcPr>
          <w:p w:rsidR="009005BA" w:rsidRPr="0004034A" w:rsidRDefault="009005BA" w:rsidP="0029736D">
            <w:pPr>
              <w:jc w:val="center"/>
              <w:rPr>
                <w:rFonts w:cstheme="minorHAnsi"/>
              </w:rPr>
            </w:pPr>
            <w:r w:rsidRPr="0004034A">
              <w:rPr>
                <w:rFonts w:cstheme="minorHAnsi"/>
                <w:noProof/>
              </w:rPr>
              <w:drawing>
                <wp:anchor distT="0" distB="0" distL="114300" distR="114300" simplePos="0" relativeHeight="251659264" behindDoc="0" locked="0" layoutInCell="1" allowOverlap="1" wp14:anchorId="51FEB761" wp14:editId="33CDEE56">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04034A" w:rsidRDefault="009005BA" w:rsidP="009005BA">
            <w:pPr>
              <w:jc w:val="right"/>
              <w:rPr>
                <w:rFonts w:cstheme="minorHAnsi"/>
                <w:rtl/>
              </w:rPr>
            </w:pPr>
            <w:r w:rsidRPr="0004034A">
              <w:rPr>
                <w:rFonts w:cstheme="minorHAnsi"/>
                <w:highlight w:val="green"/>
                <w:rtl/>
              </w:rPr>
              <w:t>‏</w:t>
            </w:r>
            <w:r w:rsidRPr="0004034A">
              <w:rPr>
                <w:rFonts w:cstheme="minorHAnsi"/>
                <w:rtl/>
              </w:rPr>
              <w:t xml:space="preserve">ירושלים, </w:t>
            </w:r>
            <w:r w:rsidRPr="0004034A">
              <w:rPr>
                <w:rFonts w:cstheme="minorHAnsi"/>
                <w:rtl/>
              </w:rPr>
              <w:fldChar w:fldCharType="begin"/>
            </w:r>
            <w:r w:rsidRPr="0004034A">
              <w:rPr>
                <w:rFonts w:cstheme="minorHAnsi"/>
                <w:rtl/>
              </w:rPr>
              <w:instrText xml:space="preserve"> </w:instrText>
            </w:r>
            <w:r w:rsidRPr="0004034A">
              <w:rPr>
                <w:rFonts w:cstheme="minorHAnsi"/>
              </w:rPr>
              <w:instrText>DATE</w:instrText>
            </w:r>
            <w:r w:rsidRPr="0004034A">
              <w:rPr>
                <w:rFonts w:cstheme="minorHAnsi"/>
                <w:rtl/>
              </w:rPr>
              <w:instrText xml:space="preserve"> \@ "</w:instrText>
            </w:r>
            <w:r w:rsidRPr="0004034A">
              <w:rPr>
                <w:rFonts w:cstheme="minorHAnsi"/>
              </w:rPr>
              <w:instrText>d MMMM, yyyy" \h</w:instrText>
            </w:r>
            <w:r w:rsidRPr="0004034A">
              <w:rPr>
                <w:rFonts w:cstheme="minorHAnsi"/>
                <w:rtl/>
              </w:rPr>
              <w:instrText xml:space="preserve"> </w:instrText>
            </w:r>
            <w:r w:rsidRPr="0004034A">
              <w:rPr>
                <w:rFonts w:cstheme="minorHAnsi"/>
                <w:rtl/>
              </w:rPr>
              <w:fldChar w:fldCharType="separate"/>
            </w:r>
            <w:r w:rsidR="000C49EF">
              <w:rPr>
                <w:rFonts w:cstheme="minorHAnsi"/>
                <w:noProof/>
                <w:rtl/>
              </w:rPr>
              <w:t>‏ב' ניסן, תשפ"ה</w:t>
            </w:r>
            <w:r w:rsidRPr="0004034A">
              <w:rPr>
                <w:rFonts w:cstheme="minorHAnsi"/>
                <w:rtl/>
              </w:rPr>
              <w:fldChar w:fldCharType="end"/>
            </w:r>
          </w:p>
          <w:p w:rsidR="009005BA" w:rsidRPr="0004034A" w:rsidRDefault="009005BA" w:rsidP="009005BA">
            <w:pPr>
              <w:jc w:val="right"/>
              <w:rPr>
                <w:rFonts w:cstheme="minorHAnsi"/>
                <w:highlight w:val="green"/>
              </w:rPr>
            </w:pPr>
            <w:r w:rsidRPr="0004034A">
              <w:rPr>
                <w:rFonts w:cstheme="minorHAnsi"/>
                <w:rtl/>
              </w:rPr>
              <w:fldChar w:fldCharType="begin"/>
            </w:r>
            <w:r w:rsidRPr="0004034A">
              <w:rPr>
                <w:rFonts w:cstheme="minorHAnsi"/>
                <w:rtl/>
              </w:rPr>
              <w:instrText xml:space="preserve"> </w:instrText>
            </w:r>
            <w:r w:rsidRPr="0004034A">
              <w:rPr>
                <w:rFonts w:cstheme="minorHAnsi"/>
              </w:rPr>
              <w:instrText>DATE</w:instrText>
            </w:r>
            <w:r w:rsidRPr="0004034A">
              <w:rPr>
                <w:rFonts w:cstheme="minorHAnsi"/>
                <w:rtl/>
              </w:rPr>
              <w:instrText xml:space="preserve"> \@ "</w:instrText>
            </w:r>
            <w:r w:rsidRPr="0004034A">
              <w:rPr>
                <w:rFonts w:cstheme="minorHAnsi"/>
              </w:rPr>
              <w:instrText>d MMMM, yyyy</w:instrText>
            </w:r>
            <w:r w:rsidRPr="0004034A">
              <w:rPr>
                <w:rFonts w:cstheme="minorHAnsi"/>
                <w:rtl/>
              </w:rPr>
              <w:instrText xml:space="preserve">" </w:instrText>
            </w:r>
            <w:r w:rsidRPr="0004034A">
              <w:rPr>
                <w:rFonts w:cstheme="minorHAnsi"/>
                <w:rtl/>
              </w:rPr>
              <w:fldChar w:fldCharType="separate"/>
            </w:r>
            <w:r w:rsidR="000C49EF">
              <w:rPr>
                <w:rFonts w:cstheme="minorHAnsi"/>
                <w:noProof/>
                <w:rtl/>
              </w:rPr>
              <w:t>‏31 מרץ, 2025</w:t>
            </w:r>
            <w:r w:rsidRPr="0004034A">
              <w:rPr>
                <w:rFonts w:cstheme="minorHAnsi"/>
                <w:rtl/>
              </w:rPr>
              <w:fldChar w:fldCharType="end"/>
            </w:r>
          </w:p>
        </w:tc>
      </w:tr>
    </w:tbl>
    <w:p w:rsidR="009005BA" w:rsidRPr="0004034A" w:rsidRDefault="009005BA" w:rsidP="007B0741">
      <w:pPr>
        <w:tabs>
          <w:tab w:val="left" w:pos="2315"/>
        </w:tabs>
        <w:rPr>
          <w:rFonts w:cstheme="minorHAnsi"/>
          <w:sz w:val="24"/>
          <w:szCs w:val="24"/>
          <w:rtl/>
        </w:rPr>
      </w:pPr>
    </w:p>
    <w:p w:rsidR="000C49EF" w:rsidRPr="000C49EF" w:rsidRDefault="000C49EF" w:rsidP="000C49EF">
      <w:pPr>
        <w:tabs>
          <w:tab w:val="left" w:pos="2315"/>
        </w:tabs>
        <w:spacing w:line="360" w:lineRule="auto"/>
        <w:jc w:val="center"/>
        <w:rPr>
          <w:rFonts w:cstheme="minorHAnsi"/>
          <w:b/>
          <w:bCs/>
          <w:sz w:val="28"/>
          <w:szCs w:val="28"/>
          <w:rtl/>
        </w:rPr>
      </w:pPr>
      <w:r w:rsidRPr="000C49EF">
        <w:rPr>
          <w:rFonts w:cs="Calibri"/>
          <w:b/>
          <w:bCs/>
          <w:sz w:val="28"/>
          <w:szCs w:val="28"/>
          <w:rtl/>
        </w:rPr>
        <w:t>הודעה לעיתונות משותפת למשרד האוצר ולבנק ישראל:</w:t>
      </w:r>
    </w:p>
    <w:p w:rsidR="000C49EF" w:rsidRPr="000C49EF" w:rsidRDefault="000C49EF" w:rsidP="000C49EF">
      <w:pPr>
        <w:tabs>
          <w:tab w:val="left" w:pos="2315"/>
        </w:tabs>
        <w:spacing w:line="360" w:lineRule="auto"/>
        <w:jc w:val="center"/>
        <w:rPr>
          <w:rFonts w:cstheme="minorHAnsi"/>
          <w:b/>
          <w:bCs/>
          <w:sz w:val="28"/>
          <w:szCs w:val="28"/>
          <w:rtl/>
        </w:rPr>
      </w:pPr>
      <w:r w:rsidRPr="000C49EF">
        <w:rPr>
          <w:rFonts w:cs="Calibri"/>
          <w:b/>
          <w:bCs/>
          <w:sz w:val="28"/>
          <w:szCs w:val="28"/>
          <w:rtl/>
        </w:rPr>
        <w:t xml:space="preserve">פורסם להערות הציבור </w:t>
      </w:r>
      <w:bookmarkStart w:id="0" w:name="_GoBack"/>
      <w:r w:rsidRPr="000C49EF">
        <w:rPr>
          <w:rFonts w:cs="Calibri"/>
          <w:b/>
          <w:bCs/>
          <w:sz w:val="28"/>
          <w:szCs w:val="28"/>
          <w:rtl/>
        </w:rPr>
        <w:t xml:space="preserve">דו"ח הביניים של הצוות הבין-משרדי לבחינת האמצעים להגברת התחרות במערכת הבנקאית למגזר הקמעונאי </w:t>
      </w:r>
      <w:bookmarkEnd w:id="0"/>
      <w:r w:rsidRPr="000C49EF">
        <w:rPr>
          <w:rFonts w:cs="Calibri"/>
          <w:b/>
          <w:bCs/>
          <w:sz w:val="28"/>
          <w:szCs w:val="28"/>
          <w:rtl/>
        </w:rPr>
        <w:t>ובו המלצות שיקלו על גופים חוץ-בנקאיים לקבל רישיון תאגיד בנקאי</w:t>
      </w:r>
    </w:p>
    <w:p w:rsidR="000C49EF" w:rsidRPr="000C49EF" w:rsidRDefault="000C49EF" w:rsidP="000C49EF">
      <w:pPr>
        <w:tabs>
          <w:tab w:val="left" w:pos="2315"/>
        </w:tabs>
        <w:spacing w:line="360" w:lineRule="auto"/>
        <w:jc w:val="both"/>
        <w:rPr>
          <w:rFonts w:cstheme="minorHAnsi"/>
          <w:sz w:val="24"/>
          <w:szCs w:val="24"/>
          <w:rtl/>
        </w:rPr>
      </w:pPr>
    </w:p>
    <w:p w:rsidR="000C49EF" w:rsidRPr="000C49EF" w:rsidRDefault="000C49EF" w:rsidP="000C49EF">
      <w:pPr>
        <w:tabs>
          <w:tab w:val="left" w:pos="2315"/>
        </w:tabs>
        <w:spacing w:line="360" w:lineRule="auto"/>
        <w:jc w:val="both"/>
        <w:rPr>
          <w:rFonts w:cstheme="minorHAnsi"/>
          <w:sz w:val="24"/>
          <w:szCs w:val="24"/>
          <w:rtl/>
        </w:rPr>
      </w:pPr>
      <w:r w:rsidRPr="000C49EF">
        <w:rPr>
          <w:rFonts w:cs="Calibri"/>
          <w:sz w:val="24"/>
          <w:szCs w:val="24"/>
          <w:rtl/>
        </w:rPr>
        <w:t xml:space="preserve">הצוות, אותו מינו שר האוצר ונגיד בנק ישראל, פעל בראשות המפקח על הבנקים, דניאל חחיאשוילי וראש אגף תקציבים במשרד האוצר, יוגב </w:t>
      </w:r>
      <w:proofErr w:type="spellStart"/>
      <w:r w:rsidRPr="000C49EF">
        <w:rPr>
          <w:rFonts w:cs="Calibri"/>
          <w:sz w:val="24"/>
          <w:szCs w:val="24"/>
          <w:rtl/>
        </w:rPr>
        <w:t>גרדוס</w:t>
      </w:r>
      <w:proofErr w:type="spellEnd"/>
      <w:r w:rsidRPr="000C49EF">
        <w:rPr>
          <w:rFonts w:cs="Calibri"/>
          <w:sz w:val="24"/>
          <w:szCs w:val="24"/>
          <w:rtl/>
        </w:rPr>
        <w:t xml:space="preserve">, התמקד בהסרת מגבלות ובצמצום חסמים, דרישות הרישיון והחקיקה, המקשים על כניסתם של שחקנים חדשים וקיימים למערכת הבנקאית ובכלל זה, חסמים הנוגעים למבנה </w:t>
      </w:r>
      <w:proofErr w:type="spellStart"/>
      <w:r w:rsidRPr="000C49EF">
        <w:rPr>
          <w:rFonts w:cs="Calibri"/>
          <w:sz w:val="24"/>
          <w:szCs w:val="24"/>
          <w:rtl/>
        </w:rPr>
        <w:t>ההחזקות</w:t>
      </w:r>
      <w:proofErr w:type="spellEnd"/>
      <w:r w:rsidRPr="000C49EF">
        <w:rPr>
          <w:rFonts w:cs="Calibri"/>
          <w:sz w:val="24"/>
          <w:szCs w:val="24"/>
          <w:rtl/>
        </w:rPr>
        <w:t xml:space="preserve"> בהם. זאת, לצד שמירה על יציבות המערכת הבנקאית, הגנה על </w:t>
      </w:r>
      <w:proofErr w:type="spellStart"/>
      <w:r w:rsidRPr="000C49EF">
        <w:rPr>
          <w:rFonts w:cs="Calibri"/>
          <w:sz w:val="24"/>
          <w:szCs w:val="24"/>
          <w:rtl/>
        </w:rPr>
        <w:t>הלקוחותיה</w:t>
      </w:r>
      <w:proofErr w:type="spellEnd"/>
      <w:r w:rsidRPr="000C49EF">
        <w:rPr>
          <w:rFonts w:cs="Calibri"/>
          <w:sz w:val="24"/>
          <w:szCs w:val="24"/>
          <w:rtl/>
        </w:rPr>
        <w:t xml:space="preserve">, ומתן מענה לניגודי עניינים העלולים להיווצר ממבנה </w:t>
      </w:r>
      <w:proofErr w:type="spellStart"/>
      <w:r w:rsidRPr="000C49EF">
        <w:rPr>
          <w:rFonts w:cs="Calibri"/>
          <w:sz w:val="24"/>
          <w:szCs w:val="24"/>
          <w:rtl/>
        </w:rPr>
        <w:t>ההחזקות</w:t>
      </w:r>
      <w:proofErr w:type="spellEnd"/>
      <w:r w:rsidRPr="000C49EF">
        <w:rPr>
          <w:rFonts w:cs="Calibri"/>
          <w:sz w:val="24"/>
          <w:szCs w:val="24"/>
          <w:rtl/>
        </w:rPr>
        <w:t xml:space="preserve"> באותם שחקנים. </w:t>
      </w:r>
    </w:p>
    <w:p w:rsidR="000C49EF" w:rsidRPr="000C49EF" w:rsidRDefault="000C49EF" w:rsidP="000C49EF">
      <w:pPr>
        <w:tabs>
          <w:tab w:val="left" w:pos="2315"/>
        </w:tabs>
        <w:spacing w:line="360" w:lineRule="auto"/>
        <w:jc w:val="both"/>
        <w:rPr>
          <w:rFonts w:cstheme="minorHAnsi"/>
          <w:sz w:val="24"/>
          <w:szCs w:val="24"/>
          <w:rtl/>
        </w:rPr>
      </w:pPr>
      <w:r w:rsidRPr="000C49EF">
        <w:rPr>
          <w:rFonts w:cs="Calibri"/>
          <w:sz w:val="24"/>
          <w:szCs w:val="24"/>
          <w:rtl/>
        </w:rPr>
        <w:t>ההמלצות המובאות בדוח הביניים מהוות נדבך נוסף במכלול הצעדים שקודמו, בעבר ובימים אלו, על-ידי הממשלה ועל-ידי בנק ישראל כחלק ממדיניות ארוכת שנים שמטרתה הגברת התחרות במערכת הפיננסית והבנקאית וקידום חדשנות פיננסית. זאת, בשים לב לתרומה המשמעותית של שכלול המערכת הפיננסית בכלל, והמערכת הבנקאית בפרט, לצמצום יוקר המחייה וצמיחת המשק.</w:t>
      </w:r>
    </w:p>
    <w:p w:rsidR="000C49EF" w:rsidRPr="000C49EF" w:rsidRDefault="000C49EF" w:rsidP="000C49EF">
      <w:pPr>
        <w:tabs>
          <w:tab w:val="left" w:pos="2315"/>
        </w:tabs>
        <w:spacing w:line="360" w:lineRule="auto"/>
        <w:jc w:val="both"/>
        <w:rPr>
          <w:rFonts w:cstheme="minorHAnsi"/>
          <w:sz w:val="24"/>
          <w:szCs w:val="24"/>
          <w:rtl/>
        </w:rPr>
      </w:pPr>
    </w:p>
    <w:p w:rsidR="000C49EF" w:rsidRPr="000C49EF" w:rsidRDefault="000C49EF" w:rsidP="000C49EF">
      <w:pPr>
        <w:tabs>
          <w:tab w:val="left" w:pos="2315"/>
        </w:tabs>
        <w:spacing w:line="360" w:lineRule="auto"/>
        <w:jc w:val="both"/>
        <w:rPr>
          <w:rFonts w:cstheme="minorHAnsi"/>
          <w:sz w:val="24"/>
          <w:szCs w:val="24"/>
          <w:rtl/>
        </w:rPr>
      </w:pPr>
      <w:r w:rsidRPr="000C49EF">
        <w:rPr>
          <w:rFonts w:cs="Calibri"/>
          <w:b/>
          <w:bCs/>
          <w:sz w:val="24"/>
          <w:szCs w:val="24"/>
          <w:rtl/>
        </w:rPr>
        <w:t xml:space="preserve">שר האוצר בצלאל </w:t>
      </w:r>
      <w:proofErr w:type="spellStart"/>
      <w:r w:rsidRPr="000C49EF">
        <w:rPr>
          <w:rFonts w:cs="Calibri"/>
          <w:b/>
          <w:bCs/>
          <w:sz w:val="24"/>
          <w:szCs w:val="24"/>
          <w:rtl/>
        </w:rPr>
        <w:t>סמוטריץ</w:t>
      </w:r>
      <w:proofErr w:type="spellEnd"/>
      <w:r w:rsidRPr="000C49EF">
        <w:rPr>
          <w:rFonts w:cs="Calibri"/>
          <w:b/>
          <w:bCs/>
          <w:sz w:val="24"/>
          <w:szCs w:val="24"/>
          <w:rtl/>
        </w:rPr>
        <w:t>׳:</w:t>
      </w:r>
      <w:r>
        <w:rPr>
          <w:rFonts w:cs="Calibri" w:hint="cs"/>
          <w:sz w:val="24"/>
          <w:szCs w:val="24"/>
          <w:rtl/>
        </w:rPr>
        <w:t xml:space="preserve"> </w:t>
      </w:r>
      <w:r w:rsidRPr="000C49EF">
        <w:rPr>
          <w:rFonts w:cs="Calibri"/>
          <w:sz w:val="24"/>
          <w:szCs w:val="24"/>
          <w:rtl/>
        </w:rPr>
        <w:t xml:space="preserve">“המאבק ביוקר המחיה עובר גם דרך מערכת הבנקאות. הציבור משלם מחיר כבד על חוסר התחרות בשירותים הפיננסיים, ואנחנו כאן כדי לשנות את זה. פרסום דוח הביניים הוא צעד חשוב לקראת פתיחה </w:t>
      </w:r>
      <w:proofErr w:type="spellStart"/>
      <w:r w:rsidRPr="000C49EF">
        <w:rPr>
          <w:rFonts w:cs="Calibri"/>
          <w:sz w:val="24"/>
          <w:szCs w:val="24"/>
          <w:rtl/>
        </w:rPr>
        <w:t>אמיתית</w:t>
      </w:r>
      <w:proofErr w:type="spellEnd"/>
      <w:r w:rsidRPr="000C49EF">
        <w:rPr>
          <w:rFonts w:cs="Calibri"/>
          <w:sz w:val="24"/>
          <w:szCs w:val="24"/>
          <w:rtl/>
        </w:rPr>
        <w:t xml:space="preserve"> של השוק והכנסת שחקנים חדשים שיאפשרו נגישות גבוהה יותר לאשראי ופיקדונות בתנאים טובים יותר למשקי הבית ולעסקים הקטנים. נמשיך לפעול בנחישות להגברת התחרות והוזלת יוקר המחיה עבור אזרחי ישראל".</w:t>
      </w:r>
    </w:p>
    <w:p w:rsidR="000C49EF" w:rsidRPr="000C49EF" w:rsidRDefault="000C49EF" w:rsidP="000C49EF">
      <w:pPr>
        <w:tabs>
          <w:tab w:val="left" w:pos="2315"/>
        </w:tabs>
        <w:spacing w:line="360" w:lineRule="auto"/>
        <w:jc w:val="both"/>
        <w:rPr>
          <w:rFonts w:cstheme="minorHAnsi"/>
          <w:sz w:val="24"/>
          <w:szCs w:val="24"/>
          <w:rtl/>
        </w:rPr>
      </w:pPr>
      <w:r w:rsidRPr="000C49EF">
        <w:rPr>
          <w:rFonts w:cs="Calibri"/>
          <w:b/>
          <w:bCs/>
          <w:sz w:val="24"/>
          <w:szCs w:val="24"/>
          <w:rtl/>
        </w:rPr>
        <w:t xml:space="preserve">נגיד בנק ישראל, פרופ' אמיר ירון: </w:t>
      </w:r>
      <w:r w:rsidRPr="000C49EF">
        <w:rPr>
          <w:rFonts w:cs="Calibri"/>
          <w:sz w:val="24"/>
          <w:szCs w:val="24"/>
          <w:rtl/>
        </w:rPr>
        <w:t xml:space="preserve">"אני שמח לקבל את דו"ח הביניים של הצוות להגברת התחרות במערכת הבנקאית. דרך המלך להגברת להגדלת הרווחה של ציבור הלקוחות היא הגברת התחרות במערכת הבנקאית באמצעות חיזוק הכוח של הלקוח והגדלת מספר השחקנים במערכת. מדובר בתהליך שכבר החל והשפעתו תלך ותתעצם עם הזמן. </w:t>
      </w:r>
      <w:r w:rsidRPr="000C49EF">
        <w:rPr>
          <w:rFonts w:cs="Calibri"/>
          <w:sz w:val="24"/>
          <w:szCs w:val="24"/>
          <w:rtl/>
        </w:rPr>
        <w:lastRenderedPageBreak/>
        <w:t xml:space="preserve">עבודת הצוות היא לבנה נוספת במהלכים שאנו מקדמים להגברת התחרות במערכת הבנקאית. בפרט, המתווה יאפשר לגופים קטנים להפוך לבנקים תוך הקלה ברגולציה הנדרשת מהם, וכן יאפשר לגופים מוסדיים לשלוט בהם."  </w:t>
      </w:r>
    </w:p>
    <w:p w:rsidR="000C49EF" w:rsidRPr="000C49EF" w:rsidRDefault="000C49EF" w:rsidP="000C49EF">
      <w:pPr>
        <w:tabs>
          <w:tab w:val="left" w:pos="2315"/>
        </w:tabs>
        <w:spacing w:line="360" w:lineRule="auto"/>
        <w:jc w:val="both"/>
        <w:rPr>
          <w:rFonts w:cstheme="minorHAnsi"/>
          <w:sz w:val="24"/>
          <w:szCs w:val="24"/>
          <w:rtl/>
        </w:rPr>
      </w:pPr>
      <w:r w:rsidRPr="000C49EF">
        <w:rPr>
          <w:rFonts w:cs="Calibri"/>
          <w:b/>
          <w:bCs/>
          <w:sz w:val="24"/>
          <w:szCs w:val="24"/>
          <w:rtl/>
        </w:rPr>
        <w:t xml:space="preserve">יוגב </w:t>
      </w:r>
      <w:proofErr w:type="spellStart"/>
      <w:r w:rsidRPr="000C49EF">
        <w:rPr>
          <w:rFonts w:cs="Calibri"/>
          <w:b/>
          <w:bCs/>
          <w:sz w:val="24"/>
          <w:szCs w:val="24"/>
          <w:rtl/>
        </w:rPr>
        <w:t>גורדוס</w:t>
      </w:r>
      <w:proofErr w:type="spellEnd"/>
      <w:r w:rsidRPr="000C49EF">
        <w:rPr>
          <w:rFonts w:cs="Calibri"/>
          <w:b/>
          <w:bCs/>
          <w:sz w:val="24"/>
          <w:szCs w:val="24"/>
          <w:rtl/>
        </w:rPr>
        <w:t>,  הממונה על התקציבים במשרד האוצר:</w:t>
      </w:r>
      <w:r>
        <w:rPr>
          <w:rFonts w:cs="Calibri" w:hint="cs"/>
          <w:sz w:val="24"/>
          <w:szCs w:val="24"/>
          <w:rtl/>
        </w:rPr>
        <w:t xml:space="preserve"> </w:t>
      </w:r>
      <w:r w:rsidRPr="000C49EF">
        <w:rPr>
          <w:rFonts w:cs="Calibri"/>
          <w:sz w:val="24"/>
          <w:szCs w:val="24"/>
          <w:rtl/>
        </w:rPr>
        <w:t>"אגף התקציבים ממשיך לפעול ללא הפסקה להגברת התחרות במערכת הפיננסית. לפני 20 שנה רפורמת בכר הביאה להרחבת מספר השחקנים המציעים מימון תחרותי ואטרקטיבי לסקטור העסקים הגדולים. המלצות הצוות מהוות המשך ישיר עבור משקי הבית והעסקים הקטנים והבינוניים, ואנחנו מאמינים שיש למהלך פוטנציאל לייצר את אותה הדינמיקה התחרותית. זאת באמצעות הרחבת הגישה למקורות מימון אשראי זולים לשחקנים נוספים, כך שלא רק שהצעות הערך ללקוחות יהיו אטרקטיביות יותר, אלא אף תתעורר התחרות בכלל המערכת הפיננסית. אני מודה לשר האוצר שנתן בי אמון להוביל את הצוות, לחברי הצוות ולבנק ישראל על השותפות במעלה הדרך".</w:t>
      </w:r>
    </w:p>
    <w:p w:rsidR="000C49EF" w:rsidRPr="000C49EF" w:rsidRDefault="000C49EF" w:rsidP="000C49EF">
      <w:pPr>
        <w:tabs>
          <w:tab w:val="left" w:pos="2315"/>
        </w:tabs>
        <w:spacing w:line="360" w:lineRule="auto"/>
        <w:jc w:val="both"/>
        <w:rPr>
          <w:rFonts w:cstheme="minorHAnsi"/>
          <w:sz w:val="24"/>
          <w:szCs w:val="24"/>
          <w:rtl/>
        </w:rPr>
      </w:pPr>
      <w:r w:rsidRPr="000C49EF">
        <w:rPr>
          <w:rFonts w:cs="Calibri"/>
          <w:b/>
          <w:bCs/>
          <w:sz w:val="24"/>
          <w:szCs w:val="24"/>
          <w:rtl/>
        </w:rPr>
        <w:t>דניאל חחיאשוילי, המפקח על הבנקים:</w:t>
      </w:r>
      <w:r>
        <w:rPr>
          <w:rFonts w:cs="Calibri" w:hint="cs"/>
          <w:sz w:val="24"/>
          <w:szCs w:val="24"/>
          <w:rtl/>
        </w:rPr>
        <w:t xml:space="preserve"> </w:t>
      </w:r>
      <w:r w:rsidRPr="000C49EF">
        <w:rPr>
          <w:rFonts w:cs="Calibri"/>
          <w:sz w:val="24"/>
          <w:szCs w:val="24"/>
          <w:rtl/>
        </w:rPr>
        <w:t>"יישום ההמלצות המופיעות בדוח הביניים, על תיקוני החקיקה והרגולציה לרבות המדרג הרגולטורי המוצעים בו, צפוי להביא לכניסה של שחקנים נוספים למערכת הבנקאות, שיתחרו בבנקים הקיימים, יציעו ללקוחותיהם שירותים מתקדמים וחדשניים,  ובכך יתרמו לשיפור ברווחת הצרכן. צעד זה מצטרף לצעדים נוספים שנוקט הפיקוח על הבנקים לשיפור התחרות וההוגנות במערכת הבנקאות".</w:t>
      </w:r>
    </w:p>
    <w:p w:rsidR="000C49EF" w:rsidRPr="000C49EF" w:rsidRDefault="000C49EF" w:rsidP="000C49EF">
      <w:pPr>
        <w:tabs>
          <w:tab w:val="left" w:pos="2315"/>
        </w:tabs>
        <w:spacing w:line="360" w:lineRule="auto"/>
        <w:jc w:val="both"/>
        <w:rPr>
          <w:rFonts w:cstheme="minorHAnsi"/>
          <w:sz w:val="24"/>
          <w:szCs w:val="24"/>
          <w:rtl/>
        </w:rPr>
      </w:pPr>
      <w:r w:rsidRPr="000C49EF">
        <w:rPr>
          <w:rFonts w:cs="Calibri"/>
          <w:sz w:val="24"/>
          <w:szCs w:val="24"/>
          <w:rtl/>
        </w:rPr>
        <w:t>המלצות הצוות מתייחסות, בין היתר, להגדלת מספר השחקנים הפוטנציאליים שיוכלו לפנות לקבלת רישיון בנקאי; למתן אפשרות לבנק קטן לפתח מודל עסקי גמיש שבמסגרתו יוכל להציע שירותים ייעודיים, שעשויים להיות גם מעבר לרשימה הסגורה הקיימת כיום לבנקים; ולהתאמת הוראות הרגולציה לבנקים כאמור. בנוסף, בהתאם להמלצות, יתאפשר לחברת החזקות פיננסית לשלוט במקביל בגוף מוסדי ובבנק שיוגבל בהיקף נכסיו, תוך הקפדה על מניעת ניגודי עניינים עם הגוף המוסדי. יישום ההמלצות יחייב תיקוני חקיקה והתאמת רגולציה פיקוחית.</w:t>
      </w:r>
    </w:p>
    <w:p w:rsidR="006F6FF9" w:rsidRPr="000C49EF" w:rsidRDefault="000C49EF" w:rsidP="000C49EF">
      <w:pPr>
        <w:tabs>
          <w:tab w:val="left" w:pos="2315"/>
        </w:tabs>
        <w:spacing w:line="360" w:lineRule="auto"/>
        <w:jc w:val="both"/>
        <w:rPr>
          <w:rFonts w:cstheme="minorHAnsi"/>
          <w:sz w:val="24"/>
          <w:szCs w:val="24"/>
          <w:rtl/>
        </w:rPr>
      </w:pPr>
      <w:r w:rsidRPr="000C49EF">
        <w:rPr>
          <w:rFonts w:cs="Calibri"/>
          <w:sz w:val="24"/>
          <w:szCs w:val="24"/>
          <w:rtl/>
        </w:rPr>
        <w:t>בצוות חברים יושב ראש רשות ניירות ערך, ספי זינגר, הממונה על שוק ההון, ביטוח וחיסכון, עמית גל, הממונה על התחרות, מיכל כהן, המשנה ליועצת המשפטית לממשלה (משפט כלכלי), מאיר לוין, ראש האגף ליציבות פיננסית בבנק ישראל, יוסי סעדון, ומנהלת יחידת רישוי ובנקים חדשים בפיקוח על הבנקים, סימה שפיצר.</w:t>
      </w:r>
    </w:p>
    <w:sectPr w:rsidR="006F6FF9" w:rsidRPr="000C49EF"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68C" w:rsidRDefault="00F0468C" w:rsidP="008755E3">
      <w:pPr>
        <w:spacing w:after="0" w:line="240" w:lineRule="auto"/>
      </w:pPr>
      <w:r>
        <w:separator/>
      </w:r>
    </w:p>
  </w:endnote>
  <w:endnote w:type="continuationSeparator" w:id="0">
    <w:p w:rsidR="00F0468C" w:rsidRDefault="00F0468C"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05A80D52" wp14:editId="1B13A88E">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5C36180A" wp14:editId="22452A46">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527395D2" wp14:editId="374783B0">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4D93CE14" wp14:editId="3A55B89F">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0598800F" wp14:editId="46758030">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Times New Roman"/>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8800F"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Times New Roman"/>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24C388E1" wp14:editId="7C66F89A">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Times New Roman"/>
                              <w:noProof/>
                              <w:sz w:val="16"/>
                              <w:szCs w:val="16"/>
                              <w:rtl/>
                            </w:rPr>
                            <w:t xml:space="preserve">יוטיוב </w:t>
                          </w:r>
                          <w:r w:rsidRPr="00031A9D">
                            <w:rPr>
                              <w:rFonts w:ascii="Calibri" w:hAnsi="Calibri" w:cs="Calibri"/>
                              <w:noProof/>
                              <w:sz w:val="16"/>
                              <w:szCs w:val="16"/>
                              <w:rtl/>
                            </w:rPr>
                            <w:t xml:space="preserve">- </w:t>
                          </w:r>
                          <w:r w:rsidRPr="00031A9D">
                            <w:rPr>
                              <w:rFonts w:ascii="Calibri" w:hAnsi="Calibri" w:cs="Times New Roman"/>
                              <w:noProof/>
                              <w:sz w:val="16"/>
                              <w:szCs w:val="16"/>
                              <w:rtl/>
                            </w:rPr>
                            <w:t>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388E1"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Times New Roman"/>
                        <w:noProof/>
                        <w:sz w:val="16"/>
                        <w:szCs w:val="16"/>
                        <w:rtl/>
                      </w:rPr>
                      <w:t xml:space="preserve">יוטיוב </w:t>
                    </w:r>
                    <w:r w:rsidRPr="00031A9D">
                      <w:rPr>
                        <w:rFonts w:ascii="Calibri" w:hAnsi="Calibri" w:cs="Calibri"/>
                        <w:noProof/>
                        <w:sz w:val="16"/>
                        <w:szCs w:val="16"/>
                        <w:rtl/>
                      </w:rPr>
                      <w:t xml:space="preserve">- </w:t>
                    </w:r>
                    <w:r w:rsidRPr="00031A9D">
                      <w:rPr>
                        <w:rFonts w:ascii="Calibri" w:hAnsi="Calibri" w:cs="Times New Roman"/>
                        <w:noProof/>
                        <w:sz w:val="16"/>
                        <w:szCs w:val="16"/>
                        <w:rtl/>
                      </w:rPr>
                      <w:t>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155C161F" wp14:editId="08C96594">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imes New Roman"/>
                              <w:noProof/>
                              <w:sz w:val="16"/>
                              <w:szCs w:val="16"/>
                              <w:rtl/>
                            </w:rPr>
                            <w:t xml:space="preserve">פייסבוק </w:t>
                          </w:r>
                          <w:r w:rsidRPr="00031A9D">
                            <w:rPr>
                              <w:rFonts w:cstheme="minorHAnsi"/>
                              <w:noProof/>
                              <w:sz w:val="16"/>
                              <w:szCs w:val="16"/>
                              <w:rtl/>
                            </w:rPr>
                            <w:t xml:space="preserve">- </w:t>
                          </w:r>
                          <w:r w:rsidRPr="00031A9D">
                            <w:rPr>
                              <w:rFonts w:cs="Times New Roman"/>
                              <w:noProof/>
                              <w:sz w:val="16"/>
                              <w:szCs w:val="16"/>
                              <w:rtl/>
                            </w:rPr>
                            <w:t>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5C161F"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imes New Roman"/>
                        <w:noProof/>
                        <w:sz w:val="16"/>
                        <w:szCs w:val="16"/>
                        <w:rtl/>
                      </w:rPr>
                      <w:t xml:space="preserve">פייסבוק </w:t>
                    </w:r>
                    <w:r w:rsidRPr="00031A9D">
                      <w:rPr>
                        <w:rFonts w:cstheme="minorHAnsi"/>
                        <w:noProof/>
                        <w:sz w:val="16"/>
                        <w:szCs w:val="16"/>
                        <w:rtl/>
                      </w:rPr>
                      <w:t xml:space="preserve">- </w:t>
                    </w:r>
                    <w:r w:rsidRPr="00031A9D">
                      <w:rPr>
                        <w:rFonts w:cs="Times New Roman"/>
                        <w:noProof/>
                        <w:sz w:val="16"/>
                        <w:szCs w:val="16"/>
                        <w:rtl/>
                      </w:rPr>
                      <w:t>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14A88BA" wp14:editId="136C169F">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4A88BA"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4AC9D71" wp14:editId="5D20BD0F">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7A5055"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68C" w:rsidRDefault="00F0468C" w:rsidP="008755E3">
      <w:pPr>
        <w:spacing w:after="0" w:line="240" w:lineRule="auto"/>
      </w:pPr>
      <w:r>
        <w:separator/>
      </w:r>
    </w:p>
  </w:footnote>
  <w:footnote w:type="continuationSeparator" w:id="0">
    <w:p w:rsidR="00F0468C" w:rsidRDefault="00F0468C"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3EC"/>
    <w:multiLevelType w:val="multilevel"/>
    <w:tmpl w:val="CACC6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6411A"/>
    <w:multiLevelType w:val="hybridMultilevel"/>
    <w:tmpl w:val="F7CE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B9165C"/>
    <w:multiLevelType w:val="hybridMultilevel"/>
    <w:tmpl w:val="55F8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851AA4"/>
    <w:multiLevelType w:val="hybridMultilevel"/>
    <w:tmpl w:val="A8F8D218"/>
    <w:lvl w:ilvl="0" w:tplc="712898A2">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8C110C"/>
    <w:multiLevelType w:val="hybridMultilevel"/>
    <w:tmpl w:val="5A524CFC"/>
    <w:lvl w:ilvl="0" w:tplc="63541910">
      <w:start w:val="1"/>
      <w:numFmt w:val="bullet"/>
      <w:lvlText w:val=""/>
      <w:lvlJc w:val="left"/>
      <w:pPr>
        <w:ind w:left="697" w:hanging="360"/>
      </w:pPr>
      <w:rPr>
        <w:rFonts w:ascii="Symbol" w:hAnsi="Symbol" w:hint="default"/>
        <w:lang w:bidi="he-IL"/>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4"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02460A"/>
    <w:multiLevelType w:val="multilevel"/>
    <w:tmpl w:val="81C0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034AED"/>
    <w:multiLevelType w:val="hybridMultilevel"/>
    <w:tmpl w:val="440A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A032A"/>
    <w:multiLevelType w:val="hybridMultilevel"/>
    <w:tmpl w:val="B066D268"/>
    <w:lvl w:ilvl="0" w:tplc="615C99AA">
      <w:start w:val="4"/>
      <w:numFmt w:val="bullet"/>
      <w:lvlText w:val=""/>
      <w:lvlJc w:val="left"/>
      <w:pPr>
        <w:ind w:left="720" w:hanging="360"/>
      </w:pPr>
      <w:rPr>
        <w:rFonts w:ascii="Symbol" w:eastAsia="Calibri" w:hAnsi="Symbol" w:cs="Calibri" w:hint="default"/>
      </w:rPr>
    </w:lvl>
    <w:lvl w:ilvl="1" w:tplc="93081FA6" w:tentative="1">
      <w:start w:val="1"/>
      <w:numFmt w:val="bullet"/>
      <w:lvlText w:val="o"/>
      <w:lvlJc w:val="left"/>
      <w:pPr>
        <w:ind w:left="1440" w:hanging="360"/>
      </w:pPr>
      <w:rPr>
        <w:rFonts w:ascii="Courier New" w:hAnsi="Courier New" w:cs="Courier New" w:hint="default"/>
      </w:rPr>
    </w:lvl>
    <w:lvl w:ilvl="2" w:tplc="8A486C72" w:tentative="1">
      <w:start w:val="1"/>
      <w:numFmt w:val="bullet"/>
      <w:lvlText w:val=""/>
      <w:lvlJc w:val="left"/>
      <w:pPr>
        <w:ind w:left="2160" w:hanging="360"/>
      </w:pPr>
      <w:rPr>
        <w:rFonts w:ascii="Wingdings" w:hAnsi="Wingdings" w:hint="default"/>
      </w:rPr>
    </w:lvl>
    <w:lvl w:ilvl="3" w:tplc="D3A26516" w:tentative="1">
      <w:start w:val="1"/>
      <w:numFmt w:val="bullet"/>
      <w:lvlText w:val=""/>
      <w:lvlJc w:val="left"/>
      <w:pPr>
        <w:ind w:left="2880" w:hanging="360"/>
      </w:pPr>
      <w:rPr>
        <w:rFonts w:ascii="Symbol" w:hAnsi="Symbol" w:hint="default"/>
      </w:rPr>
    </w:lvl>
    <w:lvl w:ilvl="4" w:tplc="51CC85B2" w:tentative="1">
      <w:start w:val="1"/>
      <w:numFmt w:val="bullet"/>
      <w:lvlText w:val="o"/>
      <w:lvlJc w:val="left"/>
      <w:pPr>
        <w:ind w:left="3600" w:hanging="360"/>
      </w:pPr>
      <w:rPr>
        <w:rFonts w:ascii="Courier New" w:hAnsi="Courier New" w:cs="Courier New" w:hint="default"/>
      </w:rPr>
    </w:lvl>
    <w:lvl w:ilvl="5" w:tplc="81AE7F04" w:tentative="1">
      <w:start w:val="1"/>
      <w:numFmt w:val="bullet"/>
      <w:lvlText w:val=""/>
      <w:lvlJc w:val="left"/>
      <w:pPr>
        <w:ind w:left="4320" w:hanging="360"/>
      </w:pPr>
      <w:rPr>
        <w:rFonts w:ascii="Wingdings" w:hAnsi="Wingdings" w:hint="default"/>
      </w:rPr>
    </w:lvl>
    <w:lvl w:ilvl="6" w:tplc="5D46A3C0" w:tentative="1">
      <w:start w:val="1"/>
      <w:numFmt w:val="bullet"/>
      <w:lvlText w:val=""/>
      <w:lvlJc w:val="left"/>
      <w:pPr>
        <w:ind w:left="5040" w:hanging="360"/>
      </w:pPr>
      <w:rPr>
        <w:rFonts w:ascii="Symbol" w:hAnsi="Symbol" w:hint="default"/>
      </w:rPr>
    </w:lvl>
    <w:lvl w:ilvl="7" w:tplc="A6A6D85A" w:tentative="1">
      <w:start w:val="1"/>
      <w:numFmt w:val="bullet"/>
      <w:lvlText w:val="o"/>
      <w:lvlJc w:val="left"/>
      <w:pPr>
        <w:ind w:left="5760" w:hanging="360"/>
      </w:pPr>
      <w:rPr>
        <w:rFonts w:ascii="Courier New" w:hAnsi="Courier New" w:cs="Courier New" w:hint="default"/>
      </w:rPr>
    </w:lvl>
    <w:lvl w:ilvl="8" w:tplc="71E8688E" w:tentative="1">
      <w:start w:val="1"/>
      <w:numFmt w:val="bullet"/>
      <w:lvlText w:val=""/>
      <w:lvlJc w:val="left"/>
      <w:pPr>
        <w:ind w:left="6480" w:hanging="360"/>
      </w:pPr>
      <w:rPr>
        <w:rFonts w:ascii="Wingdings" w:hAnsi="Wingdings" w:hint="default"/>
      </w:rPr>
    </w:lvl>
  </w:abstractNum>
  <w:abstractNum w:abstractNumId="19"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8A631CB"/>
    <w:multiLevelType w:val="hybridMultilevel"/>
    <w:tmpl w:val="3474B0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D5319A"/>
    <w:multiLevelType w:val="hybridMultilevel"/>
    <w:tmpl w:val="919C9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041510"/>
    <w:multiLevelType w:val="hybridMultilevel"/>
    <w:tmpl w:val="5F3AB4F6"/>
    <w:lvl w:ilvl="0" w:tplc="BF6C4146">
      <w:start w:val="1"/>
      <w:numFmt w:val="bullet"/>
      <w:lvlText w:val=""/>
      <w:lvlJc w:val="left"/>
      <w:pPr>
        <w:ind w:left="720" w:hanging="360"/>
      </w:pPr>
      <w:rPr>
        <w:rFonts w:ascii="Symbol" w:hAnsi="Symbol" w:hint="default"/>
      </w:rPr>
    </w:lvl>
    <w:lvl w:ilvl="1" w:tplc="6726752A" w:tentative="1">
      <w:start w:val="1"/>
      <w:numFmt w:val="bullet"/>
      <w:lvlText w:val="o"/>
      <w:lvlJc w:val="left"/>
      <w:pPr>
        <w:ind w:left="1440" w:hanging="360"/>
      </w:pPr>
      <w:rPr>
        <w:rFonts w:ascii="Courier New" w:hAnsi="Courier New" w:cs="Courier New" w:hint="default"/>
      </w:rPr>
    </w:lvl>
    <w:lvl w:ilvl="2" w:tplc="25B4E008" w:tentative="1">
      <w:start w:val="1"/>
      <w:numFmt w:val="bullet"/>
      <w:lvlText w:val=""/>
      <w:lvlJc w:val="left"/>
      <w:pPr>
        <w:ind w:left="2160" w:hanging="360"/>
      </w:pPr>
      <w:rPr>
        <w:rFonts w:ascii="Wingdings" w:hAnsi="Wingdings" w:hint="default"/>
      </w:rPr>
    </w:lvl>
    <w:lvl w:ilvl="3" w:tplc="0E7C1CFC" w:tentative="1">
      <w:start w:val="1"/>
      <w:numFmt w:val="bullet"/>
      <w:lvlText w:val=""/>
      <w:lvlJc w:val="left"/>
      <w:pPr>
        <w:ind w:left="2880" w:hanging="360"/>
      </w:pPr>
      <w:rPr>
        <w:rFonts w:ascii="Symbol" w:hAnsi="Symbol" w:hint="default"/>
      </w:rPr>
    </w:lvl>
    <w:lvl w:ilvl="4" w:tplc="680AB50E" w:tentative="1">
      <w:start w:val="1"/>
      <w:numFmt w:val="bullet"/>
      <w:lvlText w:val="o"/>
      <w:lvlJc w:val="left"/>
      <w:pPr>
        <w:ind w:left="3600" w:hanging="360"/>
      </w:pPr>
      <w:rPr>
        <w:rFonts w:ascii="Courier New" w:hAnsi="Courier New" w:cs="Courier New" w:hint="default"/>
      </w:rPr>
    </w:lvl>
    <w:lvl w:ilvl="5" w:tplc="821E3DCA" w:tentative="1">
      <w:start w:val="1"/>
      <w:numFmt w:val="bullet"/>
      <w:lvlText w:val=""/>
      <w:lvlJc w:val="left"/>
      <w:pPr>
        <w:ind w:left="4320" w:hanging="360"/>
      </w:pPr>
      <w:rPr>
        <w:rFonts w:ascii="Wingdings" w:hAnsi="Wingdings" w:hint="default"/>
      </w:rPr>
    </w:lvl>
    <w:lvl w:ilvl="6" w:tplc="F32A4940" w:tentative="1">
      <w:start w:val="1"/>
      <w:numFmt w:val="bullet"/>
      <w:lvlText w:val=""/>
      <w:lvlJc w:val="left"/>
      <w:pPr>
        <w:ind w:left="5040" w:hanging="360"/>
      </w:pPr>
      <w:rPr>
        <w:rFonts w:ascii="Symbol" w:hAnsi="Symbol" w:hint="default"/>
      </w:rPr>
    </w:lvl>
    <w:lvl w:ilvl="7" w:tplc="6C66F904" w:tentative="1">
      <w:start w:val="1"/>
      <w:numFmt w:val="bullet"/>
      <w:lvlText w:val="o"/>
      <w:lvlJc w:val="left"/>
      <w:pPr>
        <w:ind w:left="5760" w:hanging="360"/>
      </w:pPr>
      <w:rPr>
        <w:rFonts w:ascii="Courier New" w:hAnsi="Courier New" w:cs="Courier New" w:hint="default"/>
      </w:rPr>
    </w:lvl>
    <w:lvl w:ilvl="8" w:tplc="B7D8597A" w:tentative="1">
      <w:start w:val="1"/>
      <w:numFmt w:val="bullet"/>
      <w:lvlText w:val=""/>
      <w:lvlJc w:val="left"/>
      <w:pPr>
        <w:ind w:left="6480" w:hanging="360"/>
      </w:pPr>
      <w:rPr>
        <w:rFonts w:ascii="Wingdings" w:hAnsi="Wingdings" w:hint="default"/>
      </w:rPr>
    </w:lvl>
  </w:abstractNum>
  <w:abstractNum w:abstractNumId="24" w15:restartNumberingAfterBreak="0">
    <w:nsid w:val="5A217A63"/>
    <w:multiLevelType w:val="hybridMultilevel"/>
    <w:tmpl w:val="7118FFFA"/>
    <w:lvl w:ilvl="0" w:tplc="04090009">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3A06E1"/>
    <w:multiLevelType w:val="hybridMultilevel"/>
    <w:tmpl w:val="E110BD78"/>
    <w:lvl w:ilvl="0" w:tplc="3B628A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6"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0150DE"/>
    <w:multiLevelType w:val="multilevel"/>
    <w:tmpl w:val="262A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7007A1"/>
    <w:multiLevelType w:val="hybridMultilevel"/>
    <w:tmpl w:val="773A65F2"/>
    <w:lvl w:ilvl="0" w:tplc="AAE6AD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7A0206"/>
    <w:multiLevelType w:val="hybridMultilevel"/>
    <w:tmpl w:val="F94C8AC0"/>
    <w:lvl w:ilvl="0" w:tplc="5D609FD8">
      <w:start w:val="1"/>
      <w:numFmt w:val="hebrew1"/>
      <w:lvlText w:val="%1."/>
      <w:lvlJc w:val="left"/>
      <w:pPr>
        <w:ind w:left="720" w:hanging="360"/>
      </w:pPr>
      <w:rPr>
        <w:rFonts w:asciiTheme="minorHAnsi" w:hAnsiTheme="minorHAnsi" w:hint="default"/>
      </w:rPr>
    </w:lvl>
    <w:lvl w:ilvl="1" w:tplc="3D0E9B10" w:tentative="1">
      <w:start w:val="1"/>
      <w:numFmt w:val="lowerLetter"/>
      <w:lvlText w:val="%2."/>
      <w:lvlJc w:val="left"/>
      <w:pPr>
        <w:ind w:left="1440" w:hanging="360"/>
      </w:pPr>
    </w:lvl>
    <w:lvl w:ilvl="2" w:tplc="5D6213F2" w:tentative="1">
      <w:start w:val="1"/>
      <w:numFmt w:val="lowerRoman"/>
      <w:lvlText w:val="%3."/>
      <w:lvlJc w:val="right"/>
      <w:pPr>
        <w:ind w:left="2160" w:hanging="180"/>
      </w:pPr>
    </w:lvl>
    <w:lvl w:ilvl="3" w:tplc="782EEFAC" w:tentative="1">
      <w:start w:val="1"/>
      <w:numFmt w:val="decimal"/>
      <w:lvlText w:val="%4."/>
      <w:lvlJc w:val="left"/>
      <w:pPr>
        <w:ind w:left="2880" w:hanging="360"/>
      </w:pPr>
    </w:lvl>
    <w:lvl w:ilvl="4" w:tplc="4F84F2C0" w:tentative="1">
      <w:start w:val="1"/>
      <w:numFmt w:val="lowerLetter"/>
      <w:lvlText w:val="%5."/>
      <w:lvlJc w:val="left"/>
      <w:pPr>
        <w:ind w:left="3600" w:hanging="360"/>
      </w:pPr>
    </w:lvl>
    <w:lvl w:ilvl="5" w:tplc="692E8D98" w:tentative="1">
      <w:start w:val="1"/>
      <w:numFmt w:val="lowerRoman"/>
      <w:lvlText w:val="%6."/>
      <w:lvlJc w:val="right"/>
      <w:pPr>
        <w:ind w:left="4320" w:hanging="180"/>
      </w:pPr>
    </w:lvl>
    <w:lvl w:ilvl="6" w:tplc="7060AC82" w:tentative="1">
      <w:start w:val="1"/>
      <w:numFmt w:val="decimal"/>
      <w:lvlText w:val="%7."/>
      <w:lvlJc w:val="left"/>
      <w:pPr>
        <w:ind w:left="5040" w:hanging="360"/>
      </w:pPr>
    </w:lvl>
    <w:lvl w:ilvl="7" w:tplc="83D4F0FA" w:tentative="1">
      <w:start w:val="1"/>
      <w:numFmt w:val="lowerLetter"/>
      <w:lvlText w:val="%8."/>
      <w:lvlJc w:val="left"/>
      <w:pPr>
        <w:ind w:left="5760" w:hanging="360"/>
      </w:pPr>
    </w:lvl>
    <w:lvl w:ilvl="8" w:tplc="5A40DFE2" w:tentative="1">
      <w:start w:val="1"/>
      <w:numFmt w:val="lowerRoman"/>
      <w:lvlText w:val="%9."/>
      <w:lvlJc w:val="right"/>
      <w:pPr>
        <w:ind w:left="6480" w:hanging="180"/>
      </w:pPr>
    </w:lvl>
  </w:abstractNum>
  <w:abstractNum w:abstractNumId="38"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abstractNum w:abstractNumId="39" w15:restartNumberingAfterBreak="0">
    <w:nsid w:val="7E777FDE"/>
    <w:multiLevelType w:val="hybridMultilevel"/>
    <w:tmpl w:val="FDCE51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10"/>
  </w:num>
  <w:num w:numId="5">
    <w:abstractNumId w:val="9"/>
  </w:num>
  <w:num w:numId="6">
    <w:abstractNumId w:val="4"/>
  </w:num>
  <w:num w:numId="7">
    <w:abstractNumId w:val="20"/>
  </w:num>
  <w:num w:numId="8">
    <w:abstractNumId w:val="30"/>
  </w:num>
  <w:num w:numId="9">
    <w:abstractNumId w:val="33"/>
  </w:num>
  <w:num w:numId="10">
    <w:abstractNumId w:val="26"/>
  </w:num>
  <w:num w:numId="11">
    <w:abstractNumId w:val="19"/>
  </w:num>
  <w:num w:numId="12">
    <w:abstractNumId w:val="27"/>
  </w:num>
  <w:num w:numId="13">
    <w:abstractNumId w:val="16"/>
  </w:num>
  <w:num w:numId="14">
    <w:abstractNumId w:val="5"/>
  </w:num>
  <w:num w:numId="15">
    <w:abstractNumId w:val="28"/>
  </w:num>
  <w:num w:numId="16">
    <w:abstractNumId w:val="3"/>
  </w:num>
  <w:num w:numId="17">
    <w:abstractNumId w:val="38"/>
  </w:num>
  <w:num w:numId="18">
    <w:abstractNumId w:val="34"/>
  </w:num>
  <w:num w:numId="19">
    <w:abstractNumId w:val="32"/>
  </w:num>
  <w:num w:numId="20">
    <w:abstractNumId w:val="31"/>
  </w:num>
  <w:num w:numId="21">
    <w:abstractNumId w:val="1"/>
  </w:num>
  <w:num w:numId="22">
    <w:abstractNumId w:val="11"/>
  </w:num>
  <w:num w:numId="23">
    <w:abstractNumId w:val="35"/>
  </w:num>
  <w:num w:numId="24">
    <w:abstractNumId w:val="25"/>
  </w:num>
  <w:num w:numId="25">
    <w:abstractNumId w:val="29"/>
  </w:num>
  <w:num w:numId="26">
    <w:abstractNumId w:val="37"/>
  </w:num>
  <w:num w:numId="27">
    <w:abstractNumId w:val="0"/>
  </w:num>
  <w:num w:numId="28">
    <w:abstractNumId w:val="18"/>
  </w:num>
  <w:num w:numId="29">
    <w:abstractNumId w:val="23"/>
  </w:num>
  <w:num w:numId="30">
    <w:abstractNumId w:val="15"/>
  </w:num>
  <w:num w:numId="31">
    <w:abstractNumId w:val="17"/>
  </w:num>
  <w:num w:numId="32">
    <w:abstractNumId w:val="2"/>
  </w:num>
  <w:num w:numId="33">
    <w:abstractNumId w:val="36"/>
  </w:num>
  <w:num w:numId="34">
    <w:abstractNumId w:val="22"/>
  </w:num>
  <w:num w:numId="35">
    <w:abstractNumId w:val="24"/>
  </w:num>
  <w:num w:numId="36">
    <w:abstractNumId w:val="21"/>
  </w:num>
  <w:num w:numId="37">
    <w:abstractNumId w:val="12"/>
  </w:num>
  <w:num w:numId="38">
    <w:abstractNumId w:val="13"/>
  </w:num>
  <w:num w:numId="39">
    <w:abstractNumId w:val="39"/>
  </w:num>
  <w:num w:numId="4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46AA"/>
    <w:rsid w:val="000358D1"/>
    <w:rsid w:val="000360A2"/>
    <w:rsid w:val="0004034A"/>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852A7"/>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B5A"/>
    <w:rsid w:val="000B3FAE"/>
    <w:rsid w:val="000B4E28"/>
    <w:rsid w:val="000C2F0B"/>
    <w:rsid w:val="000C32D8"/>
    <w:rsid w:val="000C33AB"/>
    <w:rsid w:val="000C346E"/>
    <w:rsid w:val="000C49EF"/>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6024"/>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269AF"/>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18FC"/>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299A"/>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065"/>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2ACB"/>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86453"/>
    <w:rsid w:val="00490CD9"/>
    <w:rsid w:val="00492C50"/>
    <w:rsid w:val="00494DFA"/>
    <w:rsid w:val="0049563C"/>
    <w:rsid w:val="00495E66"/>
    <w:rsid w:val="004976BA"/>
    <w:rsid w:val="004A0AF0"/>
    <w:rsid w:val="004A0C72"/>
    <w:rsid w:val="004A275C"/>
    <w:rsid w:val="004A295D"/>
    <w:rsid w:val="004A3AE6"/>
    <w:rsid w:val="004A74CC"/>
    <w:rsid w:val="004B037B"/>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3C90"/>
    <w:rsid w:val="004F475C"/>
    <w:rsid w:val="004F5B4E"/>
    <w:rsid w:val="004F6CC0"/>
    <w:rsid w:val="004F78DE"/>
    <w:rsid w:val="00500621"/>
    <w:rsid w:val="0050399A"/>
    <w:rsid w:val="00504DD0"/>
    <w:rsid w:val="005064A5"/>
    <w:rsid w:val="0050762D"/>
    <w:rsid w:val="00507C0C"/>
    <w:rsid w:val="00510F9E"/>
    <w:rsid w:val="00511046"/>
    <w:rsid w:val="00511763"/>
    <w:rsid w:val="00511F00"/>
    <w:rsid w:val="00515070"/>
    <w:rsid w:val="0051569C"/>
    <w:rsid w:val="005157D8"/>
    <w:rsid w:val="0051628F"/>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224B"/>
    <w:rsid w:val="0056292B"/>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500D"/>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0714"/>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6F6FF9"/>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4AEE"/>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65FCC"/>
    <w:rsid w:val="007724A1"/>
    <w:rsid w:val="007733A3"/>
    <w:rsid w:val="00775D5D"/>
    <w:rsid w:val="00780D26"/>
    <w:rsid w:val="00781E95"/>
    <w:rsid w:val="00782302"/>
    <w:rsid w:val="00786313"/>
    <w:rsid w:val="00786BAB"/>
    <w:rsid w:val="00787C13"/>
    <w:rsid w:val="00790973"/>
    <w:rsid w:val="00790BA2"/>
    <w:rsid w:val="0079229D"/>
    <w:rsid w:val="00792903"/>
    <w:rsid w:val="00793A42"/>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6F7B"/>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4FC7"/>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37811"/>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A7EA9"/>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5FE"/>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3EF5"/>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599"/>
    <w:rsid w:val="00AD0E57"/>
    <w:rsid w:val="00AD1234"/>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2A8"/>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0101"/>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9F2"/>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2F3F"/>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0842"/>
    <w:rsid w:val="00CC41D5"/>
    <w:rsid w:val="00CC51A2"/>
    <w:rsid w:val="00CC6E3B"/>
    <w:rsid w:val="00CC78A4"/>
    <w:rsid w:val="00CC7989"/>
    <w:rsid w:val="00CD1822"/>
    <w:rsid w:val="00CD1DFB"/>
    <w:rsid w:val="00CD2312"/>
    <w:rsid w:val="00CD3AFE"/>
    <w:rsid w:val="00CD4B9F"/>
    <w:rsid w:val="00CD4BE4"/>
    <w:rsid w:val="00CD5226"/>
    <w:rsid w:val="00CD5B2C"/>
    <w:rsid w:val="00CD5D4F"/>
    <w:rsid w:val="00CD6F28"/>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A65D9"/>
    <w:rsid w:val="00DB0771"/>
    <w:rsid w:val="00DB0EE4"/>
    <w:rsid w:val="00DB2121"/>
    <w:rsid w:val="00DB3F4C"/>
    <w:rsid w:val="00DB4E4A"/>
    <w:rsid w:val="00DB6653"/>
    <w:rsid w:val="00DC138D"/>
    <w:rsid w:val="00DC16A7"/>
    <w:rsid w:val="00DC464E"/>
    <w:rsid w:val="00DC53A4"/>
    <w:rsid w:val="00DC6480"/>
    <w:rsid w:val="00DC6DE0"/>
    <w:rsid w:val="00DC6F14"/>
    <w:rsid w:val="00DD0BD3"/>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658B"/>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68C"/>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2B8D"/>
    <w:rsid w:val="00F63BEE"/>
    <w:rsid w:val="00F67341"/>
    <w:rsid w:val="00F676C8"/>
    <w:rsid w:val="00F702BF"/>
    <w:rsid w:val="00F717ED"/>
    <w:rsid w:val="00F736DF"/>
    <w:rsid w:val="00F7413D"/>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06BD"/>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 w:val="00FF6B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51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customStyle="1" w:styleId="aff0">
    <w:name w:val="a"/>
    <w:basedOn w:val="a"/>
    <w:rsid w:val="002B30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Block Text"/>
    <w:basedOn w:val="a"/>
    <w:rsid w:val="00DD0BD3"/>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754589318">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3775537">
      <w:bodyDiv w:val="1"/>
      <w:marLeft w:val="0"/>
      <w:marRight w:val="0"/>
      <w:marTop w:val="0"/>
      <w:marBottom w:val="0"/>
      <w:divBdr>
        <w:top w:val="none" w:sz="0" w:space="0" w:color="auto"/>
        <w:left w:val="none" w:sz="0" w:space="0" w:color="auto"/>
        <w:bottom w:val="none" w:sz="0" w:space="0" w:color="auto"/>
        <w:right w:val="none" w:sz="0" w:space="0" w:color="auto"/>
      </w:divBdr>
      <w:divsChild>
        <w:div w:id="1372077109">
          <w:marLeft w:val="0"/>
          <w:marRight w:val="0"/>
          <w:marTop w:val="0"/>
          <w:marBottom w:val="0"/>
          <w:divBdr>
            <w:top w:val="none" w:sz="0" w:space="0" w:color="auto"/>
            <w:left w:val="none" w:sz="0" w:space="0" w:color="auto"/>
            <w:bottom w:val="none" w:sz="0" w:space="0" w:color="auto"/>
            <w:right w:val="none" w:sz="0" w:space="0" w:color="auto"/>
          </w:divBdr>
          <w:divsChild>
            <w:div w:id="27076013">
              <w:marLeft w:val="0"/>
              <w:marRight w:val="0"/>
              <w:marTop w:val="0"/>
              <w:marBottom w:val="0"/>
              <w:divBdr>
                <w:top w:val="none" w:sz="0" w:space="0" w:color="auto"/>
                <w:left w:val="none" w:sz="0" w:space="0" w:color="auto"/>
                <w:bottom w:val="none" w:sz="0" w:space="0" w:color="auto"/>
                <w:right w:val="none" w:sz="0" w:space="0" w:color="auto"/>
              </w:divBdr>
            </w:div>
            <w:div w:id="425468395">
              <w:marLeft w:val="0"/>
              <w:marRight w:val="0"/>
              <w:marTop w:val="0"/>
              <w:marBottom w:val="0"/>
              <w:divBdr>
                <w:top w:val="single" w:sz="12" w:space="0" w:color="E3E7EE"/>
                <w:left w:val="none" w:sz="0" w:space="0" w:color="auto"/>
                <w:bottom w:val="single" w:sz="12" w:space="0" w:color="E3E7EE"/>
                <w:right w:val="none" w:sz="0" w:space="0" w:color="auto"/>
              </w:divBdr>
              <w:divsChild>
                <w:div w:id="21034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6613">
          <w:marLeft w:val="0"/>
          <w:marRight w:val="0"/>
          <w:marTop w:val="0"/>
          <w:marBottom w:val="0"/>
          <w:divBdr>
            <w:top w:val="none" w:sz="0" w:space="0" w:color="auto"/>
            <w:left w:val="none" w:sz="0" w:space="0" w:color="auto"/>
            <w:bottom w:val="none" w:sz="0" w:space="0" w:color="auto"/>
            <w:right w:val="none" w:sz="0" w:space="0" w:color="auto"/>
          </w:divBdr>
          <w:divsChild>
            <w:div w:id="937641994">
              <w:marLeft w:val="0"/>
              <w:marRight w:val="0"/>
              <w:marTop w:val="0"/>
              <w:marBottom w:val="0"/>
              <w:divBdr>
                <w:top w:val="none" w:sz="0" w:space="0" w:color="auto"/>
                <w:left w:val="none" w:sz="0" w:space="0" w:color="auto"/>
                <w:bottom w:val="none" w:sz="0" w:space="0" w:color="auto"/>
                <w:right w:val="none" w:sz="0" w:space="0" w:color="auto"/>
              </w:divBdr>
            </w:div>
            <w:div w:id="1464040532">
              <w:marLeft w:val="0"/>
              <w:marRight w:val="0"/>
              <w:marTop w:val="0"/>
              <w:marBottom w:val="0"/>
              <w:divBdr>
                <w:top w:val="none" w:sz="0" w:space="0" w:color="auto"/>
                <w:left w:val="none" w:sz="0" w:space="0" w:color="auto"/>
                <w:bottom w:val="none" w:sz="0" w:space="0" w:color="auto"/>
                <w:right w:val="none" w:sz="0" w:space="0" w:color="auto"/>
              </w:divBdr>
            </w:div>
            <w:div w:id="1456371008">
              <w:marLeft w:val="0"/>
              <w:marRight w:val="0"/>
              <w:marTop w:val="0"/>
              <w:marBottom w:val="0"/>
              <w:divBdr>
                <w:top w:val="none" w:sz="0" w:space="0" w:color="auto"/>
                <w:left w:val="none" w:sz="0" w:space="0" w:color="auto"/>
                <w:bottom w:val="none" w:sz="0" w:space="0" w:color="auto"/>
                <w:right w:val="none" w:sz="0" w:space="0" w:color="auto"/>
              </w:divBdr>
              <w:divsChild>
                <w:div w:id="1111974702">
                  <w:marLeft w:val="0"/>
                  <w:marRight w:val="0"/>
                  <w:marTop w:val="0"/>
                  <w:marBottom w:val="0"/>
                  <w:divBdr>
                    <w:top w:val="none" w:sz="0" w:space="0" w:color="auto"/>
                    <w:left w:val="none" w:sz="0" w:space="0" w:color="auto"/>
                    <w:bottom w:val="none" w:sz="0" w:space="0" w:color="auto"/>
                    <w:right w:val="none" w:sz="0" w:space="0" w:color="auto"/>
                  </w:divBdr>
                </w:div>
                <w:div w:id="268506825">
                  <w:marLeft w:val="0"/>
                  <w:marRight w:val="0"/>
                  <w:marTop w:val="0"/>
                  <w:marBottom w:val="0"/>
                  <w:divBdr>
                    <w:top w:val="none" w:sz="0" w:space="0" w:color="auto"/>
                    <w:left w:val="none" w:sz="0" w:space="0" w:color="auto"/>
                    <w:bottom w:val="none" w:sz="0" w:space="0" w:color="auto"/>
                    <w:right w:val="none" w:sz="0" w:space="0" w:color="auto"/>
                  </w:divBdr>
                </w:div>
                <w:div w:id="692611150">
                  <w:marLeft w:val="0"/>
                  <w:marRight w:val="0"/>
                  <w:marTop w:val="0"/>
                  <w:marBottom w:val="0"/>
                  <w:divBdr>
                    <w:top w:val="none" w:sz="0" w:space="0" w:color="auto"/>
                    <w:left w:val="none" w:sz="0" w:space="0" w:color="auto"/>
                    <w:bottom w:val="none" w:sz="0" w:space="0" w:color="auto"/>
                    <w:right w:val="none" w:sz="0" w:space="0" w:color="auto"/>
                  </w:divBdr>
                </w:div>
                <w:div w:id="487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64234-19EC-4CC4-AE92-49C1907B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3096</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2025-03-31T16:11:00Z</dcterms:created>
  <dcterms:modified xsi:type="dcterms:W3CDTF">2025-03-31T16:11:00Z</dcterms:modified>
</cp:coreProperties>
</file>