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DD5923" w:rsidRPr="00DB1CBC" w:rsidTr="00D87676">
        <w:trPr>
          <w:jc w:val="center"/>
        </w:trPr>
        <w:tc>
          <w:tcPr>
            <w:tcW w:w="2840" w:type="dxa"/>
            <w:tcBorders>
              <w:top w:val="nil"/>
              <w:left w:val="nil"/>
              <w:bottom w:val="nil"/>
              <w:right w:val="nil"/>
            </w:tcBorders>
            <w:vAlign w:val="center"/>
          </w:tcPr>
          <w:p w:rsidR="00DD5923" w:rsidRDefault="00DD5923" w:rsidP="00D87676">
            <w:pPr>
              <w:spacing w:line="360" w:lineRule="auto"/>
              <w:jc w:val="center"/>
              <w:rPr>
                <w:rFonts w:cs="David"/>
                <w:b/>
                <w:bCs/>
                <w:sz w:val="28"/>
                <w:szCs w:val="28"/>
              </w:rPr>
            </w:pPr>
            <w:bookmarkStart w:id="0" w:name="_GoBack"/>
            <w:bookmarkEnd w:id="0"/>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D87676">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DD5923" w:rsidRDefault="00DD5923" w:rsidP="00D87676">
            <w:pPr>
              <w:jc w:val="center"/>
            </w:pPr>
            <w:r>
              <w:rPr>
                <w:noProof/>
                <w:lang w:eastAsia="en-US"/>
              </w:rPr>
              <w:drawing>
                <wp:inline distT="0" distB="0" distL="0" distR="0">
                  <wp:extent cx="569595" cy="582954"/>
                  <wp:effectExtent l="0" t="0" r="1905" b="762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lum bright="-2000" contrast="-62000"/>
                            <a:extLst>
                              <a:ext uri="{28A0092B-C50C-407E-A947-70E740481C1C}">
                                <a14:useLocalDpi xmlns:a14="http://schemas.microsoft.com/office/drawing/2010/main" val="0"/>
                              </a:ext>
                            </a:extLst>
                          </a:blip>
                          <a:srcRect/>
                          <a:stretch>
                            <a:fillRect/>
                          </a:stretch>
                        </pic:blipFill>
                        <pic:spPr bwMode="auto">
                          <a:xfrm>
                            <a:off x="0" y="0"/>
                            <a:ext cx="576170" cy="589683"/>
                          </a:xfrm>
                          <a:prstGeom prst="rect">
                            <a:avLst/>
                          </a:prstGeom>
                          <a:noFill/>
                          <a:ln>
                            <a:noFill/>
                          </a:ln>
                        </pic:spPr>
                      </pic:pic>
                    </a:graphicData>
                  </a:graphic>
                </wp:inline>
              </w:drawing>
            </w:r>
          </w:p>
        </w:tc>
        <w:tc>
          <w:tcPr>
            <w:tcW w:w="2840" w:type="dxa"/>
            <w:tcBorders>
              <w:top w:val="nil"/>
              <w:left w:val="nil"/>
              <w:bottom w:val="nil"/>
              <w:right w:val="nil"/>
            </w:tcBorders>
            <w:vAlign w:val="center"/>
          </w:tcPr>
          <w:p w:rsidR="00DD5923" w:rsidRDefault="007921CF" w:rsidP="007921CF">
            <w:pPr>
              <w:bidi/>
              <w:spacing w:line="480" w:lineRule="auto"/>
              <w:jc w:val="right"/>
              <w:rPr>
                <w:rFonts w:cs="David"/>
                <w:sz w:val="24"/>
                <w:szCs w:val="24"/>
                <w:rtl/>
              </w:rPr>
            </w:pPr>
            <w:r>
              <w:rPr>
                <w:rFonts w:cs="David" w:hint="cs"/>
                <w:sz w:val="24"/>
                <w:szCs w:val="24"/>
                <w:rtl/>
              </w:rPr>
              <w:t xml:space="preserve">ירושלים, </w:t>
            </w:r>
            <w:r w:rsidR="00DD5923">
              <w:rPr>
                <w:rFonts w:cs="David" w:hint="eastAsia"/>
                <w:sz w:val="24"/>
                <w:szCs w:val="24"/>
                <w:rtl/>
              </w:rPr>
              <w:t>‏</w:t>
            </w:r>
            <w:r>
              <w:rPr>
                <w:rFonts w:cs="David" w:hint="cs"/>
                <w:sz w:val="24"/>
                <w:szCs w:val="24"/>
                <w:rtl/>
              </w:rPr>
              <w:t>ג</w:t>
            </w:r>
            <w:r w:rsidR="00F16D2C">
              <w:rPr>
                <w:rFonts w:cs="David" w:hint="cs"/>
                <w:sz w:val="24"/>
                <w:szCs w:val="24"/>
                <w:rtl/>
              </w:rPr>
              <w:t xml:space="preserve">' </w:t>
            </w:r>
            <w:r w:rsidR="00E40002">
              <w:rPr>
                <w:rFonts w:cs="David" w:hint="cs"/>
                <w:sz w:val="24"/>
                <w:szCs w:val="24"/>
                <w:rtl/>
              </w:rPr>
              <w:t xml:space="preserve">באדר </w:t>
            </w:r>
            <w:r w:rsidR="00732CC9">
              <w:rPr>
                <w:rFonts w:cs="David" w:hint="cs"/>
                <w:sz w:val="24"/>
                <w:szCs w:val="24"/>
                <w:rtl/>
              </w:rPr>
              <w:t>ב</w:t>
            </w:r>
            <w:r w:rsidR="00E40002">
              <w:rPr>
                <w:rFonts w:cs="David" w:hint="cs"/>
                <w:sz w:val="24"/>
                <w:szCs w:val="24"/>
                <w:rtl/>
              </w:rPr>
              <w:t>'</w:t>
            </w:r>
            <w:r w:rsidR="00DD5923">
              <w:rPr>
                <w:rFonts w:cs="David"/>
                <w:sz w:val="24"/>
                <w:szCs w:val="24"/>
                <w:rtl/>
              </w:rPr>
              <w:t xml:space="preserve"> </w:t>
            </w:r>
            <w:r>
              <w:rPr>
                <w:rFonts w:cs="David" w:hint="cs"/>
                <w:sz w:val="24"/>
                <w:szCs w:val="24"/>
                <w:rtl/>
              </w:rPr>
              <w:t>ה</w:t>
            </w:r>
            <w:r w:rsidR="00DD5923">
              <w:rPr>
                <w:rFonts w:cs="David"/>
                <w:sz w:val="24"/>
                <w:szCs w:val="24"/>
                <w:rtl/>
              </w:rPr>
              <w:t>תשע"</w:t>
            </w:r>
            <w:r w:rsidR="00E40002">
              <w:rPr>
                <w:rFonts w:cs="David" w:hint="cs"/>
                <w:sz w:val="24"/>
                <w:szCs w:val="24"/>
                <w:rtl/>
              </w:rPr>
              <w:t>ד</w:t>
            </w:r>
          </w:p>
          <w:p w:rsidR="00DD5923" w:rsidRPr="00DF107C" w:rsidRDefault="00DD5923" w:rsidP="007921CF">
            <w:pPr>
              <w:bidi/>
              <w:spacing w:line="480" w:lineRule="auto"/>
              <w:jc w:val="right"/>
              <w:rPr>
                <w:rFonts w:cs="David"/>
                <w:sz w:val="24"/>
                <w:szCs w:val="24"/>
              </w:rPr>
            </w:pPr>
            <w:r>
              <w:rPr>
                <w:rFonts w:cs="David" w:hint="eastAsia"/>
                <w:sz w:val="24"/>
                <w:szCs w:val="24"/>
                <w:rtl/>
              </w:rPr>
              <w:t>‏‏</w:t>
            </w:r>
            <w:r w:rsidR="00F16D2C">
              <w:rPr>
                <w:rFonts w:cs="David" w:hint="cs"/>
                <w:sz w:val="24"/>
                <w:szCs w:val="24"/>
                <w:rtl/>
              </w:rPr>
              <w:t xml:space="preserve">5 </w:t>
            </w:r>
            <w:r w:rsidR="00E40002">
              <w:rPr>
                <w:rFonts w:cs="David" w:hint="cs"/>
                <w:sz w:val="24"/>
                <w:szCs w:val="24"/>
                <w:rtl/>
              </w:rPr>
              <w:t>במר</w:t>
            </w:r>
            <w:r w:rsidR="007921CF">
              <w:rPr>
                <w:rFonts w:cs="David" w:hint="cs"/>
                <w:sz w:val="24"/>
                <w:szCs w:val="24"/>
                <w:rtl/>
              </w:rPr>
              <w:t>ץ</w:t>
            </w:r>
            <w:r w:rsidR="00E40002">
              <w:rPr>
                <w:rFonts w:cs="David" w:hint="cs"/>
                <w:sz w:val="24"/>
                <w:szCs w:val="24"/>
                <w:rtl/>
              </w:rPr>
              <w:t xml:space="preserve"> 2014</w:t>
            </w:r>
          </w:p>
        </w:tc>
      </w:tr>
    </w:tbl>
    <w:p w:rsidR="00FE034E" w:rsidRDefault="00FE034E" w:rsidP="00AB26A9">
      <w:pPr>
        <w:bidi/>
        <w:rPr>
          <w:rtl/>
        </w:rPr>
      </w:pPr>
    </w:p>
    <w:p w:rsidR="00AB26A9" w:rsidRDefault="00AB26A9" w:rsidP="00AB26A9">
      <w:pPr>
        <w:jc w:val="center"/>
        <w:rPr>
          <w:rFonts w:ascii="Arial" w:hAnsi="Arial" w:cs="David"/>
          <w:b/>
          <w:bCs/>
          <w:sz w:val="28"/>
          <w:szCs w:val="28"/>
          <w:lang w:eastAsia="en-US"/>
        </w:rPr>
      </w:pPr>
    </w:p>
    <w:p w:rsidR="00AB26A9" w:rsidRPr="007921CF" w:rsidRDefault="00AB26A9" w:rsidP="00AB26A9">
      <w:pPr>
        <w:bidi/>
        <w:rPr>
          <w:rFonts w:ascii="Arial" w:hAnsi="Arial" w:cs="David"/>
          <w:sz w:val="24"/>
          <w:szCs w:val="24"/>
          <w:rtl/>
          <w:lang w:eastAsia="en-US"/>
        </w:rPr>
      </w:pPr>
      <w:r w:rsidRPr="007921CF">
        <w:rPr>
          <w:rFonts w:ascii="Arial" w:hAnsi="Arial" w:cs="David" w:hint="cs"/>
          <w:sz w:val="24"/>
          <w:szCs w:val="24"/>
          <w:rtl/>
          <w:lang w:eastAsia="en-US"/>
        </w:rPr>
        <w:t>הודעה לעיתונות:</w:t>
      </w:r>
    </w:p>
    <w:p w:rsidR="00AB26A9" w:rsidRDefault="00AB26A9" w:rsidP="00AB26A9">
      <w:pPr>
        <w:bidi/>
        <w:rPr>
          <w:rFonts w:ascii="Arial" w:hAnsi="Arial" w:cs="David"/>
          <w:b/>
          <w:bCs/>
          <w:sz w:val="28"/>
          <w:szCs w:val="28"/>
          <w:rtl/>
          <w:lang w:eastAsia="en-US"/>
        </w:rPr>
      </w:pPr>
    </w:p>
    <w:p w:rsidR="00732CC9" w:rsidRDefault="00732CC9" w:rsidP="008150EC">
      <w:pPr>
        <w:jc w:val="center"/>
        <w:rPr>
          <w:rFonts w:ascii="Arial" w:hAnsi="Arial" w:cs="David"/>
          <w:b/>
          <w:bCs/>
          <w:sz w:val="28"/>
          <w:szCs w:val="28"/>
          <w:rtl/>
          <w:lang w:eastAsia="en-US"/>
        </w:rPr>
      </w:pPr>
    </w:p>
    <w:p w:rsidR="00AB26A9" w:rsidRPr="00F16D2C" w:rsidRDefault="00732CC9" w:rsidP="00761744">
      <w:pPr>
        <w:ind w:left="-426" w:right="-341"/>
        <w:jc w:val="center"/>
        <w:rPr>
          <w:rFonts w:cs="David"/>
          <w:b/>
          <w:bCs/>
          <w:sz w:val="28"/>
          <w:szCs w:val="28"/>
          <w:u w:val="single"/>
        </w:rPr>
      </w:pPr>
      <w:r w:rsidRPr="007921CF">
        <w:rPr>
          <w:rFonts w:ascii="Arial" w:hAnsi="Arial" w:cs="David" w:hint="cs"/>
          <w:b/>
          <w:bCs/>
          <w:sz w:val="26"/>
          <w:szCs w:val="26"/>
          <w:u w:val="single"/>
          <w:rtl/>
          <w:lang w:eastAsia="en-US"/>
        </w:rPr>
        <w:t xml:space="preserve">מחירו של </w:t>
      </w:r>
      <w:r w:rsidR="00AB26A9" w:rsidRPr="007921CF">
        <w:rPr>
          <w:rFonts w:cs="David" w:hint="cs"/>
          <w:b/>
          <w:bCs/>
          <w:sz w:val="26"/>
          <w:szCs w:val="26"/>
          <w:u w:val="single"/>
          <w:rtl/>
        </w:rPr>
        <w:t xml:space="preserve">סל שירותים אחיד </w:t>
      </w:r>
      <w:r w:rsidRPr="007921CF">
        <w:rPr>
          <w:rFonts w:cs="David" w:hint="cs"/>
          <w:b/>
          <w:bCs/>
          <w:sz w:val="26"/>
          <w:szCs w:val="26"/>
          <w:u w:val="single"/>
          <w:rtl/>
        </w:rPr>
        <w:t xml:space="preserve">ובסיסי </w:t>
      </w:r>
      <w:r w:rsidR="00AB26A9" w:rsidRPr="007921CF">
        <w:rPr>
          <w:rFonts w:cs="David" w:hint="cs"/>
          <w:b/>
          <w:bCs/>
          <w:sz w:val="26"/>
          <w:szCs w:val="26"/>
          <w:u w:val="single"/>
          <w:rtl/>
        </w:rPr>
        <w:t>לניהול חשבון עובר ושב</w:t>
      </w:r>
      <w:r w:rsidR="008150EC" w:rsidRPr="007921CF">
        <w:rPr>
          <w:rFonts w:cs="David" w:hint="cs"/>
          <w:b/>
          <w:bCs/>
          <w:sz w:val="26"/>
          <w:szCs w:val="26"/>
          <w:u w:val="single"/>
          <w:rtl/>
        </w:rPr>
        <w:t xml:space="preserve">, </w:t>
      </w:r>
      <w:proofErr w:type="spellStart"/>
      <w:r w:rsidR="008150EC" w:rsidRPr="007921CF">
        <w:rPr>
          <w:rFonts w:cs="David" w:hint="cs"/>
          <w:b/>
          <w:bCs/>
          <w:sz w:val="26"/>
          <w:szCs w:val="26"/>
          <w:u w:val="single"/>
          <w:rtl/>
        </w:rPr>
        <w:t>יפ</w:t>
      </w:r>
      <w:r w:rsidRPr="007921CF">
        <w:rPr>
          <w:rFonts w:cs="David" w:hint="cs"/>
          <w:b/>
          <w:bCs/>
          <w:sz w:val="26"/>
          <w:szCs w:val="26"/>
          <w:u w:val="single"/>
          <w:rtl/>
        </w:rPr>
        <w:t>ו</w:t>
      </w:r>
      <w:r w:rsidR="008150EC" w:rsidRPr="007921CF">
        <w:rPr>
          <w:rFonts w:cs="David" w:hint="cs"/>
          <w:b/>
          <w:bCs/>
          <w:sz w:val="26"/>
          <w:szCs w:val="26"/>
          <w:u w:val="single"/>
          <w:rtl/>
        </w:rPr>
        <w:t>קח</w:t>
      </w:r>
      <w:proofErr w:type="spellEnd"/>
      <w:r w:rsidR="008150EC" w:rsidRPr="007921CF">
        <w:rPr>
          <w:rFonts w:cs="David" w:hint="cs"/>
          <w:b/>
          <w:bCs/>
          <w:sz w:val="26"/>
          <w:szCs w:val="26"/>
          <w:u w:val="single"/>
          <w:rtl/>
        </w:rPr>
        <w:t xml:space="preserve"> </w:t>
      </w:r>
      <w:r w:rsidR="00601715" w:rsidRPr="007921CF">
        <w:rPr>
          <w:rFonts w:cs="David" w:hint="cs"/>
          <w:b/>
          <w:bCs/>
          <w:sz w:val="26"/>
          <w:szCs w:val="26"/>
          <w:u w:val="single"/>
          <w:rtl/>
        </w:rPr>
        <w:t xml:space="preserve">ולא יעלה </w:t>
      </w:r>
      <w:r w:rsidRPr="007921CF">
        <w:rPr>
          <w:rFonts w:cs="David" w:hint="cs"/>
          <w:b/>
          <w:bCs/>
          <w:sz w:val="26"/>
          <w:szCs w:val="26"/>
          <w:u w:val="single"/>
          <w:rtl/>
        </w:rPr>
        <w:t xml:space="preserve">על 10 </w:t>
      </w:r>
      <w:r w:rsidR="00761744">
        <w:rPr>
          <w:rFonts w:cs="David" w:hint="cs"/>
          <w:b/>
          <w:bCs/>
          <w:sz w:val="26"/>
          <w:szCs w:val="26"/>
          <w:u w:val="single"/>
          <w:rtl/>
        </w:rPr>
        <w:t>₪ לחודש</w:t>
      </w:r>
    </w:p>
    <w:p w:rsidR="00AB26A9" w:rsidRPr="00CF2347" w:rsidRDefault="00AB26A9" w:rsidP="00AB26A9">
      <w:pPr>
        <w:jc w:val="center"/>
        <w:rPr>
          <w:rFonts w:cs="David"/>
          <w:b/>
          <w:bCs/>
          <w:sz w:val="28"/>
          <w:szCs w:val="28"/>
          <w:rtl/>
        </w:rPr>
      </w:pPr>
    </w:p>
    <w:p w:rsidR="00AB26A9" w:rsidRPr="001F18AE" w:rsidRDefault="00AB26A9" w:rsidP="00AB26A9">
      <w:pPr>
        <w:jc w:val="both"/>
        <w:rPr>
          <w:rFonts w:cs="David"/>
          <w:sz w:val="26"/>
          <w:szCs w:val="26"/>
          <w:u w:val="single"/>
          <w:rtl/>
        </w:rPr>
      </w:pPr>
    </w:p>
    <w:p w:rsidR="0050572C" w:rsidRDefault="0050572C" w:rsidP="0050572C">
      <w:pPr>
        <w:bidi/>
        <w:spacing w:line="360" w:lineRule="auto"/>
        <w:ind w:left="29"/>
        <w:jc w:val="both"/>
        <w:rPr>
          <w:rFonts w:ascii="Arial" w:eastAsia="Calibri" w:hAnsi="Arial" w:cs="David"/>
          <w:sz w:val="24"/>
          <w:szCs w:val="24"/>
          <w:lang w:eastAsia="en-US"/>
        </w:rPr>
      </w:pPr>
      <w:r>
        <w:rPr>
          <w:rFonts w:ascii="Arial" w:eastAsia="Calibri" w:hAnsi="Arial" w:cs="David" w:hint="cs"/>
          <w:sz w:val="24"/>
          <w:szCs w:val="24"/>
          <w:rtl/>
          <w:lang w:eastAsia="en-US"/>
        </w:rPr>
        <w:t xml:space="preserve">לקראת כניסתו לתוקף, ביום 1.4.2014, של התיקון לכללי הבנקאות(שירות ללקוח)(עמלות), </w:t>
      </w:r>
      <w:proofErr w:type="spellStart"/>
      <w:r>
        <w:rPr>
          <w:rFonts w:ascii="Arial" w:eastAsia="Calibri" w:hAnsi="Arial" w:cs="David" w:hint="cs"/>
          <w:sz w:val="24"/>
          <w:szCs w:val="24"/>
          <w:rtl/>
          <w:lang w:eastAsia="en-US"/>
        </w:rPr>
        <w:t>התשס"ח</w:t>
      </w:r>
      <w:proofErr w:type="spellEnd"/>
      <w:r>
        <w:rPr>
          <w:rFonts w:ascii="Arial" w:eastAsia="Calibri" w:hAnsi="Arial" w:cs="David" w:hint="cs"/>
          <w:sz w:val="24"/>
          <w:szCs w:val="24"/>
          <w:rtl/>
          <w:lang w:eastAsia="en-US"/>
        </w:rPr>
        <w:t xml:space="preserve"> (2008), המחייב את הבנקים להציע כמוצר מדף ללקוחותיהם את ה"מסלול הבסיסי" ואת ה"מסלול המורחב" ולקבוע מחיר אחד לניהול חשבון עובר ושב במסגרת מסלולים אלה, מודיע בנק ישראל על כוונתו להטיל פיקוח על מחיר המסלול הבסיסי ולקבוע כי מחירו המרבי יהיה 10 ₪.</w:t>
      </w:r>
    </w:p>
    <w:p w:rsidR="0050572C" w:rsidRDefault="0050572C" w:rsidP="0050572C">
      <w:pPr>
        <w:bidi/>
        <w:spacing w:line="360" w:lineRule="auto"/>
        <w:ind w:left="29"/>
        <w:jc w:val="both"/>
        <w:rPr>
          <w:rFonts w:ascii="Arial" w:eastAsia="Calibri" w:hAnsi="Arial" w:cs="David"/>
          <w:sz w:val="24"/>
          <w:szCs w:val="24"/>
          <w:rtl/>
          <w:lang w:eastAsia="en-US"/>
        </w:rPr>
      </w:pPr>
    </w:p>
    <w:p w:rsidR="0050572C" w:rsidRDefault="0050572C" w:rsidP="0050572C">
      <w:pPr>
        <w:bidi/>
        <w:spacing w:line="360" w:lineRule="auto"/>
        <w:ind w:left="29"/>
        <w:jc w:val="both"/>
        <w:rPr>
          <w:rFonts w:ascii="Arial" w:eastAsia="Calibri" w:hAnsi="Arial" w:cs="David"/>
          <w:sz w:val="24"/>
          <w:szCs w:val="24"/>
          <w:rtl/>
          <w:lang w:eastAsia="en-US"/>
        </w:rPr>
      </w:pPr>
      <w:r>
        <w:rPr>
          <w:rFonts w:ascii="Arial" w:eastAsia="Calibri" w:hAnsi="Arial" w:cs="David" w:hint="cs"/>
          <w:sz w:val="24"/>
          <w:szCs w:val="24"/>
          <w:rtl/>
          <w:lang w:eastAsia="en-US"/>
        </w:rPr>
        <w:t>כוונה זו גובשה נוכח העובדה שהמחיר שנקבע על ידי רוב הבנקים למסלול הבסיסי, והוצג לפיקוח על הבנקים, היה גבוה מהמחיר הממוצע שנגבה בפועל בגין השירותים הבסיסיים בניהול חשבון עובר ושב, והיה עלול להביא לכך שהמטרה שעמדה בבסיס תכנית המסלולים לא תושג.</w:t>
      </w:r>
      <w:r>
        <w:rPr>
          <w:rFonts w:hint="cs"/>
          <w:rtl/>
        </w:rPr>
        <w:t xml:space="preserve"> </w:t>
      </w:r>
    </w:p>
    <w:p w:rsidR="0050572C" w:rsidRDefault="0050572C" w:rsidP="0050572C">
      <w:pPr>
        <w:bidi/>
        <w:spacing w:line="360" w:lineRule="auto"/>
        <w:ind w:left="29"/>
        <w:jc w:val="both"/>
        <w:rPr>
          <w:rFonts w:ascii="Arial" w:eastAsia="Calibri" w:hAnsi="Arial" w:cs="David"/>
          <w:b/>
          <w:bCs/>
          <w:sz w:val="24"/>
          <w:szCs w:val="24"/>
          <w:rtl/>
          <w:lang w:eastAsia="en-US"/>
        </w:rPr>
      </w:pPr>
    </w:p>
    <w:p w:rsidR="0050572C" w:rsidRDefault="0050572C" w:rsidP="0050572C">
      <w:pPr>
        <w:bidi/>
        <w:spacing w:line="360" w:lineRule="auto"/>
        <w:ind w:left="29"/>
        <w:jc w:val="both"/>
        <w:rPr>
          <w:rFonts w:ascii="Arial" w:eastAsia="Calibri" w:hAnsi="Arial" w:cs="David"/>
          <w:sz w:val="24"/>
          <w:szCs w:val="24"/>
          <w:rtl/>
        </w:rPr>
      </w:pPr>
      <w:r>
        <w:rPr>
          <w:rFonts w:ascii="Arial" w:eastAsia="Calibri" w:hAnsi="Arial" w:cs="David" w:hint="cs"/>
          <w:sz w:val="24"/>
          <w:szCs w:val="24"/>
          <w:rtl/>
        </w:rPr>
        <w:t xml:space="preserve">מטרת תכנית המסלולים היא לשפר את יכולת ההשוואה של לקוחות הבנקים, להגביר את שקיפות המחיר, ובסופו של יום לעודד את התחרות בתחום ניהול חשבון העו"ש. צעד זה נוסף לשורה של צעדים שבהם נוקט הפיקוח על הבנקים בשנים האחרונות להגברת התחרותיות ושיפור מצבו של הצרכן הבנקאי. </w:t>
      </w: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r>
        <w:rPr>
          <w:rFonts w:ascii="Arial" w:eastAsia="Calibri" w:hAnsi="Arial" w:cs="David" w:hint="cs"/>
          <w:b/>
          <w:bCs/>
          <w:sz w:val="24"/>
          <w:szCs w:val="24"/>
          <w:rtl/>
        </w:rPr>
        <w:t>המפקח על הבנקים, דוד זקן</w:t>
      </w:r>
      <w:r>
        <w:rPr>
          <w:rFonts w:ascii="Arial" w:eastAsia="Calibri" w:hAnsi="Arial" w:cs="David" w:hint="cs"/>
          <w:sz w:val="24"/>
          <w:szCs w:val="24"/>
          <w:rtl/>
        </w:rPr>
        <w:t>: "לאחר שהוצג לנו התמחור למסלול הבסיסי בבנקים השונים, הגענו למסקנה כי הוא אינו עולה בקנה אחד עם מטרת המהלך ולפיכך החלטנו לנקוט בצעד חריג ולהטיל פיקוח על המסלול הבסיסי ולקבוע את מחירו המרבי. באשר למסלול המורחב אנו קוראים לציבור להיעזר בעובדה שמעתה ניתן לבצע השוואה פשוטה וקלה בין המחירים המוצעים לו ולבחון את כדאיות ההצטרפות אליו".</w:t>
      </w:r>
    </w:p>
    <w:p w:rsidR="0050572C" w:rsidRDefault="0050572C" w:rsidP="0050572C">
      <w:pPr>
        <w:bidi/>
        <w:spacing w:line="360" w:lineRule="auto"/>
        <w:ind w:left="29"/>
        <w:jc w:val="both"/>
        <w:rPr>
          <w:rFonts w:ascii="Arial" w:eastAsia="Calibri" w:hAnsi="Arial" w:cs="David"/>
          <w:sz w:val="24"/>
          <w:szCs w:val="24"/>
          <w:rtl/>
          <w:lang w:eastAsia="en-US"/>
        </w:rPr>
      </w:pPr>
    </w:p>
    <w:p w:rsidR="0050572C" w:rsidRDefault="0050572C" w:rsidP="0050572C">
      <w:pPr>
        <w:bidi/>
        <w:spacing w:line="360" w:lineRule="auto"/>
        <w:ind w:left="29"/>
        <w:jc w:val="both"/>
        <w:rPr>
          <w:rFonts w:ascii="Arial" w:eastAsia="Calibri" w:hAnsi="Arial" w:cs="David"/>
          <w:sz w:val="24"/>
          <w:szCs w:val="24"/>
          <w:rtl/>
          <w:lang w:eastAsia="en-US"/>
        </w:rPr>
      </w:pPr>
      <w:r>
        <w:rPr>
          <w:rFonts w:ascii="Arial" w:eastAsia="Calibri" w:hAnsi="Arial" w:cs="David" w:hint="cs"/>
          <w:sz w:val="24"/>
          <w:szCs w:val="24"/>
          <w:rtl/>
          <w:lang w:eastAsia="en-US"/>
        </w:rPr>
        <w:t xml:space="preserve">החל מיום 1.4.2014 מחויבים הבנקים לכלול במסגרת השירותים המוצעים ללקוחותיהם, שני מסלולי עמלות - את המסלול הבסיסי ואת המסלול המורחב, ולאפשר לכל לקוח להצטרף אליהם. בנוסף נקבע, שהבנקים יוכלו להציע ללקוחותיהם גם את המסלול המורחב פלוס, אך לא יהיו מחויבים לעשות כן. בכל מסלול יכללו הפעולות אותן יוכל לבצע הלקוח בחודש תמורת מחיר חודשי קבוע מראש. משמעות הדבר היא, שככל שהלקוח לא יחרוג ממכסת הפעולות שקבועה במסלול אליו הוא הצטרף, המחיר שהוא ישלם עבור השירותים הבסיסיים הכלולים בניהול חשבון עו"ש יהיה קבוע וידוע מראש. להלן מידע אודות שלושת המסלולים:     </w:t>
      </w:r>
    </w:p>
    <w:p w:rsidR="0050572C" w:rsidRDefault="0050572C" w:rsidP="0050572C">
      <w:pPr>
        <w:pStyle w:val="1"/>
        <w:numPr>
          <w:ilvl w:val="0"/>
          <w:numId w:val="3"/>
        </w:numPr>
        <w:spacing w:line="360" w:lineRule="auto"/>
        <w:jc w:val="both"/>
        <w:rPr>
          <w:rFonts w:ascii="Arial" w:eastAsia="Calibri" w:hAnsi="Arial" w:cs="David"/>
          <w:sz w:val="24"/>
          <w:szCs w:val="24"/>
          <w:rtl/>
        </w:rPr>
      </w:pPr>
      <w:r>
        <w:rPr>
          <w:rFonts w:ascii="Arial" w:eastAsia="Calibri" w:hAnsi="Arial" w:cs="David" w:hint="cs"/>
          <w:sz w:val="24"/>
          <w:szCs w:val="24"/>
          <w:u w:val="single"/>
          <w:rtl/>
        </w:rPr>
        <w:lastRenderedPageBreak/>
        <w:t>המסלול הבסיסי</w:t>
      </w:r>
      <w:r>
        <w:rPr>
          <w:rFonts w:ascii="Arial" w:eastAsia="Calibri" w:hAnsi="Arial" w:cs="David" w:hint="cs"/>
          <w:sz w:val="24"/>
          <w:szCs w:val="24"/>
          <w:rtl/>
        </w:rPr>
        <w:t xml:space="preserve"> – מסלול הכולל עד פעולה אחת על ידי פקיד ועד 10 פעולות בערוץ ישיר, ומשקף את פעילותו של משק בית שפרופיל פעילותו ממוצע. כאמור בכוונת בנק ישראל להטיל פיקוח על מחיר המסלול הבסיסי ולקבוע כי מחירו המרבי יהיה 10 ₪.</w:t>
      </w:r>
    </w:p>
    <w:p w:rsidR="0050572C" w:rsidRDefault="0050572C" w:rsidP="0050572C">
      <w:pPr>
        <w:pStyle w:val="1"/>
        <w:numPr>
          <w:ilvl w:val="0"/>
          <w:numId w:val="3"/>
        </w:numPr>
        <w:spacing w:line="360" w:lineRule="auto"/>
        <w:jc w:val="both"/>
        <w:rPr>
          <w:rFonts w:ascii="Arial" w:eastAsia="Calibri" w:hAnsi="Arial" w:cs="David"/>
          <w:sz w:val="24"/>
          <w:szCs w:val="24"/>
        </w:rPr>
      </w:pPr>
      <w:r>
        <w:rPr>
          <w:rFonts w:ascii="Arial" w:eastAsia="Calibri" w:hAnsi="Arial" w:cs="David" w:hint="cs"/>
          <w:sz w:val="24"/>
          <w:szCs w:val="24"/>
          <w:u w:val="single"/>
          <w:rtl/>
        </w:rPr>
        <w:t>המסלול המורחב</w:t>
      </w:r>
      <w:r>
        <w:rPr>
          <w:rFonts w:ascii="Arial" w:eastAsia="Calibri" w:hAnsi="Arial" w:cs="David" w:hint="cs"/>
          <w:sz w:val="24"/>
          <w:szCs w:val="24"/>
          <w:rtl/>
        </w:rPr>
        <w:t xml:space="preserve"> – מסלול הכולל עד 10 פעולות פקיד ועד 50 פעולות בערוץ ישיר. מסלול זה מיועד בעיקר ללקוחות שצורכים שירותים אלו מעל הממוצע.</w:t>
      </w:r>
    </w:p>
    <w:p w:rsidR="0050572C" w:rsidRDefault="0050572C" w:rsidP="0050572C">
      <w:pPr>
        <w:pStyle w:val="1"/>
        <w:numPr>
          <w:ilvl w:val="0"/>
          <w:numId w:val="3"/>
        </w:numPr>
        <w:spacing w:line="360" w:lineRule="auto"/>
        <w:jc w:val="both"/>
        <w:rPr>
          <w:rFonts w:ascii="Arial" w:eastAsia="Calibri" w:hAnsi="Arial" w:cs="David"/>
          <w:sz w:val="24"/>
          <w:szCs w:val="24"/>
          <w:rtl/>
        </w:rPr>
      </w:pPr>
      <w:r>
        <w:rPr>
          <w:rFonts w:ascii="Arial" w:eastAsia="Calibri" w:hAnsi="Arial" w:cs="David" w:hint="cs"/>
          <w:sz w:val="24"/>
          <w:szCs w:val="24"/>
          <w:u w:val="single"/>
          <w:rtl/>
        </w:rPr>
        <w:t>מסלול מורחב פלוס</w:t>
      </w:r>
      <w:r>
        <w:rPr>
          <w:rFonts w:ascii="Arial" w:eastAsia="Calibri" w:hAnsi="Arial" w:cs="David" w:hint="cs"/>
          <w:sz w:val="24"/>
          <w:szCs w:val="24"/>
          <w:rtl/>
        </w:rPr>
        <w:t xml:space="preserve"> – מסלול הכולל את הפעולות ומספרן לפי המסלול המורחב וכן שירותים נוספים לפי החלטת התאגיד הבנקאי. במסגרת מסלול זה יוכל כל בנק להציע ללקוחותיו את אותם שירותים הייחודיים לו, שהינם בעלי ערך מוסף עבורם.</w:t>
      </w:r>
    </w:p>
    <w:p w:rsidR="0050572C" w:rsidRDefault="0050572C" w:rsidP="0050572C">
      <w:pPr>
        <w:pStyle w:val="1"/>
        <w:spacing w:line="360" w:lineRule="auto"/>
        <w:ind w:left="389"/>
        <w:jc w:val="both"/>
        <w:rPr>
          <w:rFonts w:ascii="Arial" w:eastAsia="Calibri" w:hAnsi="Arial" w:cs="David"/>
          <w:sz w:val="24"/>
          <w:szCs w:val="24"/>
        </w:rPr>
      </w:pPr>
      <w:r>
        <w:rPr>
          <w:rFonts w:ascii="Arial" w:eastAsia="Calibri" w:hAnsi="Arial" w:cs="David" w:hint="cs"/>
          <w:sz w:val="24"/>
          <w:szCs w:val="24"/>
          <w:rtl/>
        </w:rPr>
        <w:t>שיטת המסלולים תיצור מצב בו יוכלו לקוחות הבנקים לבחור בין מסלולים שונים בהתאם לדפוס צריכת הפעולות בחשבון העו"ש שלהם.</w:t>
      </w:r>
    </w:p>
    <w:p w:rsidR="0050572C" w:rsidRDefault="0050572C" w:rsidP="0050572C">
      <w:pPr>
        <w:bidi/>
        <w:spacing w:line="360" w:lineRule="auto"/>
        <w:ind w:left="29"/>
        <w:jc w:val="both"/>
        <w:rPr>
          <w:rFonts w:ascii="Arial" w:eastAsia="Calibri" w:hAnsi="Arial" w:cs="David"/>
          <w:sz w:val="24"/>
          <w:szCs w:val="24"/>
          <w:rtl/>
          <w:lang w:eastAsia="en-US"/>
        </w:rPr>
      </w:pPr>
    </w:p>
    <w:p w:rsidR="0050572C" w:rsidRDefault="0050572C" w:rsidP="0050572C">
      <w:pPr>
        <w:bidi/>
        <w:spacing w:line="360" w:lineRule="auto"/>
        <w:ind w:left="29"/>
        <w:jc w:val="both"/>
        <w:rPr>
          <w:rFonts w:ascii="Arial" w:eastAsia="Calibri" w:hAnsi="Arial" w:cs="David"/>
          <w:sz w:val="24"/>
          <w:szCs w:val="24"/>
          <w:rtl/>
        </w:rPr>
      </w:pPr>
      <w:r>
        <w:rPr>
          <w:rFonts w:cs="David" w:hint="cs"/>
          <w:sz w:val="24"/>
          <w:szCs w:val="24"/>
          <w:rtl/>
          <w:lang w:eastAsia="en-US"/>
        </w:rPr>
        <w:t>יש לציין כי המסלולים יתווספו לתעריפון הקיים בכל בנק ולא יחליפו את העמלות המצויות בו, כך שתמחור השירותים עבור לקוח שלא יהיה מעוניין להצטרף לאחד המסלולים, יישאר לפי השיטה הקיימת היום (</w:t>
      </w:r>
      <w:r>
        <w:rPr>
          <w:rFonts w:cs="David"/>
          <w:sz w:val="24"/>
          <w:szCs w:val="24"/>
          <w:lang w:eastAsia="en-US"/>
        </w:rPr>
        <w:t>pay as you go</w:t>
      </w:r>
      <w:r>
        <w:rPr>
          <w:rFonts w:cs="David" w:hint="cs"/>
          <w:sz w:val="24"/>
          <w:szCs w:val="24"/>
          <w:rtl/>
          <w:lang w:eastAsia="en-US"/>
        </w:rPr>
        <w:t xml:space="preserve">). בכל מקרה, כל לקוח יוכל לעבור משיטת חיוב אחת לאחרת בתחילת כל חודש </w:t>
      </w:r>
      <w:proofErr w:type="spellStart"/>
      <w:r>
        <w:rPr>
          <w:rFonts w:cs="David" w:hint="cs"/>
          <w:sz w:val="24"/>
          <w:szCs w:val="24"/>
          <w:rtl/>
          <w:lang w:eastAsia="en-US"/>
        </w:rPr>
        <w:t>קלנדרי</w:t>
      </w:r>
      <w:proofErr w:type="spellEnd"/>
      <w:r>
        <w:rPr>
          <w:rFonts w:cs="David" w:hint="cs"/>
          <w:sz w:val="24"/>
          <w:szCs w:val="24"/>
          <w:rtl/>
          <w:lang w:eastAsia="en-US"/>
        </w:rPr>
        <w:t>, בכפוף למתן הודעה מראש.</w:t>
      </w:r>
      <w:r>
        <w:rPr>
          <w:rFonts w:ascii="Arial" w:eastAsia="Calibri" w:hAnsi="Arial" w:cs="David" w:hint="cs"/>
          <w:sz w:val="24"/>
          <w:szCs w:val="24"/>
          <w:rtl/>
          <w:lang w:eastAsia="en-US"/>
        </w:rPr>
        <w:t xml:space="preserve"> החיוב עבור המסלול יתבצע על בסיס חודשי, בתחילת כל חודש, עבור החודש שקדם לו.</w:t>
      </w: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p>
    <w:p w:rsidR="0050572C" w:rsidRDefault="0050572C" w:rsidP="0050572C">
      <w:pPr>
        <w:bidi/>
        <w:spacing w:line="360" w:lineRule="auto"/>
        <w:ind w:left="29"/>
        <w:jc w:val="both"/>
        <w:rPr>
          <w:rFonts w:ascii="Arial" w:eastAsia="Calibri" w:hAnsi="Arial" w:cs="David"/>
          <w:sz w:val="24"/>
          <w:szCs w:val="24"/>
          <w:rtl/>
        </w:rPr>
      </w:pPr>
      <w:r>
        <w:rPr>
          <w:rFonts w:ascii="Arial" w:eastAsia="Calibri" w:hAnsi="Arial" w:cs="David" w:hint="cs"/>
          <w:sz w:val="24"/>
          <w:szCs w:val="24"/>
          <w:u w:val="single"/>
          <w:rtl/>
          <w:lang w:eastAsia="en-US"/>
        </w:rPr>
        <w:t>נספח א' – שירותים נפוצים בחשבון "עובר ושב" שיכללו בשיטת המסלולים</w:t>
      </w:r>
    </w:p>
    <w:p w:rsidR="0050572C" w:rsidRDefault="0050572C" w:rsidP="0050572C">
      <w:pPr>
        <w:bidi/>
        <w:spacing w:line="360" w:lineRule="auto"/>
        <w:ind w:left="29"/>
        <w:jc w:val="both"/>
        <w:rPr>
          <w:rFonts w:ascii="Arial" w:eastAsia="Calibri" w:hAnsi="Arial" w:cs="David"/>
          <w:sz w:val="24"/>
          <w:szCs w:val="24"/>
          <w:rtl/>
        </w:rPr>
      </w:pPr>
      <w:r>
        <w:rPr>
          <w:rFonts w:ascii="Arial" w:eastAsia="Calibri" w:hAnsi="Arial" w:cs="David" w:hint="cs"/>
          <w:b/>
          <w:bCs/>
          <w:sz w:val="24"/>
          <w:szCs w:val="24"/>
          <w:rtl/>
          <w:lang w:eastAsia="en-US"/>
        </w:rPr>
        <w:br/>
        <w:t xml:space="preserve">פעולה על ידי פקיד – </w:t>
      </w:r>
      <w:r>
        <w:rPr>
          <w:rFonts w:ascii="Arial" w:eastAsia="Calibri" w:hAnsi="Arial" w:cs="David" w:hint="cs"/>
          <w:sz w:val="24"/>
          <w:szCs w:val="24"/>
          <w:rtl/>
        </w:rPr>
        <w:t>פעולות הנעשות באמצעות פקיד בנק, לרבות באמצעות מוקד טלפוני מאויש.</w:t>
      </w:r>
    </w:p>
    <w:p w:rsidR="0050572C" w:rsidRDefault="0050572C" w:rsidP="0050572C">
      <w:pPr>
        <w:pStyle w:val="1"/>
        <w:numPr>
          <w:ilvl w:val="0"/>
          <w:numId w:val="4"/>
        </w:numPr>
        <w:spacing w:line="360" w:lineRule="auto"/>
        <w:jc w:val="both"/>
        <w:rPr>
          <w:rFonts w:ascii="Arial" w:eastAsia="Calibri" w:hAnsi="Arial" w:cs="David"/>
          <w:sz w:val="24"/>
          <w:szCs w:val="24"/>
          <w:rtl/>
        </w:rPr>
      </w:pPr>
      <w:r>
        <w:rPr>
          <w:rFonts w:ascii="Arial" w:eastAsia="Calibri" w:hAnsi="Arial" w:cs="David" w:hint="cs"/>
          <w:sz w:val="24"/>
          <w:szCs w:val="24"/>
          <w:rtl/>
        </w:rPr>
        <w:t>הפקדת מזומן</w:t>
      </w:r>
    </w:p>
    <w:p w:rsidR="0050572C" w:rsidRDefault="0050572C" w:rsidP="0050572C">
      <w:pPr>
        <w:pStyle w:val="1"/>
        <w:numPr>
          <w:ilvl w:val="0"/>
          <w:numId w:val="4"/>
        </w:numPr>
        <w:spacing w:line="360" w:lineRule="auto"/>
        <w:jc w:val="both"/>
        <w:rPr>
          <w:rFonts w:ascii="Arial" w:eastAsia="Calibri" w:hAnsi="Arial" w:cs="David"/>
          <w:sz w:val="24"/>
          <w:szCs w:val="24"/>
        </w:rPr>
      </w:pPr>
      <w:r>
        <w:rPr>
          <w:rFonts w:ascii="Arial" w:eastAsia="Calibri" w:hAnsi="Arial" w:cs="David" w:hint="cs"/>
          <w:sz w:val="24"/>
          <w:szCs w:val="24"/>
          <w:rtl/>
        </w:rPr>
        <w:t>משיכת מזומן</w:t>
      </w:r>
    </w:p>
    <w:p w:rsidR="0050572C" w:rsidRDefault="0050572C" w:rsidP="0050572C">
      <w:pPr>
        <w:pStyle w:val="1"/>
        <w:numPr>
          <w:ilvl w:val="0"/>
          <w:numId w:val="4"/>
        </w:numPr>
        <w:spacing w:line="360" w:lineRule="auto"/>
        <w:jc w:val="both"/>
        <w:rPr>
          <w:rFonts w:ascii="Arial" w:eastAsia="Calibri" w:hAnsi="Arial" w:cs="David"/>
          <w:sz w:val="24"/>
          <w:szCs w:val="24"/>
        </w:rPr>
      </w:pPr>
      <w:r>
        <w:rPr>
          <w:rFonts w:ascii="Arial" w:eastAsia="Calibri" w:hAnsi="Arial" w:cs="David" w:hint="cs"/>
          <w:sz w:val="24"/>
          <w:szCs w:val="24"/>
          <w:rtl/>
        </w:rPr>
        <w:t>הפקה ומסירת תדפיס לבקשת לקוח</w:t>
      </w:r>
    </w:p>
    <w:p w:rsidR="0050572C" w:rsidRDefault="0050572C" w:rsidP="0050572C">
      <w:pPr>
        <w:pStyle w:val="1"/>
        <w:numPr>
          <w:ilvl w:val="0"/>
          <w:numId w:val="4"/>
        </w:numPr>
        <w:spacing w:line="360" w:lineRule="auto"/>
        <w:jc w:val="both"/>
        <w:rPr>
          <w:rFonts w:ascii="Arial" w:eastAsia="Calibri" w:hAnsi="Arial" w:cs="David"/>
          <w:sz w:val="24"/>
          <w:szCs w:val="24"/>
        </w:rPr>
      </w:pPr>
      <w:r>
        <w:rPr>
          <w:rFonts w:ascii="Arial" w:eastAsia="Calibri" w:hAnsi="Arial" w:cs="David" w:hint="cs"/>
          <w:sz w:val="24"/>
          <w:szCs w:val="24"/>
          <w:rtl/>
        </w:rPr>
        <w:t>העברה או הפקדה לחשבון אחר</w:t>
      </w:r>
    </w:p>
    <w:p w:rsidR="0050572C" w:rsidRDefault="0050572C" w:rsidP="0050572C">
      <w:pPr>
        <w:pStyle w:val="1"/>
        <w:numPr>
          <w:ilvl w:val="0"/>
          <w:numId w:val="4"/>
        </w:numPr>
        <w:spacing w:line="360" w:lineRule="auto"/>
        <w:jc w:val="both"/>
        <w:rPr>
          <w:rFonts w:ascii="Arial" w:eastAsia="Calibri" w:hAnsi="Arial" w:cs="David"/>
          <w:sz w:val="24"/>
          <w:szCs w:val="24"/>
        </w:rPr>
      </w:pPr>
      <w:r>
        <w:rPr>
          <w:rFonts w:ascii="Arial" w:eastAsia="Calibri" w:hAnsi="Arial" w:cs="David" w:hint="cs"/>
          <w:sz w:val="24"/>
          <w:szCs w:val="24"/>
          <w:rtl/>
        </w:rPr>
        <w:t>פדיון שיק (כולל משיכה בשיק עצמי)</w:t>
      </w:r>
    </w:p>
    <w:p w:rsidR="0050572C" w:rsidRDefault="0050572C" w:rsidP="0050572C">
      <w:pPr>
        <w:pStyle w:val="1"/>
        <w:numPr>
          <w:ilvl w:val="0"/>
          <w:numId w:val="4"/>
        </w:numPr>
        <w:spacing w:line="360" w:lineRule="auto"/>
        <w:jc w:val="both"/>
        <w:rPr>
          <w:rFonts w:ascii="Arial" w:eastAsia="Calibri" w:hAnsi="Arial" w:cs="David"/>
          <w:sz w:val="24"/>
          <w:szCs w:val="24"/>
        </w:rPr>
      </w:pPr>
      <w:r>
        <w:rPr>
          <w:rFonts w:ascii="Arial" w:eastAsia="Calibri" w:hAnsi="Arial" w:cs="David" w:hint="cs"/>
          <w:sz w:val="24"/>
          <w:szCs w:val="24"/>
          <w:rtl/>
        </w:rPr>
        <w:t>הפקדת שיק (לכל קבוצת שיקים – עד 20 שיקים)</w:t>
      </w:r>
    </w:p>
    <w:p w:rsidR="0050572C" w:rsidRDefault="0050572C" w:rsidP="0050572C">
      <w:pPr>
        <w:pStyle w:val="1"/>
        <w:numPr>
          <w:ilvl w:val="0"/>
          <w:numId w:val="4"/>
        </w:numPr>
        <w:spacing w:line="360" w:lineRule="auto"/>
        <w:jc w:val="both"/>
        <w:rPr>
          <w:rFonts w:ascii="Arial" w:eastAsia="Calibri" w:hAnsi="Arial" w:cs="David"/>
          <w:sz w:val="24"/>
          <w:szCs w:val="24"/>
        </w:rPr>
      </w:pPr>
      <w:r>
        <w:rPr>
          <w:rFonts w:ascii="Arial" w:eastAsia="Calibri" w:hAnsi="Arial" w:cs="David" w:hint="cs"/>
          <w:sz w:val="24"/>
          <w:szCs w:val="24"/>
          <w:rtl/>
        </w:rPr>
        <w:t>תשלום שובר</w:t>
      </w:r>
    </w:p>
    <w:p w:rsidR="0050572C" w:rsidRDefault="0050572C" w:rsidP="0050572C">
      <w:pPr>
        <w:pStyle w:val="1"/>
        <w:numPr>
          <w:ilvl w:val="0"/>
          <w:numId w:val="4"/>
        </w:numPr>
        <w:spacing w:line="360" w:lineRule="auto"/>
        <w:jc w:val="both"/>
        <w:rPr>
          <w:rFonts w:ascii="Arial" w:eastAsia="Calibri" w:hAnsi="Arial" w:cs="David"/>
          <w:sz w:val="24"/>
          <w:szCs w:val="24"/>
        </w:rPr>
      </w:pPr>
      <w:r>
        <w:rPr>
          <w:rFonts w:ascii="Arial" w:eastAsia="Calibri" w:hAnsi="Arial" w:cs="David" w:hint="cs"/>
          <w:sz w:val="24"/>
          <w:szCs w:val="24"/>
          <w:rtl/>
        </w:rPr>
        <w:t>פריטת מזומן</w:t>
      </w:r>
    </w:p>
    <w:p w:rsidR="0050572C" w:rsidRDefault="0050572C" w:rsidP="0050572C">
      <w:pPr>
        <w:bidi/>
        <w:spacing w:line="360" w:lineRule="auto"/>
        <w:jc w:val="both"/>
        <w:rPr>
          <w:rFonts w:cs="David"/>
          <w:sz w:val="24"/>
          <w:szCs w:val="24"/>
          <w:rtl/>
        </w:rPr>
      </w:pPr>
      <w:r>
        <w:rPr>
          <w:rFonts w:cs="David" w:hint="cs"/>
          <w:b/>
          <w:bCs/>
          <w:sz w:val="24"/>
          <w:szCs w:val="24"/>
          <w:rtl/>
        </w:rPr>
        <w:br/>
        <w:t xml:space="preserve">פעולה בערוץ ישיר – </w:t>
      </w:r>
      <w:r>
        <w:rPr>
          <w:rFonts w:cs="David" w:hint="cs"/>
          <w:sz w:val="24"/>
          <w:szCs w:val="24"/>
          <w:rtl/>
        </w:rPr>
        <w:t>פעולות עו"ש שאינן מבוצעות על ידי גורם אנושי.</w:t>
      </w:r>
    </w:p>
    <w:p w:rsidR="0050572C" w:rsidRDefault="0050572C" w:rsidP="0050572C">
      <w:pPr>
        <w:pStyle w:val="1"/>
        <w:numPr>
          <w:ilvl w:val="0"/>
          <w:numId w:val="4"/>
        </w:numPr>
        <w:spacing w:line="360" w:lineRule="auto"/>
        <w:jc w:val="both"/>
        <w:rPr>
          <w:rFonts w:cs="David"/>
          <w:sz w:val="24"/>
          <w:szCs w:val="24"/>
          <w:rtl/>
        </w:rPr>
      </w:pPr>
      <w:r>
        <w:rPr>
          <w:rFonts w:cs="David" w:hint="cs"/>
          <w:sz w:val="24"/>
          <w:szCs w:val="24"/>
          <w:rtl/>
        </w:rPr>
        <w:t>זיכוי חשבון באמצעות מסלקה</w:t>
      </w:r>
    </w:p>
    <w:p w:rsidR="0050572C" w:rsidRDefault="0050572C" w:rsidP="0050572C">
      <w:pPr>
        <w:pStyle w:val="1"/>
        <w:numPr>
          <w:ilvl w:val="0"/>
          <w:numId w:val="4"/>
        </w:numPr>
        <w:spacing w:line="360" w:lineRule="auto"/>
        <w:jc w:val="both"/>
        <w:rPr>
          <w:rFonts w:cs="David"/>
          <w:sz w:val="24"/>
          <w:szCs w:val="24"/>
        </w:rPr>
      </w:pPr>
      <w:r>
        <w:rPr>
          <w:rFonts w:cs="David" w:hint="cs"/>
          <w:sz w:val="24"/>
          <w:szCs w:val="24"/>
          <w:rtl/>
        </w:rPr>
        <w:t>חיוב בכרטיס אשראי</w:t>
      </w:r>
    </w:p>
    <w:p w:rsidR="0050572C" w:rsidRDefault="0050572C" w:rsidP="0050572C">
      <w:pPr>
        <w:pStyle w:val="1"/>
        <w:numPr>
          <w:ilvl w:val="0"/>
          <w:numId w:val="4"/>
        </w:numPr>
        <w:spacing w:line="360" w:lineRule="auto"/>
        <w:jc w:val="both"/>
        <w:rPr>
          <w:rFonts w:cs="David"/>
          <w:sz w:val="24"/>
          <w:szCs w:val="24"/>
        </w:rPr>
      </w:pPr>
      <w:r>
        <w:rPr>
          <w:rFonts w:cs="David" w:hint="cs"/>
          <w:sz w:val="24"/>
          <w:szCs w:val="24"/>
          <w:rtl/>
        </w:rPr>
        <w:t>הפקדת מזומן</w:t>
      </w:r>
    </w:p>
    <w:p w:rsidR="0050572C" w:rsidRDefault="0050572C" w:rsidP="0050572C">
      <w:pPr>
        <w:pStyle w:val="1"/>
        <w:numPr>
          <w:ilvl w:val="0"/>
          <w:numId w:val="4"/>
        </w:numPr>
        <w:spacing w:line="360" w:lineRule="auto"/>
        <w:jc w:val="both"/>
        <w:rPr>
          <w:rFonts w:cs="David"/>
          <w:sz w:val="24"/>
          <w:szCs w:val="24"/>
        </w:rPr>
      </w:pPr>
      <w:r>
        <w:rPr>
          <w:rFonts w:cs="David" w:hint="cs"/>
          <w:sz w:val="24"/>
          <w:szCs w:val="24"/>
          <w:rtl/>
        </w:rPr>
        <w:t>משיכת מזומן במכשיר אוטומטי</w:t>
      </w:r>
    </w:p>
    <w:p w:rsidR="0050572C" w:rsidRDefault="0050572C" w:rsidP="0050572C">
      <w:pPr>
        <w:pStyle w:val="1"/>
        <w:numPr>
          <w:ilvl w:val="0"/>
          <w:numId w:val="4"/>
        </w:numPr>
        <w:spacing w:line="360" w:lineRule="auto"/>
        <w:jc w:val="both"/>
        <w:rPr>
          <w:rFonts w:cs="David"/>
          <w:sz w:val="24"/>
          <w:szCs w:val="24"/>
        </w:rPr>
      </w:pPr>
      <w:r>
        <w:rPr>
          <w:rFonts w:cs="David" w:hint="cs"/>
          <w:sz w:val="24"/>
          <w:szCs w:val="24"/>
          <w:rtl/>
        </w:rPr>
        <w:t>העברה או הפקדה לחשבון אחר</w:t>
      </w:r>
    </w:p>
    <w:p w:rsidR="0050572C" w:rsidRDefault="0050572C" w:rsidP="0050572C">
      <w:pPr>
        <w:pStyle w:val="1"/>
        <w:numPr>
          <w:ilvl w:val="0"/>
          <w:numId w:val="4"/>
        </w:numPr>
        <w:spacing w:line="360" w:lineRule="auto"/>
        <w:jc w:val="both"/>
        <w:rPr>
          <w:rFonts w:cs="David"/>
          <w:sz w:val="24"/>
          <w:szCs w:val="24"/>
        </w:rPr>
      </w:pPr>
      <w:r>
        <w:rPr>
          <w:rFonts w:cs="David" w:hint="cs"/>
          <w:sz w:val="24"/>
          <w:szCs w:val="24"/>
          <w:rtl/>
        </w:rPr>
        <w:t>תשלום שובר</w:t>
      </w:r>
    </w:p>
    <w:p w:rsidR="0050572C" w:rsidRDefault="0050572C" w:rsidP="0050572C">
      <w:pPr>
        <w:pStyle w:val="1"/>
        <w:numPr>
          <w:ilvl w:val="0"/>
          <w:numId w:val="4"/>
        </w:numPr>
        <w:spacing w:line="360" w:lineRule="auto"/>
        <w:jc w:val="both"/>
        <w:rPr>
          <w:rFonts w:cs="David"/>
          <w:sz w:val="24"/>
          <w:szCs w:val="24"/>
        </w:rPr>
      </w:pPr>
      <w:r>
        <w:rPr>
          <w:rFonts w:cs="David" w:hint="cs"/>
          <w:sz w:val="24"/>
          <w:szCs w:val="24"/>
          <w:rtl/>
        </w:rPr>
        <w:t>שאילתת מידע בכל נושא (החל מהשאילתה השביעית בחודש)</w:t>
      </w:r>
    </w:p>
    <w:p w:rsidR="0050572C" w:rsidRDefault="0050572C" w:rsidP="0050572C">
      <w:pPr>
        <w:pStyle w:val="1"/>
        <w:numPr>
          <w:ilvl w:val="0"/>
          <w:numId w:val="4"/>
        </w:numPr>
        <w:spacing w:line="360" w:lineRule="auto"/>
        <w:jc w:val="both"/>
        <w:rPr>
          <w:rFonts w:cs="David"/>
          <w:sz w:val="24"/>
          <w:szCs w:val="24"/>
        </w:rPr>
      </w:pPr>
      <w:r>
        <w:rPr>
          <w:rFonts w:cs="David" w:hint="cs"/>
          <w:sz w:val="24"/>
          <w:szCs w:val="24"/>
          <w:rtl/>
        </w:rPr>
        <w:t>הפקדת שיק (לכל קבוצת שיקים – עד 20 שיקים)</w:t>
      </w:r>
    </w:p>
    <w:p w:rsidR="0050572C" w:rsidRDefault="0050572C" w:rsidP="0050572C">
      <w:pPr>
        <w:pStyle w:val="1"/>
        <w:numPr>
          <w:ilvl w:val="0"/>
          <w:numId w:val="4"/>
        </w:numPr>
        <w:spacing w:line="360" w:lineRule="auto"/>
        <w:jc w:val="both"/>
        <w:rPr>
          <w:rFonts w:cs="David"/>
          <w:sz w:val="24"/>
          <w:szCs w:val="24"/>
        </w:rPr>
      </w:pPr>
      <w:r>
        <w:rPr>
          <w:rFonts w:cs="David" w:hint="cs"/>
          <w:sz w:val="24"/>
          <w:szCs w:val="24"/>
          <w:rtl/>
        </w:rPr>
        <w:t>חיוב על פי הרשאה לחיוב חשבון או הוראת קבע</w:t>
      </w:r>
    </w:p>
    <w:p w:rsidR="00AB26A9" w:rsidRPr="0050572C" w:rsidRDefault="00AB26A9" w:rsidP="0050572C">
      <w:pPr>
        <w:bidi/>
        <w:spacing w:line="360" w:lineRule="auto"/>
        <w:ind w:left="29"/>
        <w:jc w:val="both"/>
        <w:rPr>
          <w:rFonts w:cs="David"/>
          <w:sz w:val="24"/>
          <w:szCs w:val="24"/>
          <w:rtl/>
        </w:rPr>
      </w:pPr>
    </w:p>
    <w:sectPr w:rsidR="00AB26A9" w:rsidRPr="0050572C" w:rsidSect="00EB7344">
      <w:footerReference w:type="default" r:id="rId9"/>
      <w:pgSz w:w="11906" w:h="16838"/>
      <w:pgMar w:top="1440" w:right="1800" w:bottom="1440" w:left="1800" w:header="708" w:footer="28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E56" w:rsidRDefault="000D0E56" w:rsidP="0031451F">
      <w:r>
        <w:separator/>
      </w:r>
    </w:p>
  </w:endnote>
  <w:endnote w:type="continuationSeparator" w:id="0">
    <w:p w:rsidR="000D0E56" w:rsidRDefault="000D0E56" w:rsidP="0031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0000000000000000000"/>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66379704"/>
      <w:docPartObj>
        <w:docPartGallery w:val="Page Numbers (Bottom of Page)"/>
        <w:docPartUnique/>
      </w:docPartObj>
    </w:sdtPr>
    <w:sdtEndPr>
      <w:rPr>
        <w:cs/>
      </w:rPr>
    </w:sdtEndPr>
    <w:sdtContent>
      <w:sdt>
        <w:sdtPr>
          <w:rPr>
            <w:rFonts w:cs="David"/>
            <w:rtl/>
          </w:rPr>
          <w:id w:val="860082579"/>
          <w:docPartObj>
            <w:docPartGallery w:val="Page Numbers (Top of Page)"/>
            <w:docPartUnique/>
          </w:docPartObj>
        </w:sdtPr>
        <w:sdtEndPr/>
        <w:sdtContent>
          <w:p w:rsidR="00EB7344" w:rsidRPr="00EB7344" w:rsidRDefault="00EB7344" w:rsidP="00EB7344">
            <w:pPr>
              <w:bidi/>
              <w:ind w:left="-284" w:right="-199"/>
              <w:rPr>
                <w:rFonts w:cs="David"/>
                <w:rtl/>
                <w:cs/>
              </w:rPr>
            </w:pPr>
            <w:r>
              <w:rPr>
                <w:rFonts w:cs="David" w:hint="cs"/>
                <w:rtl/>
                <w:cs/>
                <w:lang w:val="he-IL"/>
              </w:rPr>
              <w:t xml:space="preserve">בנק ישראל </w:t>
            </w:r>
            <w:r>
              <w:rPr>
                <w:rFonts w:cs="David"/>
                <w:rtl/>
                <w:lang w:val="he-IL"/>
              </w:rPr>
              <w:t>–</w:t>
            </w:r>
            <w:r>
              <w:rPr>
                <w:rFonts w:cs="David" w:hint="cs"/>
                <w:rtl/>
                <w:cs/>
                <w:lang w:val="he-IL"/>
              </w:rPr>
              <w:t xml:space="preserve"> </w:t>
            </w:r>
            <w:r>
              <w:rPr>
                <w:rFonts w:cs="David" w:hint="cs"/>
                <w:rtl/>
                <w:lang w:val="he-IL"/>
              </w:rPr>
              <w:t xml:space="preserve">פיקוח </w:t>
            </w:r>
            <w:r w:rsidRPr="00EB7344">
              <w:rPr>
                <w:rFonts w:cs="David" w:hint="cs"/>
                <w:rtl/>
                <w:lang w:val="he-IL"/>
              </w:rPr>
              <w:t>מחיר סל שירותים אחיד ובסיסי לניהול חשבון עובר ושב</w:t>
            </w:r>
            <w:r>
              <w:rPr>
                <w:rFonts w:cs="David" w:hint="cs"/>
                <w:rtl/>
                <w:cs/>
                <w:lang w:val="he-IL"/>
              </w:rPr>
              <w:tab/>
            </w:r>
            <w:r>
              <w:rPr>
                <w:rFonts w:cs="David" w:hint="cs"/>
                <w:rtl/>
                <w:cs/>
                <w:lang w:val="he-IL"/>
              </w:rPr>
              <w:tab/>
            </w:r>
            <w:r>
              <w:rPr>
                <w:rFonts w:cs="David" w:hint="cs"/>
                <w:rtl/>
                <w:cs/>
                <w:lang w:val="he-IL"/>
              </w:rPr>
              <w:tab/>
            </w:r>
            <w:r w:rsidRPr="00EB7344">
              <w:rPr>
                <w:rFonts w:cs="David"/>
                <w:rtl/>
                <w:cs/>
                <w:lang w:val="he-IL"/>
              </w:rPr>
              <w:t xml:space="preserve">עמוד </w:t>
            </w:r>
            <w:r w:rsidRPr="00EB7344">
              <w:rPr>
                <w:rFonts w:cs="David"/>
                <w:b/>
                <w:bCs/>
              </w:rPr>
              <w:fldChar w:fldCharType="begin"/>
            </w:r>
            <w:r w:rsidRPr="00EB7344">
              <w:rPr>
                <w:rFonts w:cs="David"/>
                <w:b/>
                <w:bCs/>
                <w:rtl/>
                <w:cs/>
              </w:rPr>
              <w:instrText>PAGE</w:instrText>
            </w:r>
            <w:r w:rsidRPr="00EB7344">
              <w:rPr>
                <w:rFonts w:cs="David"/>
                <w:b/>
                <w:bCs/>
              </w:rPr>
              <w:fldChar w:fldCharType="separate"/>
            </w:r>
            <w:r w:rsidR="004A63A6">
              <w:rPr>
                <w:rFonts w:cs="David"/>
                <w:b/>
                <w:bCs/>
                <w:rtl/>
              </w:rPr>
              <w:t>1</w:t>
            </w:r>
            <w:r w:rsidRPr="00EB7344">
              <w:rPr>
                <w:rFonts w:cs="David"/>
                <w:b/>
                <w:bCs/>
              </w:rPr>
              <w:fldChar w:fldCharType="end"/>
            </w:r>
            <w:r w:rsidRPr="00EB7344">
              <w:rPr>
                <w:rFonts w:cs="David"/>
                <w:rtl/>
                <w:cs/>
                <w:lang w:val="he-IL"/>
              </w:rPr>
              <w:t xml:space="preserve"> מתוך </w:t>
            </w:r>
            <w:r w:rsidRPr="00EB7344">
              <w:rPr>
                <w:rFonts w:cs="David"/>
                <w:b/>
                <w:bCs/>
              </w:rPr>
              <w:fldChar w:fldCharType="begin"/>
            </w:r>
            <w:r w:rsidRPr="00EB7344">
              <w:rPr>
                <w:rFonts w:cs="David"/>
                <w:b/>
                <w:bCs/>
                <w:rtl/>
                <w:cs/>
              </w:rPr>
              <w:instrText>NUMPAGES</w:instrText>
            </w:r>
            <w:r w:rsidRPr="00EB7344">
              <w:rPr>
                <w:rFonts w:cs="David"/>
                <w:b/>
                <w:bCs/>
              </w:rPr>
              <w:fldChar w:fldCharType="separate"/>
            </w:r>
            <w:r w:rsidR="004A63A6">
              <w:rPr>
                <w:rFonts w:cs="David"/>
                <w:b/>
                <w:bCs/>
                <w:rtl/>
              </w:rPr>
              <w:t>3</w:t>
            </w:r>
            <w:r w:rsidRPr="00EB7344">
              <w:rPr>
                <w:rFonts w:cs="David"/>
                <w:b/>
                <w:bCs/>
              </w:rPr>
              <w:fldChar w:fldCharType="end"/>
            </w:r>
          </w:p>
        </w:sdtContent>
      </w:sdt>
    </w:sdtContent>
  </w:sdt>
  <w:p w:rsidR="00015CC6" w:rsidRDefault="00015CC6" w:rsidP="00EB7344">
    <w:pPr>
      <w:pStyle w:val="a8"/>
      <w:bidi/>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E56" w:rsidRDefault="000D0E56" w:rsidP="0031451F">
      <w:r>
        <w:separator/>
      </w:r>
    </w:p>
  </w:footnote>
  <w:footnote w:type="continuationSeparator" w:id="0">
    <w:p w:rsidR="000D0E56" w:rsidRDefault="000D0E56" w:rsidP="00314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61B2E"/>
    <w:multiLevelType w:val="hybridMultilevel"/>
    <w:tmpl w:val="BC8840CA"/>
    <w:lvl w:ilvl="0" w:tplc="04090005">
      <w:start w:val="1"/>
      <w:numFmt w:val="bullet"/>
      <w:lvlText w:val=""/>
      <w:lvlJc w:val="left"/>
      <w:pPr>
        <w:ind w:left="749" w:hanging="360"/>
      </w:pPr>
      <w:rPr>
        <w:rFonts w:ascii="Wingdings" w:hAnsi="Wingdings"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
    <w:nsid w:val="65203614"/>
    <w:multiLevelType w:val="hybridMultilevel"/>
    <w:tmpl w:val="67C446F0"/>
    <w:lvl w:ilvl="0" w:tplc="A4F6DF0C">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5CC6"/>
    <w:rsid w:val="000342FE"/>
    <w:rsid w:val="0007270F"/>
    <w:rsid w:val="00095D94"/>
    <w:rsid w:val="000B441F"/>
    <w:rsid w:val="000C62F4"/>
    <w:rsid w:val="000D0E56"/>
    <w:rsid w:val="00135A75"/>
    <w:rsid w:val="00231D1D"/>
    <w:rsid w:val="002358C4"/>
    <w:rsid w:val="00240BBB"/>
    <w:rsid w:val="002A36A2"/>
    <w:rsid w:val="0031451F"/>
    <w:rsid w:val="003C5755"/>
    <w:rsid w:val="00420188"/>
    <w:rsid w:val="00441663"/>
    <w:rsid w:val="004A63A6"/>
    <w:rsid w:val="0050572C"/>
    <w:rsid w:val="00552664"/>
    <w:rsid w:val="005F09A2"/>
    <w:rsid w:val="005F11C4"/>
    <w:rsid w:val="00601715"/>
    <w:rsid w:val="0063612D"/>
    <w:rsid w:val="00670204"/>
    <w:rsid w:val="00694F2B"/>
    <w:rsid w:val="00732CC9"/>
    <w:rsid w:val="00761744"/>
    <w:rsid w:val="007921CF"/>
    <w:rsid w:val="008150EC"/>
    <w:rsid w:val="008764FB"/>
    <w:rsid w:val="008824CB"/>
    <w:rsid w:val="00903C3B"/>
    <w:rsid w:val="00956A98"/>
    <w:rsid w:val="00976BC2"/>
    <w:rsid w:val="00AB26A9"/>
    <w:rsid w:val="00AD1351"/>
    <w:rsid w:val="00AD177E"/>
    <w:rsid w:val="00AE591E"/>
    <w:rsid w:val="00B97566"/>
    <w:rsid w:val="00BA0191"/>
    <w:rsid w:val="00BE02A0"/>
    <w:rsid w:val="00C51776"/>
    <w:rsid w:val="00CF72BD"/>
    <w:rsid w:val="00D51DF2"/>
    <w:rsid w:val="00D76CB0"/>
    <w:rsid w:val="00D80719"/>
    <w:rsid w:val="00DD5923"/>
    <w:rsid w:val="00DF2F77"/>
    <w:rsid w:val="00E40002"/>
    <w:rsid w:val="00EB7344"/>
    <w:rsid w:val="00F16D2C"/>
    <w:rsid w:val="00FE034E"/>
    <w:rsid w:val="00FF1220"/>
    <w:rsid w:val="00FF7E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customStyle="1" w:styleId="1">
    <w:name w:val="פיסקת רשימה1"/>
    <w:basedOn w:val="a"/>
    <w:uiPriority w:val="99"/>
    <w:qFormat/>
    <w:rsid w:val="00AB26A9"/>
    <w:pPr>
      <w:bidi/>
      <w:ind w:left="720"/>
    </w:pPr>
    <w:rPr>
      <w:rFonts w:ascii="Calibri" w:hAnsi="Calibri" w:cs="Calibri"/>
      <w:sz w:val="22"/>
      <w:szCs w:val="22"/>
      <w:lang w:eastAsia="en-US"/>
    </w:rPr>
  </w:style>
  <w:style w:type="paragraph" w:styleId="a5">
    <w:name w:val="List Paragraph"/>
    <w:basedOn w:val="a"/>
    <w:uiPriority w:val="34"/>
    <w:qFormat/>
    <w:rsid w:val="00AB26A9"/>
    <w:pPr>
      <w:ind w:left="720"/>
      <w:contextualSpacing/>
    </w:pPr>
  </w:style>
  <w:style w:type="paragraph" w:styleId="a6">
    <w:name w:val="header"/>
    <w:basedOn w:val="a"/>
    <w:link w:val="a7"/>
    <w:uiPriority w:val="99"/>
    <w:unhideWhenUsed/>
    <w:rsid w:val="0031451F"/>
    <w:pPr>
      <w:tabs>
        <w:tab w:val="center" w:pos="4153"/>
        <w:tab w:val="right" w:pos="8306"/>
      </w:tabs>
    </w:pPr>
  </w:style>
  <w:style w:type="character" w:customStyle="1" w:styleId="a7">
    <w:name w:val="כותרת עליונה תו"/>
    <w:basedOn w:val="a0"/>
    <w:link w:val="a6"/>
    <w:uiPriority w:val="99"/>
    <w:rsid w:val="0031451F"/>
    <w:rPr>
      <w:rFonts w:ascii="Times New Roman" w:eastAsia="Times New Roman" w:hAnsi="Times New Roman" w:cs="Miriam"/>
      <w:sz w:val="20"/>
      <w:szCs w:val="20"/>
      <w:lang w:eastAsia="he-IL"/>
    </w:rPr>
  </w:style>
  <w:style w:type="paragraph" w:styleId="a8">
    <w:name w:val="footer"/>
    <w:basedOn w:val="a"/>
    <w:link w:val="a9"/>
    <w:uiPriority w:val="99"/>
    <w:unhideWhenUsed/>
    <w:rsid w:val="0031451F"/>
    <w:pPr>
      <w:tabs>
        <w:tab w:val="center" w:pos="4153"/>
        <w:tab w:val="right" w:pos="8306"/>
      </w:tabs>
    </w:pPr>
  </w:style>
  <w:style w:type="character" w:customStyle="1" w:styleId="a9">
    <w:name w:val="כותרת תחתונה תו"/>
    <w:basedOn w:val="a0"/>
    <w:link w:val="a8"/>
    <w:uiPriority w:val="99"/>
    <w:rsid w:val="0031451F"/>
    <w:rPr>
      <w:rFonts w:ascii="Times New Roman" w:eastAsia="Times New Roman" w:hAnsi="Times New Roman" w:cs="Miriam"/>
      <w:sz w:val="20"/>
      <w:szCs w:val="20"/>
      <w:lang w:eastAsia="he-IL"/>
    </w:rPr>
  </w:style>
  <w:style w:type="character" w:styleId="aa">
    <w:name w:val="annotation reference"/>
    <w:basedOn w:val="a0"/>
    <w:uiPriority w:val="99"/>
    <w:semiHidden/>
    <w:unhideWhenUsed/>
    <w:rsid w:val="002A36A2"/>
    <w:rPr>
      <w:sz w:val="16"/>
      <w:szCs w:val="16"/>
    </w:rPr>
  </w:style>
  <w:style w:type="paragraph" w:styleId="ab">
    <w:name w:val="annotation text"/>
    <w:basedOn w:val="a"/>
    <w:link w:val="ac"/>
    <w:uiPriority w:val="99"/>
    <w:semiHidden/>
    <w:unhideWhenUsed/>
    <w:rsid w:val="002A36A2"/>
  </w:style>
  <w:style w:type="character" w:customStyle="1" w:styleId="ac">
    <w:name w:val="טקסט הערה תו"/>
    <w:basedOn w:val="a0"/>
    <w:link w:val="ab"/>
    <w:uiPriority w:val="99"/>
    <w:semiHidden/>
    <w:rsid w:val="002A36A2"/>
    <w:rPr>
      <w:rFonts w:ascii="Times New Roman" w:eastAsia="Times New Roman" w:hAnsi="Times New Roman" w:cs="Miriam"/>
      <w:sz w:val="20"/>
      <w:szCs w:val="20"/>
      <w:lang w:eastAsia="he-IL"/>
    </w:rPr>
  </w:style>
  <w:style w:type="paragraph" w:styleId="ad">
    <w:name w:val="annotation subject"/>
    <w:basedOn w:val="ab"/>
    <w:next w:val="ab"/>
    <w:link w:val="ae"/>
    <w:uiPriority w:val="99"/>
    <w:semiHidden/>
    <w:unhideWhenUsed/>
    <w:rsid w:val="002A36A2"/>
    <w:rPr>
      <w:b/>
      <w:bCs/>
    </w:rPr>
  </w:style>
  <w:style w:type="character" w:customStyle="1" w:styleId="ae">
    <w:name w:val="נושא הערה תו"/>
    <w:basedOn w:val="ac"/>
    <w:link w:val="ad"/>
    <w:uiPriority w:val="99"/>
    <w:semiHidden/>
    <w:rsid w:val="002A36A2"/>
    <w:rPr>
      <w:rFonts w:ascii="Times New Roman" w:eastAsia="Times New Roman" w:hAnsi="Times New Roman" w:cs="Miriam"/>
      <w:b/>
      <w:bCs/>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customStyle="1" w:styleId="1">
    <w:name w:val="פיסקת רשימה1"/>
    <w:basedOn w:val="a"/>
    <w:uiPriority w:val="99"/>
    <w:qFormat/>
    <w:rsid w:val="00AB26A9"/>
    <w:pPr>
      <w:bidi/>
      <w:ind w:left="720"/>
    </w:pPr>
    <w:rPr>
      <w:rFonts w:ascii="Calibri" w:hAnsi="Calibri" w:cs="Calibri"/>
      <w:sz w:val="22"/>
      <w:szCs w:val="22"/>
      <w:lang w:eastAsia="en-US"/>
    </w:rPr>
  </w:style>
  <w:style w:type="paragraph" w:styleId="a5">
    <w:name w:val="List Paragraph"/>
    <w:basedOn w:val="a"/>
    <w:uiPriority w:val="34"/>
    <w:qFormat/>
    <w:rsid w:val="00AB26A9"/>
    <w:pPr>
      <w:ind w:left="720"/>
      <w:contextualSpacing/>
    </w:pPr>
  </w:style>
  <w:style w:type="paragraph" w:styleId="a6">
    <w:name w:val="header"/>
    <w:basedOn w:val="a"/>
    <w:link w:val="a7"/>
    <w:uiPriority w:val="99"/>
    <w:unhideWhenUsed/>
    <w:rsid w:val="0031451F"/>
    <w:pPr>
      <w:tabs>
        <w:tab w:val="center" w:pos="4153"/>
        <w:tab w:val="right" w:pos="8306"/>
      </w:tabs>
    </w:pPr>
  </w:style>
  <w:style w:type="character" w:customStyle="1" w:styleId="a7">
    <w:name w:val="כותרת עליונה תו"/>
    <w:basedOn w:val="a0"/>
    <w:link w:val="a6"/>
    <w:uiPriority w:val="99"/>
    <w:rsid w:val="0031451F"/>
    <w:rPr>
      <w:rFonts w:ascii="Times New Roman" w:eastAsia="Times New Roman" w:hAnsi="Times New Roman" w:cs="Miriam"/>
      <w:sz w:val="20"/>
      <w:szCs w:val="20"/>
      <w:lang w:eastAsia="he-IL"/>
    </w:rPr>
  </w:style>
  <w:style w:type="paragraph" w:styleId="a8">
    <w:name w:val="footer"/>
    <w:basedOn w:val="a"/>
    <w:link w:val="a9"/>
    <w:uiPriority w:val="99"/>
    <w:unhideWhenUsed/>
    <w:rsid w:val="0031451F"/>
    <w:pPr>
      <w:tabs>
        <w:tab w:val="center" w:pos="4153"/>
        <w:tab w:val="right" w:pos="8306"/>
      </w:tabs>
    </w:pPr>
  </w:style>
  <w:style w:type="character" w:customStyle="1" w:styleId="a9">
    <w:name w:val="כותרת תחתונה תו"/>
    <w:basedOn w:val="a0"/>
    <w:link w:val="a8"/>
    <w:uiPriority w:val="99"/>
    <w:rsid w:val="0031451F"/>
    <w:rPr>
      <w:rFonts w:ascii="Times New Roman" w:eastAsia="Times New Roman" w:hAnsi="Times New Roman" w:cs="Miriam"/>
      <w:sz w:val="20"/>
      <w:szCs w:val="20"/>
      <w:lang w:eastAsia="he-IL"/>
    </w:rPr>
  </w:style>
  <w:style w:type="character" w:styleId="aa">
    <w:name w:val="annotation reference"/>
    <w:basedOn w:val="a0"/>
    <w:uiPriority w:val="99"/>
    <w:semiHidden/>
    <w:unhideWhenUsed/>
    <w:rsid w:val="002A36A2"/>
    <w:rPr>
      <w:sz w:val="16"/>
      <w:szCs w:val="16"/>
    </w:rPr>
  </w:style>
  <w:style w:type="paragraph" w:styleId="ab">
    <w:name w:val="annotation text"/>
    <w:basedOn w:val="a"/>
    <w:link w:val="ac"/>
    <w:uiPriority w:val="99"/>
    <w:semiHidden/>
    <w:unhideWhenUsed/>
    <w:rsid w:val="002A36A2"/>
  </w:style>
  <w:style w:type="character" w:customStyle="1" w:styleId="ac">
    <w:name w:val="טקסט הערה תו"/>
    <w:basedOn w:val="a0"/>
    <w:link w:val="ab"/>
    <w:uiPriority w:val="99"/>
    <w:semiHidden/>
    <w:rsid w:val="002A36A2"/>
    <w:rPr>
      <w:rFonts w:ascii="Times New Roman" w:eastAsia="Times New Roman" w:hAnsi="Times New Roman" w:cs="Miriam"/>
      <w:sz w:val="20"/>
      <w:szCs w:val="20"/>
      <w:lang w:eastAsia="he-IL"/>
    </w:rPr>
  </w:style>
  <w:style w:type="paragraph" w:styleId="ad">
    <w:name w:val="annotation subject"/>
    <w:basedOn w:val="ab"/>
    <w:next w:val="ab"/>
    <w:link w:val="ae"/>
    <w:uiPriority w:val="99"/>
    <w:semiHidden/>
    <w:unhideWhenUsed/>
    <w:rsid w:val="002A36A2"/>
    <w:rPr>
      <w:b/>
      <w:bCs/>
    </w:rPr>
  </w:style>
  <w:style w:type="character" w:customStyle="1" w:styleId="ae">
    <w:name w:val="נושא הערה תו"/>
    <w:basedOn w:val="ac"/>
    <w:link w:val="ad"/>
    <w:uiPriority w:val="99"/>
    <w:semiHidden/>
    <w:rsid w:val="002A36A2"/>
    <w:rPr>
      <w:rFonts w:ascii="Times New Roman" w:eastAsia="Times New Roman" w:hAnsi="Times New Roman" w:cs="Miriam"/>
      <w:b/>
      <w:bCs/>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B9996-188E-46EE-AEC8-4B2A22D91774}"/>
</file>

<file path=customXml/itemProps2.xml><?xml version="1.0" encoding="utf-8"?>
<ds:datastoreItem xmlns:ds="http://schemas.openxmlformats.org/officeDocument/2006/customXml" ds:itemID="{6212CC64-24D3-4C1B-AD12-0BFB66D0143F}"/>
</file>

<file path=customXml/itemProps3.xml><?xml version="1.0" encoding="utf-8"?>
<ds:datastoreItem xmlns:ds="http://schemas.openxmlformats.org/officeDocument/2006/customXml" ds:itemID="{BAB025B5-5A94-438C-AD20-B7187F3AE80B}"/>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3030</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2014-03-05T08:50:00Z</dcterms:created>
  <dcterms:modified xsi:type="dcterms:W3CDTF">2014-03-05T08:50:00Z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