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7E" w:rsidRPr="000E2A9D" w:rsidRDefault="00CE3B7E" w:rsidP="00CE3B7E">
      <w:pPr>
        <w:bidi w:val="0"/>
        <w:jc w:val="center"/>
        <w:rPr>
          <w:rtl/>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2326005</wp:posOffset>
            </wp:positionH>
            <wp:positionV relativeFrom="paragraph">
              <wp:posOffset>635</wp:posOffset>
            </wp:positionV>
            <wp:extent cx="1203960" cy="1204595"/>
            <wp:effectExtent l="19050" t="0" r="0" b="0"/>
            <wp:wrapSquare wrapText="bothSides"/>
            <wp:docPr id="3"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1204595"/>
                    </a:xfrm>
                    <a:prstGeom prst="rect">
                      <a:avLst/>
                    </a:prstGeom>
                    <a:noFill/>
                    <a:ln>
                      <a:noFill/>
                    </a:ln>
                  </pic:spPr>
                </pic:pic>
              </a:graphicData>
            </a:graphic>
          </wp:anchor>
        </w:drawing>
      </w:r>
    </w:p>
    <w:p w:rsidR="00CE3B7E" w:rsidRDefault="00CE3B7E" w:rsidP="00CE3B7E">
      <w:pPr>
        <w:pStyle w:val="regpar"/>
        <w:spacing w:line="300" w:lineRule="atLeast"/>
        <w:ind w:firstLine="0"/>
        <w:jc w:val="center"/>
        <w:rPr>
          <w:rFonts w:ascii="Times New Roman" w:hAnsi="Times New Roman" w:cs="David"/>
          <w:b/>
        </w:rPr>
      </w:pPr>
    </w:p>
    <w:p w:rsidR="003A0160" w:rsidRDefault="003A0160" w:rsidP="00CE3B7E">
      <w:pPr>
        <w:pStyle w:val="regpar"/>
        <w:spacing w:line="300" w:lineRule="atLeast"/>
        <w:ind w:firstLine="0"/>
        <w:jc w:val="center"/>
        <w:rPr>
          <w:rFonts w:ascii="Times New Roman" w:hAnsi="Times New Roman" w:cs="David"/>
          <w:b/>
          <w:rtl/>
        </w:rPr>
      </w:pPr>
    </w:p>
    <w:p w:rsidR="003A0160" w:rsidRDefault="003A0160" w:rsidP="00CE3B7E">
      <w:pPr>
        <w:pStyle w:val="regpar"/>
        <w:spacing w:line="300" w:lineRule="atLeast"/>
        <w:ind w:firstLine="0"/>
        <w:jc w:val="center"/>
        <w:rPr>
          <w:rFonts w:ascii="Times New Roman" w:hAnsi="Times New Roman" w:cs="David"/>
          <w:b/>
          <w:rtl/>
        </w:rPr>
      </w:pPr>
    </w:p>
    <w:p w:rsidR="003A0160" w:rsidRDefault="003A0160" w:rsidP="00CE3B7E">
      <w:pPr>
        <w:pStyle w:val="regpar"/>
        <w:spacing w:line="300" w:lineRule="atLeast"/>
        <w:ind w:firstLine="0"/>
        <w:jc w:val="center"/>
        <w:rPr>
          <w:rFonts w:ascii="Times New Roman" w:hAnsi="Times New Roman" w:cs="David"/>
          <w:b/>
          <w:rtl/>
        </w:rPr>
      </w:pPr>
    </w:p>
    <w:p w:rsidR="003A0160" w:rsidRDefault="003A0160" w:rsidP="00CE3B7E">
      <w:pPr>
        <w:pStyle w:val="regpar"/>
        <w:spacing w:line="300" w:lineRule="atLeast"/>
        <w:ind w:firstLine="0"/>
        <w:jc w:val="center"/>
        <w:rPr>
          <w:rFonts w:ascii="Times New Roman" w:hAnsi="Times New Roman" w:cs="David"/>
          <w:b/>
          <w:rtl/>
        </w:rPr>
      </w:pPr>
    </w:p>
    <w:p w:rsidR="003A0160" w:rsidRDefault="003A0160" w:rsidP="00CE3B7E">
      <w:pPr>
        <w:pStyle w:val="regpar"/>
        <w:spacing w:line="300" w:lineRule="atLeast"/>
        <w:ind w:firstLine="0"/>
        <w:jc w:val="center"/>
        <w:rPr>
          <w:rFonts w:ascii="Times New Roman" w:hAnsi="Times New Roman" w:cs="David"/>
          <w:b/>
          <w:rtl/>
        </w:rPr>
      </w:pPr>
    </w:p>
    <w:p w:rsidR="00CE3B7E" w:rsidRPr="000E2A9D" w:rsidRDefault="00CE3B7E" w:rsidP="00F51914">
      <w:pPr>
        <w:pStyle w:val="regpar"/>
        <w:spacing w:line="300" w:lineRule="atLeast"/>
        <w:ind w:firstLine="0"/>
        <w:jc w:val="center"/>
        <w:rPr>
          <w:rFonts w:ascii="Times New Roman" w:hAnsi="Times New Roman" w:cs="David"/>
          <w:b/>
        </w:rPr>
      </w:pPr>
      <w:r w:rsidRPr="000E2A9D">
        <w:rPr>
          <w:rFonts w:ascii="Times New Roman" w:hAnsi="Times New Roman" w:cs="David"/>
          <w:b/>
        </w:rPr>
        <w:t>BANK OF ISRAEL</w:t>
      </w:r>
    </w:p>
    <w:p w:rsidR="00CE3B7E" w:rsidRPr="000E2A9D" w:rsidRDefault="00CE3B7E" w:rsidP="00CE3B7E">
      <w:pPr>
        <w:pStyle w:val="regpar"/>
        <w:spacing w:line="300" w:lineRule="atLeast"/>
        <w:ind w:firstLine="0"/>
        <w:jc w:val="center"/>
        <w:rPr>
          <w:rFonts w:ascii="Times New Roman" w:hAnsi="Times New Roman" w:cs="Times New Roman"/>
          <w:b/>
        </w:rPr>
      </w:pPr>
      <w:r w:rsidRPr="000E2A9D">
        <w:rPr>
          <w:rFonts w:ascii="Times New Roman" w:hAnsi="Times New Roman" w:cs="Times New Roman"/>
        </w:rPr>
        <w:t>Office of the Spokesperson and Economic Information</w:t>
      </w:r>
    </w:p>
    <w:p w:rsidR="00CE3B7E" w:rsidRDefault="00CE3B7E" w:rsidP="00CE3B7E">
      <w:pPr>
        <w:bidi w:val="0"/>
      </w:pPr>
    </w:p>
    <w:p w:rsidR="00996822" w:rsidRPr="00F037D4" w:rsidRDefault="00F51914" w:rsidP="00F51914">
      <w:pPr>
        <w:tabs>
          <w:tab w:val="center" w:pos="4156"/>
          <w:tab w:val="right" w:pos="8312"/>
        </w:tabs>
        <w:bidi w:val="0"/>
        <w:jc w:val="right"/>
      </w:pPr>
      <w:r>
        <w:t>December 7, 2023</w:t>
      </w:r>
    </w:p>
    <w:p w:rsidR="00CE3B7E" w:rsidRPr="000E2A9D" w:rsidRDefault="00CE3B7E" w:rsidP="00CE3B7E">
      <w:pPr>
        <w:tabs>
          <w:tab w:val="center" w:pos="4156"/>
          <w:tab w:val="right" w:pos="8312"/>
        </w:tabs>
        <w:bidi w:val="0"/>
        <w:jc w:val="center"/>
        <w:rPr>
          <w:rFonts w:cs="David"/>
        </w:rPr>
      </w:pPr>
    </w:p>
    <w:p w:rsidR="00CE3B7E" w:rsidRDefault="00CE3B7E" w:rsidP="001A244E">
      <w:pPr>
        <w:tabs>
          <w:tab w:val="center" w:pos="4156"/>
          <w:tab w:val="right" w:pos="8312"/>
        </w:tabs>
        <w:bidi w:val="0"/>
        <w:rPr>
          <w:rFonts w:cs="David"/>
        </w:rPr>
      </w:pPr>
      <w:r w:rsidRPr="00B75F11">
        <w:rPr>
          <w:rFonts w:cs="David"/>
        </w:rPr>
        <w:t>Press Release:</w:t>
      </w:r>
    </w:p>
    <w:p w:rsidR="00700201" w:rsidRPr="00B75F11" w:rsidRDefault="00700201" w:rsidP="00700201">
      <w:pPr>
        <w:tabs>
          <w:tab w:val="center" w:pos="4156"/>
          <w:tab w:val="right" w:pos="8312"/>
        </w:tabs>
        <w:bidi w:val="0"/>
        <w:rPr>
          <w:rFonts w:cs="David"/>
        </w:rPr>
      </w:pPr>
    </w:p>
    <w:p w:rsidR="00CE3B7E" w:rsidRPr="00B75F11" w:rsidRDefault="00CE3B7E" w:rsidP="00CE3B7E">
      <w:pPr>
        <w:bidi w:val="0"/>
        <w:rPr>
          <w:b/>
          <w:bCs/>
        </w:rPr>
      </w:pPr>
    </w:p>
    <w:p w:rsidR="00493397" w:rsidRDefault="005A3BF1" w:rsidP="00493397">
      <w:pPr>
        <w:bidi w:val="0"/>
        <w:jc w:val="center"/>
        <w:rPr>
          <w:b/>
          <w:bCs/>
          <w:sz w:val="32"/>
          <w:szCs w:val="32"/>
        </w:rPr>
      </w:pPr>
      <w:r w:rsidRPr="00B75F11">
        <w:rPr>
          <w:b/>
          <w:bCs/>
          <w:sz w:val="32"/>
          <w:szCs w:val="32"/>
        </w:rPr>
        <w:t xml:space="preserve">Monthly report on programs the Bank of Israel is operating in the financial markets in view of the </w:t>
      </w:r>
      <w:r w:rsidR="00493397">
        <w:rPr>
          <w:b/>
          <w:bCs/>
          <w:sz w:val="32"/>
          <w:szCs w:val="32"/>
        </w:rPr>
        <w:t>war</w:t>
      </w:r>
    </w:p>
    <w:p w:rsidR="00F51914" w:rsidRDefault="00F51914" w:rsidP="00F51914">
      <w:pPr>
        <w:bidi w:val="0"/>
        <w:jc w:val="center"/>
        <w:rPr>
          <w:b/>
          <w:bCs/>
          <w:sz w:val="32"/>
          <w:szCs w:val="32"/>
        </w:rPr>
      </w:pPr>
    </w:p>
    <w:p w:rsidR="00F51914" w:rsidRDefault="00F51914" w:rsidP="00F51914">
      <w:pPr>
        <w:bidi w:val="0"/>
        <w:jc w:val="both"/>
      </w:pPr>
      <w:r>
        <w:t>The f</w:t>
      </w:r>
      <w:r w:rsidRPr="00B75F11">
        <w:t xml:space="preserve">ollowing is </w:t>
      </w:r>
      <w:r>
        <w:t>a</w:t>
      </w:r>
      <w:r w:rsidRPr="00B75F11">
        <w:t xml:space="preserve"> monthly update on the </w:t>
      </w:r>
      <w:r>
        <w:t xml:space="preserve">volume of </w:t>
      </w:r>
      <w:r w:rsidRPr="00B75F11">
        <w:t xml:space="preserve">the programs that </w:t>
      </w:r>
      <w:r>
        <w:t xml:space="preserve">have been </w:t>
      </w:r>
      <w:r w:rsidRPr="00B75F11">
        <w:t xml:space="preserve">put into operation, as of </w:t>
      </w:r>
      <w:r>
        <w:t>November 30, 2023</w:t>
      </w:r>
      <w:r w:rsidRPr="00B75F11">
        <w:t>:</w:t>
      </w:r>
    </w:p>
    <w:p w:rsidR="00F51914" w:rsidRPr="00F51914" w:rsidRDefault="00F51914" w:rsidP="00F51914">
      <w:pPr>
        <w:bidi w:val="0"/>
        <w:rPr>
          <w:b/>
          <w:bCs/>
        </w:rPr>
      </w:pPr>
    </w:p>
    <w:p w:rsidR="00493397" w:rsidRDefault="00493397" w:rsidP="009010ED">
      <w:pPr>
        <w:bidi w:val="0"/>
        <w:jc w:val="both"/>
      </w:pPr>
    </w:p>
    <w:tbl>
      <w:tblPr>
        <w:tblStyle w:val="a4"/>
        <w:tblpPr w:leftFromText="180" w:rightFromText="180" w:vertAnchor="text" w:horzAnchor="margin" w:tblpY="-17"/>
        <w:tblW w:w="5477" w:type="pct"/>
        <w:tblLook w:val="04A0" w:firstRow="1" w:lastRow="0" w:firstColumn="1" w:lastColumn="0" w:noHBand="0" w:noVBand="1"/>
      </w:tblPr>
      <w:tblGrid>
        <w:gridCol w:w="2320"/>
        <w:gridCol w:w="2622"/>
        <w:gridCol w:w="2651"/>
        <w:gridCol w:w="2649"/>
      </w:tblGrid>
      <w:tr w:rsidR="00F51914" w:rsidRPr="00B75F11" w:rsidTr="00F51914">
        <w:tc>
          <w:tcPr>
            <w:tcW w:w="1133" w:type="pct"/>
          </w:tcPr>
          <w:p w:rsidR="00F51914" w:rsidRPr="006C4920" w:rsidRDefault="00F51914" w:rsidP="00F51914">
            <w:pPr>
              <w:bidi w:val="0"/>
              <w:rPr>
                <w:rFonts w:asciiTheme="majorBidi" w:hAnsiTheme="majorBidi" w:cstheme="majorBidi"/>
              </w:rPr>
            </w:pPr>
          </w:p>
        </w:tc>
        <w:tc>
          <w:tcPr>
            <w:tcW w:w="1280" w:type="pct"/>
          </w:tcPr>
          <w:p w:rsidR="00F51914" w:rsidRPr="006C4920" w:rsidRDefault="00F51914" w:rsidP="00F51914">
            <w:pPr>
              <w:bidi w:val="0"/>
              <w:rPr>
                <w:rFonts w:asciiTheme="majorBidi" w:hAnsiTheme="majorBidi" w:cstheme="majorBidi"/>
                <w:b/>
                <w:bCs/>
              </w:rPr>
            </w:pPr>
            <w:r w:rsidRPr="006C4920">
              <w:rPr>
                <w:rFonts w:asciiTheme="majorBidi" w:hAnsiTheme="majorBidi" w:cstheme="majorBidi"/>
                <w:b/>
                <w:bCs/>
              </w:rPr>
              <w:t>Repo transactions with bonds as collateral</w:t>
            </w:r>
          </w:p>
        </w:tc>
        <w:tc>
          <w:tcPr>
            <w:tcW w:w="1294" w:type="pct"/>
          </w:tcPr>
          <w:p w:rsidR="00F51914" w:rsidRPr="006C4920" w:rsidRDefault="00F51914" w:rsidP="00F51914">
            <w:pPr>
              <w:bidi w:val="0"/>
              <w:rPr>
                <w:rFonts w:asciiTheme="majorBidi" w:hAnsiTheme="majorBidi" w:cstheme="majorBidi"/>
                <w:b/>
                <w:bCs/>
              </w:rPr>
            </w:pPr>
            <w:r w:rsidRPr="006C4920">
              <w:rPr>
                <w:rFonts w:asciiTheme="majorBidi" w:hAnsiTheme="majorBidi" w:cstheme="majorBidi"/>
                <w:b/>
                <w:bCs/>
              </w:rPr>
              <w:t>Dollar-shekel swaps</w:t>
            </w:r>
          </w:p>
        </w:tc>
        <w:tc>
          <w:tcPr>
            <w:tcW w:w="1293" w:type="pct"/>
          </w:tcPr>
          <w:p w:rsidR="00F51914" w:rsidRPr="006C4920" w:rsidRDefault="00F51914" w:rsidP="00F51914">
            <w:pPr>
              <w:bidi w:val="0"/>
              <w:rPr>
                <w:rFonts w:asciiTheme="majorBidi" w:hAnsiTheme="majorBidi" w:cstheme="majorBidi"/>
                <w:b/>
                <w:bCs/>
              </w:rPr>
            </w:pPr>
            <w:r>
              <w:rPr>
                <w:rFonts w:asciiTheme="majorBidi" w:hAnsiTheme="majorBidi" w:cstheme="majorBidi"/>
                <w:b/>
                <w:bCs/>
              </w:rPr>
              <w:t>Foreign exchange sales</w:t>
            </w:r>
          </w:p>
        </w:tc>
      </w:tr>
      <w:tr w:rsidR="00F51914" w:rsidRPr="00B75F11" w:rsidTr="00F51914">
        <w:tc>
          <w:tcPr>
            <w:tcW w:w="1133" w:type="pct"/>
          </w:tcPr>
          <w:p w:rsidR="00F51914" w:rsidRPr="006C4920" w:rsidRDefault="00F51914" w:rsidP="00F51914">
            <w:pPr>
              <w:bidi w:val="0"/>
              <w:rPr>
                <w:rFonts w:asciiTheme="majorBidi" w:hAnsiTheme="majorBidi" w:cstheme="majorBidi"/>
                <w:b/>
                <w:bCs/>
              </w:rPr>
            </w:pPr>
            <w:r w:rsidRPr="006C4920">
              <w:rPr>
                <w:rFonts w:asciiTheme="majorBidi" w:hAnsiTheme="majorBidi" w:cstheme="majorBidi"/>
                <w:b/>
                <w:bCs/>
              </w:rPr>
              <w:t>Date announced by the Bank of Israel</w:t>
            </w:r>
          </w:p>
        </w:tc>
        <w:tc>
          <w:tcPr>
            <w:tcW w:w="1280" w:type="pct"/>
          </w:tcPr>
          <w:p w:rsidR="00F51914" w:rsidRPr="006C4920" w:rsidRDefault="00F51914" w:rsidP="00F51914">
            <w:pPr>
              <w:bidi w:val="0"/>
              <w:jc w:val="center"/>
              <w:rPr>
                <w:rFonts w:asciiTheme="majorBidi" w:hAnsiTheme="majorBidi" w:cstheme="majorBidi"/>
              </w:rPr>
            </w:pPr>
          </w:p>
        </w:tc>
        <w:tc>
          <w:tcPr>
            <w:tcW w:w="1294" w:type="pct"/>
          </w:tcPr>
          <w:p w:rsidR="00F51914" w:rsidRPr="006C4920" w:rsidRDefault="00344763" w:rsidP="00F51914">
            <w:pPr>
              <w:bidi w:val="0"/>
              <w:jc w:val="center"/>
              <w:rPr>
                <w:rFonts w:asciiTheme="majorBidi" w:hAnsiTheme="majorBidi" w:cstheme="majorBidi"/>
              </w:rPr>
            </w:pPr>
            <w:hyperlink r:id="rId12" w:history="1">
              <w:r w:rsidR="00F51914">
                <w:rPr>
                  <w:rStyle w:val="Hyperlink"/>
                  <w:rFonts w:asciiTheme="majorBidi" w:hAnsiTheme="majorBidi" w:cstheme="majorBidi"/>
                </w:rPr>
                <w:t>October</w:t>
              </w:r>
            </w:hyperlink>
            <w:r w:rsidR="00F51914">
              <w:rPr>
                <w:rStyle w:val="Hyperlink"/>
                <w:rFonts w:asciiTheme="majorBidi" w:hAnsiTheme="majorBidi" w:cstheme="majorBidi"/>
              </w:rPr>
              <w:t xml:space="preserve"> 9, 2023</w:t>
            </w:r>
            <w:r w:rsidR="00F51914">
              <w:rPr>
                <w:rStyle w:val="a7"/>
                <w:rFonts w:asciiTheme="majorBidi" w:hAnsiTheme="majorBidi" w:cstheme="majorBidi"/>
                <w:color w:val="0000FF" w:themeColor="hyperlink"/>
                <w:u w:val="single"/>
              </w:rPr>
              <w:footnoteReference w:id="1"/>
            </w:r>
          </w:p>
        </w:tc>
        <w:tc>
          <w:tcPr>
            <w:tcW w:w="1293" w:type="pct"/>
          </w:tcPr>
          <w:p w:rsidR="00F51914" w:rsidRDefault="00344763" w:rsidP="00F51914">
            <w:pPr>
              <w:bidi w:val="0"/>
              <w:jc w:val="center"/>
            </w:pPr>
            <w:hyperlink r:id="rId13" w:history="1">
              <w:r w:rsidR="00F51914">
                <w:rPr>
                  <w:rStyle w:val="Hyperlink"/>
                  <w:rFonts w:asciiTheme="majorBidi" w:hAnsiTheme="majorBidi" w:cstheme="majorBidi"/>
                </w:rPr>
                <w:t>October</w:t>
              </w:r>
            </w:hyperlink>
            <w:r w:rsidR="00F51914">
              <w:rPr>
                <w:rStyle w:val="Hyperlink"/>
                <w:rFonts w:asciiTheme="majorBidi" w:hAnsiTheme="majorBidi" w:cstheme="majorBidi"/>
              </w:rPr>
              <w:t xml:space="preserve"> 9, 2023</w:t>
            </w:r>
            <w:r w:rsidR="00F51914">
              <w:rPr>
                <w:rStyle w:val="a7"/>
                <w:rFonts w:asciiTheme="majorBidi" w:hAnsiTheme="majorBidi" w:cstheme="majorBidi"/>
                <w:color w:val="0000FF" w:themeColor="hyperlink"/>
                <w:u w:val="single"/>
              </w:rPr>
              <w:footnoteReference w:id="2"/>
            </w:r>
          </w:p>
        </w:tc>
      </w:tr>
      <w:tr w:rsidR="00F51914" w:rsidRPr="00B75F11" w:rsidTr="00F51914">
        <w:tc>
          <w:tcPr>
            <w:tcW w:w="1133" w:type="pct"/>
          </w:tcPr>
          <w:p w:rsidR="00F51914" w:rsidRPr="006C4920" w:rsidRDefault="00F51914" w:rsidP="00F51914">
            <w:pPr>
              <w:bidi w:val="0"/>
              <w:rPr>
                <w:rFonts w:asciiTheme="majorBidi" w:hAnsiTheme="majorBidi" w:cstheme="majorBidi"/>
                <w:b/>
                <w:bCs/>
              </w:rPr>
            </w:pPr>
            <w:r>
              <w:rPr>
                <w:rFonts w:asciiTheme="majorBidi" w:hAnsiTheme="majorBidi" w:cstheme="majorBidi"/>
                <w:b/>
                <w:bCs/>
              </w:rPr>
              <w:t xml:space="preserve">Volume </w:t>
            </w:r>
            <w:r w:rsidRPr="006C4920">
              <w:rPr>
                <w:rFonts w:asciiTheme="majorBidi" w:hAnsiTheme="majorBidi" w:cstheme="majorBidi"/>
                <w:b/>
                <w:bCs/>
              </w:rPr>
              <w:t>as of:</w:t>
            </w:r>
          </w:p>
        </w:tc>
        <w:tc>
          <w:tcPr>
            <w:tcW w:w="1280" w:type="pct"/>
          </w:tcPr>
          <w:p w:rsidR="00F51914" w:rsidRPr="006C4920" w:rsidRDefault="00F51914" w:rsidP="00F51914">
            <w:pPr>
              <w:bidi w:val="0"/>
              <w:jc w:val="center"/>
              <w:rPr>
                <w:rFonts w:asciiTheme="majorBidi" w:hAnsiTheme="majorBidi" w:cstheme="majorBidi"/>
                <w:b/>
                <w:bCs/>
              </w:rPr>
            </w:pPr>
            <w:r w:rsidRPr="006C4920">
              <w:rPr>
                <w:rFonts w:asciiTheme="majorBidi" w:hAnsiTheme="majorBidi" w:cstheme="majorBidi"/>
                <w:b/>
                <w:bCs/>
              </w:rPr>
              <w:t xml:space="preserve">NIS </w:t>
            </w:r>
            <w:r>
              <w:rPr>
                <w:rFonts w:asciiTheme="majorBidi" w:hAnsiTheme="majorBidi" w:cstheme="majorBidi"/>
                <w:b/>
                <w:bCs/>
              </w:rPr>
              <w:t>million</w:t>
            </w:r>
          </w:p>
        </w:tc>
        <w:tc>
          <w:tcPr>
            <w:tcW w:w="1294" w:type="pct"/>
          </w:tcPr>
          <w:p w:rsidR="00F51914" w:rsidRPr="006C4920" w:rsidRDefault="00F51914" w:rsidP="00F51914">
            <w:pPr>
              <w:bidi w:val="0"/>
              <w:jc w:val="center"/>
              <w:rPr>
                <w:rFonts w:asciiTheme="majorBidi" w:hAnsiTheme="majorBidi" w:cstheme="majorBidi"/>
                <w:b/>
                <w:bCs/>
              </w:rPr>
            </w:pPr>
            <w:r w:rsidRPr="006C4920">
              <w:rPr>
                <w:rFonts w:asciiTheme="majorBidi" w:hAnsiTheme="majorBidi" w:cstheme="majorBidi"/>
                <w:b/>
                <w:bCs/>
              </w:rPr>
              <w:t>$ billion</w:t>
            </w:r>
          </w:p>
        </w:tc>
        <w:tc>
          <w:tcPr>
            <w:tcW w:w="1293" w:type="pct"/>
          </w:tcPr>
          <w:p w:rsidR="00F51914" w:rsidRPr="006C4920" w:rsidRDefault="00F51914" w:rsidP="00F51914">
            <w:pPr>
              <w:bidi w:val="0"/>
              <w:jc w:val="center"/>
              <w:rPr>
                <w:rFonts w:asciiTheme="majorBidi" w:hAnsiTheme="majorBidi" w:cstheme="majorBidi"/>
                <w:b/>
                <w:bCs/>
              </w:rPr>
            </w:pPr>
            <w:r>
              <w:rPr>
                <w:rFonts w:asciiTheme="majorBidi" w:hAnsiTheme="majorBidi" w:cstheme="majorBidi"/>
                <w:b/>
                <w:bCs/>
              </w:rPr>
              <w:t>$ billion</w:t>
            </w:r>
          </w:p>
        </w:tc>
      </w:tr>
      <w:tr w:rsidR="00F51914" w:rsidRPr="00B75F11" w:rsidTr="00F51914">
        <w:tc>
          <w:tcPr>
            <w:tcW w:w="1133" w:type="pct"/>
          </w:tcPr>
          <w:p w:rsidR="00F51914" w:rsidRPr="006C4920" w:rsidRDefault="00F51914" w:rsidP="00F51914">
            <w:pPr>
              <w:bidi w:val="0"/>
              <w:rPr>
                <w:rFonts w:asciiTheme="majorBidi" w:hAnsiTheme="majorBidi" w:cstheme="majorBidi"/>
              </w:rPr>
            </w:pPr>
            <w:r>
              <w:rPr>
                <w:rFonts w:asciiTheme="majorBidi" w:hAnsiTheme="majorBidi" w:cstheme="majorBidi"/>
              </w:rPr>
              <w:t>October 2023</w:t>
            </w:r>
          </w:p>
        </w:tc>
        <w:tc>
          <w:tcPr>
            <w:tcW w:w="1280" w:type="pct"/>
          </w:tcPr>
          <w:p w:rsidR="00F51914" w:rsidRPr="006C4920" w:rsidRDefault="00F51914" w:rsidP="00F51914">
            <w:pPr>
              <w:bidi w:val="0"/>
              <w:jc w:val="center"/>
              <w:rPr>
                <w:rFonts w:asciiTheme="majorBidi" w:hAnsiTheme="majorBidi" w:cstheme="majorBidi"/>
              </w:rPr>
            </w:pPr>
            <w:r>
              <w:rPr>
                <w:rFonts w:asciiTheme="majorBidi" w:hAnsiTheme="majorBidi" w:cstheme="majorBidi"/>
              </w:rPr>
              <w:t>95</w:t>
            </w:r>
          </w:p>
        </w:tc>
        <w:tc>
          <w:tcPr>
            <w:tcW w:w="1294" w:type="pct"/>
          </w:tcPr>
          <w:p w:rsidR="00F51914" w:rsidRPr="006C4920" w:rsidRDefault="00F51914" w:rsidP="00F51914">
            <w:pPr>
              <w:bidi w:val="0"/>
              <w:jc w:val="center"/>
              <w:rPr>
                <w:rFonts w:asciiTheme="majorBidi" w:hAnsiTheme="majorBidi" w:cstheme="majorBidi"/>
              </w:rPr>
            </w:pPr>
            <w:r>
              <w:rPr>
                <w:rFonts w:asciiTheme="majorBidi" w:hAnsiTheme="majorBidi" w:cstheme="majorBidi"/>
              </w:rPr>
              <w:t>0.4</w:t>
            </w:r>
          </w:p>
        </w:tc>
        <w:tc>
          <w:tcPr>
            <w:tcW w:w="1293" w:type="pct"/>
          </w:tcPr>
          <w:p w:rsidR="00F51914" w:rsidRDefault="00F51914" w:rsidP="00F51914">
            <w:pPr>
              <w:bidi w:val="0"/>
              <w:jc w:val="center"/>
              <w:rPr>
                <w:rFonts w:asciiTheme="majorBidi" w:hAnsiTheme="majorBidi" w:cstheme="majorBidi"/>
              </w:rPr>
            </w:pPr>
            <w:r>
              <w:rPr>
                <w:rFonts w:asciiTheme="majorBidi" w:hAnsiTheme="majorBidi" w:cstheme="majorBidi"/>
              </w:rPr>
              <w:t>8.2</w:t>
            </w:r>
          </w:p>
        </w:tc>
      </w:tr>
      <w:tr w:rsidR="00F51914" w:rsidRPr="00B75F11" w:rsidTr="00F51914">
        <w:tc>
          <w:tcPr>
            <w:tcW w:w="1133" w:type="pct"/>
          </w:tcPr>
          <w:p w:rsidR="00F51914" w:rsidRDefault="00F51914" w:rsidP="00F51914">
            <w:pPr>
              <w:bidi w:val="0"/>
              <w:rPr>
                <w:rFonts w:asciiTheme="majorBidi" w:hAnsiTheme="majorBidi" w:cstheme="majorBidi"/>
              </w:rPr>
            </w:pPr>
            <w:r>
              <w:rPr>
                <w:rFonts w:asciiTheme="majorBidi" w:hAnsiTheme="majorBidi" w:cstheme="majorBidi"/>
              </w:rPr>
              <w:t>November 2023</w:t>
            </w:r>
          </w:p>
        </w:tc>
        <w:tc>
          <w:tcPr>
            <w:tcW w:w="1280" w:type="pct"/>
          </w:tcPr>
          <w:p w:rsidR="00F51914" w:rsidRDefault="00F51914" w:rsidP="00F51914">
            <w:pPr>
              <w:bidi w:val="0"/>
              <w:jc w:val="center"/>
              <w:rPr>
                <w:rFonts w:asciiTheme="majorBidi" w:hAnsiTheme="majorBidi" w:cstheme="majorBidi"/>
              </w:rPr>
            </w:pPr>
            <w:r>
              <w:rPr>
                <w:rFonts w:asciiTheme="majorBidi" w:hAnsiTheme="majorBidi" w:cstheme="majorBidi"/>
              </w:rPr>
              <w:t>0</w:t>
            </w:r>
          </w:p>
        </w:tc>
        <w:tc>
          <w:tcPr>
            <w:tcW w:w="1294" w:type="pct"/>
          </w:tcPr>
          <w:p w:rsidR="00F51914" w:rsidRDefault="00F51914" w:rsidP="00F51914">
            <w:pPr>
              <w:bidi w:val="0"/>
              <w:jc w:val="center"/>
              <w:rPr>
                <w:rFonts w:asciiTheme="majorBidi" w:hAnsiTheme="majorBidi" w:cstheme="majorBidi"/>
              </w:rPr>
            </w:pPr>
            <w:r>
              <w:rPr>
                <w:rFonts w:asciiTheme="majorBidi" w:hAnsiTheme="majorBidi" w:cstheme="majorBidi"/>
              </w:rPr>
              <w:t>0</w:t>
            </w:r>
          </w:p>
        </w:tc>
        <w:tc>
          <w:tcPr>
            <w:tcW w:w="1293" w:type="pct"/>
          </w:tcPr>
          <w:p w:rsidR="00F51914" w:rsidRDefault="00F51914" w:rsidP="00F51914">
            <w:pPr>
              <w:bidi w:val="0"/>
              <w:jc w:val="center"/>
              <w:rPr>
                <w:rFonts w:asciiTheme="majorBidi" w:hAnsiTheme="majorBidi" w:cstheme="majorBidi"/>
              </w:rPr>
            </w:pPr>
            <w:r>
              <w:rPr>
                <w:rFonts w:asciiTheme="majorBidi" w:hAnsiTheme="majorBidi" w:cstheme="majorBidi"/>
              </w:rPr>
              <w:t>0.3</w:t>
            </w:r>
          </w:p>
        </w:tc>
      </w:tr>
    </w:tbl>
    <w:p w:rsidR="0053586C" w:rsidRDefault="005A3BF1" w:rsidP="004347DE">
      <w:pPr>
        <w:bidi w:val="0"/>
        <w:jc w:val="both"/>
      </w:pPr>
      <w:r w:rsidRPr="00B75F11">
        <w:t xml:space="preserve">The Bank of Israel operates several programs to deal with liquidity </w:t>
      </w:r>
      <w:r w:rsidR="00D45049">
        <w:t xml:space="preserve">difficulties </w:t>
      </w:r>
      <w:r w:rsidRPr="00B75F11">
        <w:t xml:space="preserve">that </w:t>
      </w:r>
      <w:r w:rsidR="003758AB">
        <w:t xml:space="preserve">have </w:t>
      </w:r>
      <w:r w:rsidRPr="00B75F11">
        <w:t xml:space="preserve">adversely impacted the financial system due to the </w:t>
      </w:r>
      <w:r w:rsidR="00493397">
        <w:t>war</w:t>
      </w:r>
      <w:r w:rsidRPr="00B75F11">
        <w:t xml:space="preserve">, </w:t>
      </w:r>
      <w:r w:rsidR="004347DE">
        <w:t xml:space="preserve">and </w:t>
      </w:r>
      <w:r w:rsidRPr="00B75F11">
        <w:t xml:space="preserve">to ensure the </w:t>
      </w:r>
      <w:r w:rsidR="00FD28C7">
        <w:t xml:space="preserve">orderly </w:t>
      </w:r>
      <w:r w:rsidRPr="00B75F11">
        <w:t>functioning of the financial markets</w:t>
      </w:r>
      <w:r w:rsidR="004347DE">
        <w:t xml:space="preserve"> </w:t>
      </w:r>
      <w:r w:rsidRPr="00B75F11">
        <w:t>and support economic activity and financial stability.</w:t>
      </w:r>
    </w:p>
    <w:p w:rsidR="00CD3B2E" w:rsidRDefault="00CD3B2E" w:rsidP="00CD3B2E">
      <w:pPr>
        <w:bidi w:val="0"/>
        <w:jc w:val="both"/>
      </w:pPr>
    </w:p>
    <w:p w:rsidR="00F82250" w:rsidRDefault="00F82250" w:rsidP="00F82250">
      <w:pPr>
        <w:bidi w:val="0"/>
        <w:jc w:val="both"/>
        <w:rPr>
          <w:b/>
          <w:bCs/>
        </w:rPr>
      </w:pPr>
      <w:r w:rsidRPr="00B8150D">
        <w:rPr>
          <w:b/>
          <w:bCs/>
        </w:rPr>
        <w:t>Programs that have been activated to date:</w:t>
      </w:r>
    </w:p>
    <w:p w:rsidR="00B8150D" w:rsidRPr="00B8150D" w:rsidRDefault="00B8150D" w:rsidP="00B8150D">
      <w:pPr>
        <w:bidi w:val="0"/>
        <w:jc w:val="both"/>
        <w:rPr>
          <w:b/>
          <w:bCs/>
        </w:rPr>
      </w:pPr>
    </w:p>
    <w:p w:rsidR="00F82250" w:rsidRDefault="00F82250" w:rsidP="00B8150D">
      <w:pPr>
        <w:pStyle w:val="a3"/>
        <w:numPr>
          <w:ilvl w:val="0"/>
          <w:numId w:val="4"/>
        </w:numPr>
        <w:bidi w:val="0"/>
        <w:jc w:val="both"/>
      </w:pPr>
      <w:r>
        <w:t xml:space="preserve">Sale </w:t>
      </w:r>
      <w:r w:rsidR="00B8150D">
        <w:t xml:space="preserve">of </w:t>
      </w:r>
      <w:r w:rsidR="003106EC">
        <w:t xml:space="preserve">up to </w:t>
      </w:r>
      <w:r>
        <w:t>$30 billion of foreign exchange in order to moderate the fluctuations in the value of the shekel and to supply the liquidity required for continued orderly activity of the markets.</w:t>
      </w:r>
    </w:p>
    <w:p w:rsidR="00F82250" w:rsidRDefault="00F82250" w:rsidP="00B8150D">
      <w:pPr>
        <w:pStyle w:val="a3"/>
        <w:numPr>
          <w:ilvl w:val="0"/>
          <w:numId w:val="4"/>
        </w:numPr>
        <w:bidi w:val="0"/>
        <w:jc w:val="both"/>
      </w:pPr>
      <w:r>
        <w:t xml:space="preserve">Supply </w:t>
      </w:r>
      <w:r w:rsidR="00B8150D">
        <w:t xml:space="preserve">of </w:t>
      </w:r>
      <w:r>
        <w:t>the required liquidity to the foreign exchange market by executing up to $15 billion in swap transactions.</w:t>
      </w:r>
    </w:p>
    <w:p w:rsidR="00F82250" w:rsidRDefault="00F82250" w:rsidP="00B8150D">
      <w:pPr>
        <w:pStyle w:val="a3"/>
        <w:numPr>
          <w:ilvl w:val="0"/>
          <w:numId w:val="4"/>
        </w:numPr>
        <w:bidi w:val="0"/>
        <w:jc w:val="both"/>
      </w:pPr>
      <w:r>
        <w:lastRenderedPageBreak/>
        <w:t>Carry</w:t>
      </w:r>
      <w:r w:rsidR="00B8150D">
        <w:t xml:space="preserve"> </w:t>
      </w:r>
      <w:r>
        <w:t>out repo transactions vis-à-vis institutional entities and mutual funds using corporate bonds and/or government bonds as collateral with the goal of maintaining the orderly activity of the markets.</w:t>
      </w:r>
    </w:p>
    <w:p w:rsidR="00F51914" w:rsidRDefault="00F51914" w:rsidP="00F51914">
      <w:pPr>
        <w:pStyle w:val="a3"/>
        <w:numPr>
          <w:ilvl w:val="0"/>
          <w:numId w:val="4"/>
        </w:numPr>
        <w:bidi w:val="0"/>
        <w:jc w:val="both"/>
      </w:pPr>
      <w:r>
        <w:t>A monetary program to ease the terms of credit for small and micro businesses that were harmed by the war.  As part of this, subject to credit given to small and micro businesses in accordance with the terms set:</w:t>
      </w:r>
    </w:p>
    <w:p w:rsidR="00F51914" w:rsidRDefault="00F51914" w:rsidP="00F51914">
      <w:pPr>
        <w:pStyle w:val="a3"/>
        <w:numPr>
          <w:ilvl w:val="1"/>
          <w:numId w:val="4"/>
        </w:numPr>
        <w:bidi w:val="0"/>
        <w:jc w:val="both"/>
      </w:pPr>
      <w:r>
        <w:t>The Bank of Israel will provide monetary loans to the banks totaling up to NIS 10 billion.</w:t>
      </w:r>
    </w:p>
    <w:p w:rsidR="00F51914" w:rsidRDefault="00F51914" w:rsidP="00F51914">
      <w:pPr>
        <w:pStyle w:val="a3"/>
        <w:numPr>
          <w:ilvl w:val="1"/>
          <w:numId w:val="4"/>
        </w:numPr>
        <w:bidi w:val="0"/>
        <w:jc w:val="both"/>
      </w:pPr>
      <w:r>
        <w:t>The Bank of Israel will enable supervised nonbank credit providers to conduct repo transactions with it, totaling up to NIS 1 billion.</w:t>
      </w:r>
    </w:p>
    <w:p w:rsidR="00F82250" w:rsidRPr="00B75F11" w:rsidRDefault="00F82250" w:rsidP="00F82250">
      <w:pPr>
        <w:bidi w:val="0"/>
        <w:jc w:val="both"/>
      </w:pPr>
    </w:p>
    <w:p w:rsidR="00B75F11" w:rsidRDefault="00B75F11" w:rsidP="0092176C">
      <w:pPr>
        <w:bidi w:val="0"/>
      </w:pPr>
    </w:p>
    <w:sectPr w:rsidR="00B75F11" w:rsidSect="00665E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D8" w:rsidRDefault="006B30D8" w:rsidP="00920780">
      <w:r>
        <w:separator/>
      </w:r>
    </w:p>
  </w:endnote>
  <w:endnote w:type="continuationSeparator" w:id="0">
    <w:p w:rsidR="006B30D8" w:rsidRDefault="006B30D8" w:rsidP="0092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D8" w:rsidRDefault="006B30D8" w:rsidP="00920780">
      <w:r>
        <w:separator/>
      </w:r>
    </w:p>
  </w:footnote>
  <w:footnote w:type="continuationSeparator" w:id="0">
    <w:p w:rsidR="006B30D8" w:rsidRDefault="006B30D8" w:rsidP="00920780">
      <w:r>
        <w:continuationSeparator/>
      </w:r>
    </w:p>
  </w:footnote>
  <w:footnote w:id="1">
    <w:p w:rsidR="00F51914" w:rsidRDefault="00F51914" w:rsidP="00F51914">
      <w:pPr>
        <w:pStyle w:val="a5"/>
        <w:bidi w:val="0"/>
      </w:pPr>
      <w:r>
        <w:rPr>
          <w:rStyle w:val="a7"/>
        </w:rPr>
        <w:footnoteRef/>
      </w:r>
      <w:r>
        <w:rPr>
          <w:rtl/>
        </w:rPr>
        <w:t xml:space="preserve"> </w:t>
      </w:r>
      <w:r>
        <w:t xml:space="preserve">See the press release on the Bank of Israel website regarding swap transactions up to a total of $15 billion, from October 9, 2023: </w:t>
      </w:r>
      <w:hyperlink r:id="rId1" w:history="1">
        <w:r w:rsidRPr="00BC643B">
          <w:rPr>
            <w:rStyle w:val="Hyperlink"/>
          </w:rPr>
          <w:t>https://www.boi.org.il/en/communication-and-publications/press-releases/a09-10-23/</w:t>
        </w:r>
      </w:hyperlink>
      <w:r>
        <w:t xml:space="preserve"> </w:t>
      </w:r>
    </w:p>
  </w:footnote>
  <w:footnote w:id="2">
    <w:p w:rsidR="00F51914" w:rsidRDefault="00F51914" w:rsidP="00F51914">
      <w:pPr>
        <w:pStyle w:val="a5"/>
        <w:bidi w:val="0"/>
      </w:pPr>
      <w:r>
        <w:rPr>
          <w:rStyle w:val="a7"/>
        </w:rPr>
        <w:footnoteRef/>
      </w:r>
      <w:r>
        <w:rPr>
          <w:rtl/>
        </w:rPr>
        <w:t xml:space="preserve"> </w:t>
      </w:r>
      <w:r>
        <w:t xml:space="preserve">See the press release on the Bank of Israel website regarding foreign exchange sales of up to a total of $30 billion on October 9, 2023: </w:t>
      </w:r>
      <w:hyperlink r:id="rId2" w:history="1">
        <w:r w:rsidRPr="00BC643B">
          <w:rPr>
            <w:rStyle w:val="Hyperlink"/>
          </w:rPr>
          <w:t>https://www.boi.org.il/en/communication-and-publications/press-releases/a09-10-23/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742"/>
    <w:multiLevelType w:val="hybridMultilevel"/>
    <w:tmpl w:val="5592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F4"/>
    <w:multiLevelType w:val="hybridMultilevel"/>
    <w:tmpl w:val="DD42AA68"/>
    <w:lvl w:ilvl="0" w:tplc="E1CE3C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F60C6"/>
    <w:multiLevelType w:val="hybridMultilevel"/>
    <w:tmpl w:val="A0485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6E58B4"/>
    <w:multiLevelType w:val="hybridMultilevel"/>
    <w:tmpl w:val="701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7E"/>
    <w:rsid w:val="00007FC3"/>
    <w:rsid w:val="00010615"/>
    <w:rsid w:val="00010BFD"/>
    <w:rsid w:val="00012660"/>
    <w:rsid w:val="00012C09"/>
    <w:rsid w:val="000143E0"/>
    <w:rsid w:val="00015DE2"/>
    <w:rsid w:val="00017C78"/>
    <w:rsid w:val="00025453"/>
    <w:rsid w:val="00026C3E"/>
    <w:rsid w:val="00032CED"/>
    <w:rsid w:val="0003459A"/>
    <w:rsid w:val="00040393"/>
    <w:rsid w:val="0004214D"/>
    <w:rsid w:val="00063C66"/>
    <w:rsid w:val="00064A23"/>
    <w:rsid w:val="00071DAD"/>
    <w:rsid w:val="000727BB"/>
    <w:rsid w:val="00073370"/>
    <w:rsid w:val="000753CE"/>
    <w:rsid w:val="000769D1"/>
    <w:rsid w:val="000820F7"/>
    <w:rsid w:val="000839CA"/>
    <w:rsid w:val="000849B5"/>
    <w:rsid w:val="00086448"/>
    <w:rsid w:val="00086627"/>
    <w:rsid w:val="00090B48"/>
    <w:rsid w:val="000A0731"/>
    <w:rsid w:val="000A0C5F"/>
    <w:rsid w:val="000A4062"/>
    <w:rsid w:val="000A4A6F"/>
    <w:rsid w:val="000A678D"/>
    <w:rsid w:val="000B07F7"/>
    <w:rsid w:val="000B19B0"/>
    <w:rsid w:val="000B2AA1"/>
    <w:rsid w:val="000B334F"/>
    <w:rsid w:val="000B763D"/>
    <w:rsid w:val="000B7AE2"/>
    <w:rsid w:val="000C6F57"/>
    <w:rsid w:val="000D6077"/>
    <w:rsid w:val="000E2354"/>
    <w:rsid w:val="001024DE"/>
    <w:rsid w:val="00110E50"/>
    <w:rsid w:val="001271D0"/>
    <w:rsid w:val="00140393"/>
    <w:rsid w:val="0014414B"/>
    <w:rsid w:val="0015069B"/>
    <w:rsid w:val="00155E25"/>
    <w:rsid w:val="00156608"/>
    <w:rsid w:val="00160F3B"/>
    <w:rsid w:val="00163723"/>
    <w:rsid w:val="00164316"/>
    <w:rsid w:val="001904A5"/>
    <w:rsid w:val="00192ACA"/>
    <w:rsid w:val="001A244E"/>
    <w:rsid w:val="001D5C8D"/>
    <w:rsid w:val="001E0811"/>
    <w:rsid w:val="001E35F6"/>
    <w:rsid w:val="001F2987"/>
    <w:rsid w:val="001F6673"/>
    <w:rsid w:val="001F6C5C"/>
    <w:rsid w:val="0020386B"/>
    <w:rsid w:val="00220CF5"/>
    <w:rsid w:val="00221A9C"/>
    <w:rsid w:val="0026335A"/>
    <w:rsid w:val="00265DBA"/>
    <w:rsid w:val="00266979"/>
    <w:rsid w:val="00267136"/>
    <w:rsid w:val="00273F29"/>
    <w:rsid w:val="00280D35"/>
    <w:rsid w:val="00281E7A"/>
    <w:rsid w:val="00283857"/>
    <w:rsid w:val="0028463A"/>
    <w:rsid w:val="0029697B"/>
    <w:rsid w:val="002B144B"/>
    <w:rsid w:val="002B210A"/>
    <w:rsid w:val="002B68A7"/>
    <w:rsid w:val="002B7294"/>
    <w:rsid w:val="002C2805"/>
    <w:rsid w:val="002C5C50"/>
    <w:rsid w:val="002D105A"/>
    <w:rsid w:val="002D2A33"/>
    <w:rsid w:val="002D7213"/>
    <w:rsid w:val="002E1794"/>
    <w:rsid w:val="002E499F"/>
    <w:rsid w:val="002F4D1E"/>
    <w:rsid w:val="002F6ABE"/>
    <w:rsid w:val="00305846"/>
    <w:rsid w:val="003106EC"/>
    <w:rsid w:val="00310E78"/>
    <w:rsid w:val="00324F51"/>
    <w:rsid w:val="00332BCC"/>
    <w:rsid w:val="0033630B"/>
    <w:rsid w:val="00343475"/>
    <w:rsid w:val="00344763"/>
    <w:rsid w:val="00347AE2"/>
    <w:rsid w:val="00351B2B"/>
    <w:rsid w:val="00363C26"/>
    <w:rsid w:val="003653DD"/>
    <w:rsid w:val="00374DF6"/>
    <w:rsid w:val="003758AB"/>
    <w:rsid w:val="003774FB"/>
    <w:rsid w:val="00381CD7"/>
    <w:rsid w:val="0038401A"/>
    <w:rsid w:val="00390DE4"/>
    <w:rsid w:val="003962FD"/>
    <w:rsid w:val="00397CED"/>
    <w:rsid w:val="003A0160"/>
    <w:rsid w:val="003A4291"/>
    <w:rsid w:val="003B7B3A"/>
    <w:rsid w:val="003C0E9F"/>
    <w:rsid w:val="003C56E2"/>
    <w:rsid w:val="003D2602"/>
    <w:rsid w:val="003D7814"/>
    <w:rsid w:val="003E4C68"/>
    <w:rsid w:val="003F20DB"/>
    <w:rsid w:val="003F21C5"/>
    <w:rsid w:val="003F2D9D"/>
    <w:rsid w:val="004011B4"/>
    <w:rsid w:val="00410B09"/>
    <w:rsid w:val="00410C06"/>
    <w:rsid w:val="004116FA"/>
    <w:rsid w:val="0041237A"/>
    <w:rsid w:val="004153BF"/>
    <w:rsid w:val="004179B4"/>
    <w:rsid w:val="00427DE4"/>
    <w:rsid w:val="0043467A"/>
    <w:rsid w:val="004347DE"/>
    <w:rsid w:val="00435D72"/>
    <w:rsid w:val="0044194D"/>
    <w:rsid w:val="00444615"/>
    <w:rsid w:val="0045028A"/>
    <w:rsid w:val="00454E54"/>
    <w:rsid w:val="00464CA8"/>
    <w:rsid w:val="004771B2"/>
    <w:rsid w:val="00486772"/>
    <w:rsid w:val="00493397"/>
    <w:rsid w:val="004A1427"/>
    <w:rsid w:val="004A3006"/>
    <w:rsid w:val="004A41DC"/>
    <w:rsid w:val="004C248F"/>
    <w:rsid w:val="004D1AB2"/>
    <w:rsid w:val="004D3426"/>
    <w:rsid w:val="004D4351"/>
    <w:rsid w:val="004D7102"/>
    <w:rsid w:val="004F4ED4"/>
    <w:rsid w:val="005034D7"/>
    <w:rsid w:val="0051082B"/>
    <w:rsid w:val="00516ECF"/>
    <w:rsid w:val="005239BE"/>
    <w:rsid w:val="00530EEC"/>
    <w:rsid w:val="0053586C"/>
    <w:rsid w:val="00536EBA"/>
    <w:rsid w:val="00540969"/>
    <w:rsid w:val="0054562D"/>
    <w:rsid w:val="0054629B"/>
    <w:rsid w:val="00552A2C"/>
    <w:rsid w:val="005760A4"/>
    <w:rsid w:val="00577B85"/>
    <w:rsid w:val="00585DD0"/>
    <w:rsid w:val="00592BAB"/>
    <w:rsid w:val="00594CF2"/>
    <w:rsid w:val="00597C7B"/>
    <w:rsid w:val="005A0444"/>
    <w:rsid w:val="005A0880"/>
    <w:rsid w:val="005A10CF"/>
    <w:rsid w:val="005A3BF1"/>
    <w:rsid w:val="005B0DD7"/>
    <w:rsid w:val="005B34F6"/>
    <w:rsid w:val="005B5D63"/>
    <w:rsid w:val="005C5CCD"/>
    <w:rsid w:val="005D0ADE"/>
    <w:rsid w:val="00601AAD"/>
    <w:rsid w:val="0060571D"/>
    <w:rsid w:val="00610FCD"/>
    <w:rsid w:val="006136B6"/>
    <w:rsid w:val="00614643"/>
    <w:rsid w:val="00625CE6"/>
    <w:rsid w:val="00633D73"/>
    <w:rsid w:val="0064101B"/>
    <w:rsid w:val="0064320B"/>
    <w:rsid w:val="0064450A"/>
    <w:rsid w:val="006548EB"/>
    <w:rsid w:val="00655377"/>
    <w:rsid w:val="00662719"/>
    <w:rsid w:val="00662E43"/>
    <w:rsid w:val="00663C40"/>
    <w:rsid w:val="00665E8D"/>
    <w:rsid w:val="00670228"/>
    <w:rsid w:val="00673DCC"/>
    <w:rsid w:val="00681938"/>
    <w:rsid w:val="00686B32"/>
    <w:rsid w:val="006A2DE0"/>
    <w:rsid w:val="006A66C6"/>
    <w:rsid w:val="006B2EC1"/>
    <w:rsid w:val="006B30D8"/>
    <w:rsid w:val="006B3ABD"/>
    <w:rsid w:val="006C4920"/>
    <w:rsid w:val="006C4F49"/>
    <w:rsid w:val="006C5A9C"/>
    <w:rsid w:val="006C73FB"/>
    <w:rsid w:val="006E547C"/>
    <w:rsid w:val="006F46BD"/>
    <w:rsid w:val="006F7BFA"/>
    <w:rsid w:val="00700201"/>
    <w:rsid w:val="0071139B"/>
    <w:rsid w:val="00711FC2"/>
    <w:rsid w:val="00723C17"/>
    <w:rsid w:val="00723C96"/>
    <w:rsid w:val="00723CD0"/>
    <w:rsid w:val="00725C38"/>
    <w:rsid w:val="007535EC"/>
    <w:rsid w:val="007729DF"/>
    <w:rsid w:val="0077538C"/>
    <w:rsid w:val="00775B12"/>
    <w:rsid w:val="00790DD4"/>
    <w:rsid w:val="007A0116"/>
    <w:rsid w:val="007A339D"/>
    <w:rsid w:val="007A508E"/>
    <w:rsid w:val="007B063C"/>
    <w:rsid w:val="007B1270"/>
    <w:rsid w:val="007B4CA4"/>
    <w:rsid w:val="007C38A1"/>
    <w:rsid w:val="007C64BC"/>
    <w:rsid w:val="007D36F4"/>
    <w:rsid w:val="007F1264"/>
    <w:rsid w:val="00806B7B"/>
    <w:rsid w:val="00807334"/>
    <w:rsid w:val="00815C84"/>
    <w:rsid w:val="00816336"/>
    <w:rsid w:val="0081788D"/>
    <w:rsid w:val="008212E7"/>
    <w:rsid w:val="00824259"/>
    <w:rsid w:val="008343D8"/>
    <w:rsid w:val="008429B3"/>
    <w:rsid w:val="00842BF1"/>
    <w:rsid w:val="008451F3"/>
    <w:rsid w:val="00847591"/>
    <w:rsid w:val="00850A16"/>
    <w:rsid w:val="00850C3B"/>
    <w:rsid w:val="00853A1B"/>
    <w:rsid w:val="00857C06"/>
    <w:rsid w:val="00867631"/>
    <w:rsid w:val="00867815"/>
    <w:rsid w:val="0087170D"/>
    <w:rsid w:val="00883632"/>
    <w:rsid w:val="008A4992"/>
    <w:rsid w:val="008A75F8"/>
    <w:rsid w:val="008C00C5"/>
    <w:rsid w:val="008C02F3"/>
    <w:rsid w:val="008D1300"/>
    <w:rsid w:val="008D30E9"/>
    <w:rsid w:val="008D496C"/>
    <w:rsid w:val="008F149C"/>
    <w:rsid w:val="008F34A7"/>
    <w:rsid w:val="008F35CA"/>
    <w:rsid w:val="009010ED"/>
    <w:rsid w:val="00904AF2"/>
    <w:rsid w:val="00914619"/>
    <w:rsid w:val="00914D4B"/>
    <w:rsid w:val="00920780"/>
    <w:rsid w:val="0092176C"/>
    <w:rsid w:val="00922DE1"/>
    <w:rsid w:val="00936226"/>
    <w:rsid w:val="009407F6"/>
    <w:rsid w:val="009512BD"/>
    <w:rsid w:val="00952AA7"/>
    <w:rsid w:val="0096266C"/>
    <w:rsid w:val="009661FC"/>
    <w:rsid w:val="00977C16"/>
    <w:rsid w:val="00981751"/>
    <w:rsid w:val="00994436"/>
    <w:rsid w:val="00994A5B"/>
    <w:rsid w:val="00996822"/>
    <w:rsid w:val="009A0038"/>
    <w:rsid w:val="009A7E18"/>
    <w:rsid w:val="009B2DFB"/>
    <w:rsid w:val="009B3BD5"/>
    <w:rsid w:val="009B76AC"/>
    <w:rsid w:val="009C5C2E"/>
    <w:rsid w:val="009C6FD2"/>
    <w:rsid w:val="009D66E1"/>
    <w:rsid w:val="009D7E59"/>
    <w:rsid w:val="009E2C2D"/>
    <w:rsid w:val="009E2D6C"/>
    <w:rsid w:val="009E5D6E"/>
    <w:rsid w:val="009F074F"/>
    <w:rsid w:val="009F5515"/>
    <w:rsid w:val="009F6C39"/>
    <w:rsid w:val="00A01E39"/>
    <w:rsid w:val="00A0512F"/>
    <w:rsid w:val="00A06674"/>
    <w:rsid w:val="00A136BF"/>
    <w:rsid w:val="00A2583B"/>
    <w:rsid w:val="00A5611A"/>
    <w:rsid w:val="00A64794"/>
    <w:rsid w:val="00A65405"/>
    <w:rsid w:val="00A813C3"/>
    <w:rsid w:val="00A829B4"/>
    <w:rsid w:val="00A93DD7"/>
    <w:rsid w:val="00A9675F"/>
    <w:rsid w:val="00AA32A5"/>
    <w:rsid w:val="00AB030C"/>
    <w:rsid w:val="00AB0F3A"/>
    <w:rsid w:val="00AD5885"/>
    <w:rsid w:val="00AE744B"/>
    <w:rsid w:val="00AF0872"/>
    <w:rsid w:val="00B072C3"/>
    <w:rsid w:val="00B10BAD"/>
    <w:rsid w:val="00B14E5D"/>
    <w:rsid w:val="00B231C6"/>
    <w:rsid w:val="00B27A58"/>
    <w:rsid w:val="00B27BDB"/>
    <w:rsid w:val="00B37AC0"/>
    <w:rsid w:val="00B46750"/>
    <w:rsid w:val="00B50846"/>
    <w:rsid w:val="00B62A80"/>
    <w:rsid w:val="00B7428E"/>
    <w:rsid w:val="00B7503F"/>
    <w:rsid w:val="00B75F11"/>
    <w:rsid w:val="00B76B42"/>
    <w:rsid w:val="00B80D90"/>
    <w:rsid w:val="00B8150D"/>
    <w:rsid w:val="00B81D0A"/>
    <w:rsid w:val="00B83955"/>
    <w:rsid w:val="00B9561B"/>
    <w:rsid w:val="00B95F51"/>
    <w:rsid w:val="00B96E86"/>
    <w:rsid w:val="00BA3E3F"/>
    <w:rsid w:val="00BA4541"/>
    <w:rsid w:val="00BD7890"/>
    <w:rsid w:val="00BE0157"/>
    <w:rsid w:val="00BE2DA1"/>
    <w:rsid w:val="00BF3318"/>
    <w:rsid w:val="00BF4BBC"/>
    <w:rsid w:val="00BF4D03"/>
    <w:rsid w:val="00C107B7"/>
    <w:rsid w:val="00C12B62"/>
    <w:rsid w:val="00C2398B"/>
    <w:rsid w:val="00C23C86"/>
    <w:rsid w:val="00C31579"/>
    <w:rsid w:val="00C44335"/>
    <w:rsid w:val="00C447EC"/>
    <w:rsid w:val="00C470B8"/>
    <w:rsid w:val="00C50278"/>
    <w:rsid w:val="00C50BC3"/>
    <w:rsid w:val="00C575A9"/>
    <w:rsid w:val="00C87A02"/>
    <w:rsid w:val="00CA1101"/>
    <w:rsid w:val="00CA2795"/>
    <w:rsid w:val="00CA47A4"/>
    <w:rsid w:val="00CB1B17"/>
    <w:rsid w:val="00CB3573"/>
    <w:rsid w:val="00CB5BBF"/>
    <w:rsid w:val="00CD3B2E"/>
    <w:rsid w:val="00CD6234"/>
    <w:rsid w:val="00CE0AD9"/>
    <w:rsid w:val="00CE3B7E"/>
    <w:rsid w:val="00CE4CC3"/>
    <w:rsid w:val="00D06292"/>
    <w:rsid w:val="00D12B6E"/>
    <w:rsid w:val="00D12BBF"/>
    <w:rsid w:val="00D25B69"/>
    <w:rsid w:val="00D26720"/>
    <w:rsid w:val="00D37BA5"/>
    <w:rsid w:val="00D42F2B"/>
    <w:rsid w:val="00D45049"/>
    <w:rsid w:val="00D45481"/>
    <w:rsid w:val="00D536A8"/>
    <w:rsid w:val="00D56C54"/>
    <w:rsid w:val="00D605C3"/>
    <w:rsid w:val="00D704EB"/>
    <w:rsid w:val="00D71306"/>
    <w:rsid w:val="00D741FE"/>
    <w:rsid w:val="00D753D5"/>
    <w:rsid w:val="00D867C6"/>
    <w:rsid w:val="00DA6195"/>
    <w:rsid w:val="00DB2B38"/>
    <w:rsid w:val="00DB5154"/>
    <w:rsid w:val="00DB7B8B"/>
    <w:rsid w:val="00DD2CB6"/>
    <w:rsid w:val="00DD40A9"/>
    <w:rsid w:val="00DD6D2C"/>
    <w:rsid w:val="00DE0D0C"/>
    <w:rsid w:val="00DE6FE1"/>
    <w:rsid w:val="00DE75D1"/>
    <w:rsid w:val="00DF2FE5"/>
    <w:rsid w:val="00E01389"/>
    <w:rsid w:val="00E04D76"/>
    <w:rsid w:val="00E10BB8"/>
    <w:rsid w:val="00E16F07"/>
    <w:rsid w:val="00E23AE4"/>
    <w:rsid w:val="00E4351D"/>
    <w:rsid w:val="00E563D8"/>
    <w:rsid w:val="00E56A8E"/>
    <w:rsid w:val="00E65C77"/>
    <w:rsid w:val="00E70484"/>
    <w:rsid w:val="00E70A78"/>
    <w:rsid w:val="00E83216"/>
    <w:rsid w:val="00E90861"/>
    <w:rsid w:val="00E9269F"/>
    <w:rsid w:val="00E92A33"/>
    <w:rsid w:val="00EA12DF"/>
    <w:rsid w:val="00EC3F75"/>
    <w:rsid w:val="00EC61DE"/>
    <w:rsid w:val="00ED3620"/>
    <w:rsid w:val="00ED4C2D"/>
    <w:rsid w:val="00ED6690"/>
    <w:rsid w:val="00EE26DF"/>
    <w:rsid w:val="00EE2F7A"/>
    <w:rsid w:val="00EF4E35"/>
    <w:rsid w:val="00EF7DB7"/>
    <w:rsid w:val="00F027AB"/>
    <w:rsid w:val="00F037D4"/>
    <w:rsid w:val="00F0792D"/>
    <w:rsid w:val="00F20410"/>
    <w:rsid w:val="00F44F3B"/>
    <w:rsid w:val="00F46514"/>
    <w:rsid w:val="00F51914"/>
    <w:rsid w:val="00F57EFF"/>
    <w:rsid w:val="00F60B30"/>
    <w:rsid w:val="00F64050"/>
    <w:rsid w:val="00F67E20"/>
    <w:rsid w:val="00F71857"/>
    <w:rsid w:val="00F73FE6"/>
    <w:rsid w:val="00F74CC2"/>
    <w:rsid w:val="00F82119"/>
    <w:rsid w:val="00F82250"/>
    <w:rsid w:val="00F824DC"/>
    <w:rsid w:val="00F82E38"/>
    <w:rsid w:val="00F96FC2"/>
    <w:rsid w:val="00FA095B"/>
    <w:rsid w:val="00FA342C"/>
    <w:rsid w:val="00FB7A5D"/>
    <w:rsid w:val="00FD28C7"/>
    <w:rsid w:val="00FE346D"/>
    <w:rsid w:val="00FF199B"/>
    <w:rsid w:val="00FF39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127A0-0376-482C-91AE-BD0B9807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7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rsid w:val="00CE3B7E"/>
    <w:pPr>
      <w:bidi w:val="0"/>
      <w:spacing w:line="300" w:lineRule="exact"/>
      <w:ind w:firstLine="240"/>
      <w:jc w:val="both"/>
    </w:pPr>
    <w:rPr>
      <w:rFonts w:ascii="Times" w:hAnsi="Times" w:cs="Times"/>
    </w:rPr>
  </w:style>
  <w:style w:type="paragraph" w:styleId="a3">
    <w:name w:val="List Paragraph"/>
    <w:basedOn w:val="a"/>
    <w:uiPriority w:val="34"/>
    <w:qFormat/>
    <w:rsid w:val="00815C84"/>
    <w:pPr>
      <w:ind w:left="720"/>
      <w:contextualSpacing/>
    </w:pPr>
  </w:style>
  <w:style w:type="table" w:styleId="a4">
    <w:name w:val="Table Grid"/>
    <w:basedOn w:val="a1"/>
    <w:uiPriority w:val="59"/>
    <w:rsid w:val="00B7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4771B2"/>
    <w:rPr>
      <w:color w:val="0000FF" w:themeColor="hyperlink"/>
      <w:u w:val="single"/>
    </w:rPr>
  </w:style>
  <w:style w:type="paragraph" w:styleId="a5">
    <w:name w:val="footnote text"/>
    <w:basedOn w:val="a"/>
    <w:link w:val="a6"/>
    <w:uiPriority w:val="99"/>
    <w:semiHidden/>
    <w:unhideWhenUsed/>
    <w:rsid w:val="00920780"/>
    <w:rPr>
      <w:sz w:val="20"/>
      <w:szCs w:val="20"/>
    </w:rPr>
  </w:style>
  <w:style w:type="character" w:customStyle="1" w:styleId="a6">
    <w:name w:val="טקסט הערת שוליים תו"/>
    <w:basedOn w:val="a0"/>
    <w:link w:val="a5"/>
    <w:uiPriority w:val="99"/>
    <w:semiHidden/>
    <w:rsid w:val="00920780"/>
    <w:rPr>
      <w:rFonts w:ascii="Times New Roman" w:eastAsia="Times New Roman" w:hAnsi="Times New Roman" w:cs="Times New Roman"/>
      <w:sz w:val="20"/>
      <w:szCs w:val="20"/>
    </w:rPr>
  </w:style>
  <w:style w:type="character" w:styleId="a7">
    <w:name w:val="footnote reference"/>
    <w:basedOn w:val="a0"/>
    <w:uiPriority w:val="99"/>
    <w:semiHidden/>
    <w:unhideWhenUsed/>
    <w:rsid w:val="00920780"/>
    <w:rPr>
      <w:vertAlign w:val="superscript"/>
    </w:rPr>
  </w:style>
  <w:style w:type="character" w:customStyle="1" w:styleId="UnresolvedMention1">
    <w:name w:val="Unresolved Mention1"/>
    <w:basedOn w:val="a0"/>
    <w:uiPriority w:val="99"/>
    <w:semiHidden/>
    <w:unhideWhenUsed/>
    <w:rsid w:val="00920780"/>
    <w:rPr>
      <w:color w:val="605E5C"/>
      <w:shd w:val="clear" w:color="auto" w:fill="E1DFDD"/>
    </w:rPr>
  </w:style>
  <w:style w:type="character" w:customStyle="1" w:styleId="UnresolvedMention">
    <w:name w:val="Unresolved Mention"/>
    <w:basedOn w:val="a0"/>
    <w:uiPriority w:val="99"/>
    <w:semiHidden/>
    <w:unhideWhenUsed/>
    <w:rsid w:val="00F0792D"/>
    <w:rPr>
      <w:color w:val="605E5C"/>
      <w:shd w:val="clear" w:color="auto" w:fill="E1DFDD"/>
    </w:rPr>
  </w:style>
  <w:style w:type="character" w:styleId="FollowedHyperlink">
    <w:name w:val="FollowedHyperlink"/>
    <w:basedOn w:val="a0"/>
    <w:uiPriority w:val="99"/>
    <w:semiHidden/>
    <w:unhideWhenUsed/>
    <w:rsid w:val="00072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NewsAndPublications/PressReleases/Pages/18-3-2020.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NewsAndPublications/PressReleases/Pages/18-3-2020.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oi.org.il/en/communication-and-publications/press-releases/a09-10-23/" TargetMode="External"/><Relationship Id="rId1" Type="http://schemas.openxmlformats.org/officeDocument/2006/relationships/hyperlink" Target="https://www.boi.org.il/en/communication-and-publications/press-releases/a09-1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C900-6A60-4A5A-A8FC-06A69D2964F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C2917B-F273-40F2-BCCC-D4DA4058185C}">
  <ds:schemaRefs>
    <ds:schemaRef ds:uri="http://schemas.microsoft.com/sharepoint/v3/contenttype/forms"/>
  </ds:schemaRefs>
</ds:datastoreItem>
</file>

<file path=customXml/itemProps3.xml><?xml version="1.0" encoding="utf-8"?>
<ds:datastoreItem xmlns:ds="http://schemas.openxmlformats.org/officeDocument/2006/customXml" ds:itemID="{2AAAEF4C-5AD0-4AFA-A331-6ADAA1AF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F700C-56E6-4A4F-B394-87C1C02B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1715</Characters>
  <Application>Microsoft Office Word</Application>
  <DocSecurity>4</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נטע כלפון</cp:lastModifiedBy>
  <cp:revision>2</cp:revision>
  <dcterms:created xsi:type="dcterms:W3CDTF">2023-12-07T11:31:00Z</dcterms:created>
  <dcterms:modified xsi:type="dcterms:W3CDTF">2023-12-07T11:31:00Z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