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D665D9" w:rsidRPr="00D074B4" w14:paraId="52495438" w14:textId="77777777" w:rsidTr="0031039D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D142" w14:textId="77777777" w:rsidR="00D665D9" w:rsidRPr="00D074B4" w:rsidRDefault="00D665D9" w:rsidP="00D665D9">
            <w:pPr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D074B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14:paraId="5552AA97" w14:textId="77777777" w:rsidR="00D665D9" w:rsidRPr="00D074B4" w:rsidRDefault="00D665D9" w:rsidP="00D665D9">
            <w:pPr>
              <w:overflowPunct/>
              <w:autoSpaceDE/>
              <w:autoSpaceDN/>
              <w:adjustRightInd/>
              <w:spacing w:after="160" w:line="360" w:lineRule="auto"/>
              <w:ind w:right="-101"/>
              <w:jc w:val="center"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074B4">
              <w:rPr>
                <w:rFonts w:asciiTheme="minorHAnsi" w:eastAsiaTheme="minorHAnsi" w:hAnsi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F6745FC" w14:textId="77777777" w:rsidR="00D665D9" w:rsidRPr="00D074B4" w:rsidRDefault="00D665D9" w:rsidP="00D665D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074B4">
              <w:rPr>
                <w:rFonts w:asciiTheme="minorHAnsi" w:eastAsia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1109FA5" wp14:editId="75C93C1A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4BA4D" w14:textId="77777777" w:rsidR="00D665D9" w:rsidRPr="00D074B4" w:rsidRDefault="00D665D9" w:rsidP="00F62CE3">
            <w:pPr>
              <w:overflowPunct/>
              <w:autoSpaceDE/>
              <w:autoSpaceDN/>
              <w:adjustRightInd/>
              <w:spacing w:after="160" w:line="480" w:lineRule="auto"/>
              <w:jc w:val="right"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  <w:r w:rsidRPr="00D074B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‏‏‏‏‏‏‏‏</w:t>
            </w:r>
            <w:r w:rsidR="00F62CE3" w:rsidRPr="00D074B4">
              <w:rPr>
                <w:rFonts w:asciiTheme="minorHAnsi" w:eastAsiaTheme="minorHAnsi" w:hAnsiTheme="minorHAnsi"/>
                <w:sz w:val="24"/>
                <w:szCs w:val="24"/>
                <w:rtl/>
              </w:rPr>
              <w:t>י</w:t>
            </w:r>
            <w:r w:rsidR="00F62CE3" w:rsidRPr="00D074B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"</w:t>
            </w:r>
            <w:r w:rsidRPr="00D074B4">
              <w:rPr>
                <w:rFonts w:asciiTheme="minorHAnsi" w:eastAsiaTheme="minorHAnsi" w:hAnsiTheme="minorHAnsi"/>
                <w:sz w:val="24"/>
                <w:szCs w:val="24"/>
                <w:rtl/>
              </w:rPr>
              <w:t xml:space="preserve">ג </w:t>
            </w:r>
            <w:r w:rsidR="00F62CE3" w:rsidRPr="00D074B4">
              <w:rPr>
                <w:rFonts w:asciiTheme="minorHAnsi" w:eastAsiaTheme="minorHAnsi" w:hAnsiTheme="minorHAnsi"/>
                <w:sz w:val="24"/>
                <w:szCs w:val="24"/>
                <w:rtl/>
              </w:rPr>
              <w:t xml:space="preserve">באייר </w:t>
            </w:r>
            <w:r w:rsidRPr="00D074B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, </w:t>
            </w:r>
            <w:r w:rsidRPr="00D074B4">
              <w:rPr>
                <w:rFonts w:asciiTheme="minorHAnsi" w:eastAsiaTheme="minorHAnsi" w:hAnsiTheme="minorHAnsi"/>
                <w:sz w:val="24"/>
                <w:szCs w:val="24"/>
                <w:rtl/>
              </w:rPr>
              <w:t>תשפ</w:t>
            </w:r>
            <w:r w:rsidRPr="00D074B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"</w:t>
            </w:r>
            <w:r w:rsidRPr="00D074B4">
              <w:rPr>
                <w:rFonts w:asciiTheme="minorHAnsi" w:eastAsiaTheme="minorHAnsi" w:hAnsiTheme="minorHAnsi"/>
                <w:sz w:val="24"/>
                <w:szCs w:val="24"/>
                <w:rtl/>
              </w:rPr>
              <w:t>ד</w:t>
            </w:r>
          </w:p>
          <w:p w14:paraId="229BE913" w14:textId="77777777" w:rsidR="00D665D9" w:rsidRPr="00D074B4" w:rsidRDefault="00D665D9" w:rsidP="00F62CE3">
            <w:pPr>
              <w:overflowPunct/>
              <w:autoSpaceDE/>
              <w:autoSpaceDN/>
              <w:adjustRightInd/>
              <w:spacing w:after="160" w:line="480" w:lineRule="auto"/>
              <w:jc w:val="right"/>
              <w:textAlignment w:val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074B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‏‏‏‏‏‏‏‏‏‏‏‏</w:t>
            </w:r>
            <w:r w:rsidR="00F62CE3" w:rsidRPr="00D074B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21</w:t>
            </w:r>
            <w:r w:rsidRPr="00D074B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F62CE3" w:rsidRPr="00D074B4">
              <w:rPr>
                <w:rFonts w:asciiTheme="minorHAnsi" w:eastAsiaTheme="minorHAnsi" w:hAnsiTheme="minorHAnsi"/>
                <w:sz w:val="24"/>
                <w:szCs w:val="24"/>
                <w:rtl/>
              </w:rPr>
              <w:t>במאי</w:t>
            </w:r>
            <w:r w:rsidRPr="00D074B4"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  <w:t>, 2024</w:t>
            </w:r>
          </w:p>
        </w:tc>
      </w:tr>
    </w:tbl>
    <w:p w14:paraId="6230CBC6" w14:textId="77777777" w:rsidR="00D665D9" w:rsidRPr="00D074B4" w:rsidRDefault="00D665D9" w:rsidP="00D665D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rtl/>
        </w:rPr>
      </w:pPr>
    </w:p>
    <w:p w14:paraId="05064632" w14:textId="77777777" w:rsidR="00BA4626" w:rsidRPr="00D074B4" w:rsidRDefault="006B4D02" w:rsidP="00D665D9">
      <w:pPr>
        <w:overflowPunct/>
        <w:autoSpaceDE/>
        <w:autoSpaceDN/>
        <w:adjustRightInd/>
        <w:spacing w:after="160" w:line="300" w:lineRule="auto"/>
        <w:ind w:right="-101"/>
        <w:textAlignment w:val="auto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eastAsiaTheme="minorHAnsi" w:hAnsiTheme="minorHAnsi" w:hint="cs"/>
          <w:sz w:val="24"/>
          <w:szCs w:val="24"/>
          <w:rtl/>
          <w:lang w:bidi="ar-SA"/>
        </w:rPr>
        <w:t>إعلان للصحافة</w:t>
      </w:r>
      <w:r w:rsidR="00D665D9" w:rsidRPr="00D074B4">
        <w:rPr>
          <w:rFonts w:asciiTheme="minorHAnsi" w:eastAsiaTheme="minorHAnsi" w:hAnsiTheme="minorHAnsi" w:cstheme="minorHAnsi"/>
          <w:sz w:val="24"/>
          <w:szCs w:val="24"/>
          <w:rtl/>
        </w:rPr>
        <w:t>:</w:t>
      </w:r>
      <w:r w:rsidR="00D665D9" w:rsidRPr="00D074B4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14:paraId="5CBFA8C8" w14:textId="77777777" w:rsidR="00EC586C" w:rsidRPr="006B4D02" w:rsidRDefault="006B4D02" w:rsidP="003767A1">
      <w:pPr>
        <w:spacing w:line="360" w:lineRule="auto"/>
        <w:jc w:val="center"/>
        <w:rPr>
          <w:rFonts w:asciiTheme="minorHAnsi" w:hAnsiTheme="minorHAnsi" w:cstheme="minorBidi"/>
          <w:b/>
          <w:bCs/>
          <w:sz w:val="28"/>
          <w:szCs w:val="28"/>
          <w:rtl/>
          <w:lang w:bidi="ar-SA"/>
        </w:rPr>
      </w:pPr>
      <w:r w:rsidRPr="006B4D02">
        <w:rPr>
          <w:rFonts w:asciiTheme="minorHAnsi" w:hAnsiTheme="minorHAnsi" w:cs="Arial"/>
          <w:b/>
          <w:bCs/>
          <w:sz w:val="28"/>
          <w:szCs w:val="28"/>
          <w:rtl/>
          <w:lang w:bidi="ar-SA"/>
        </w:rPr>
        <w:t xml:space="preserve">كلمة </w:t>
      </w:r>
      <w:r w:rsidR="003767A1">
        <w:rPr>
          <w:rFonts w:asciiTheme="minorHAnsi" w:hAnsiTheme="minorHAnsi" w:cs="Arial" w:hint="cs"/>
          <w:b/>
          <w:bCs/>
          <w:sz w:val="28"/>
          <w:szCs w:val="28"/>
          <w:rtl/>
          <w:lang w:bidi="ar-SA"/>
        </w:rPr>
        <w:t>المراقب</w:t>
      </w:r>
      <w:r w:rsidRPr="006B4D02">
        <w:rPr>
          <w:rFonts w:asciiTheme="minorHAnsi" w:hAnsiTheme="minorHAnsi" w:cs="Arial"/>
          <w:b/>
          <w:bCs/>
          <w:sz w:val="28"/>
          <w:szCs w:val="28"/>
          <w:rtl/>
          <w:lang w:bidi="ar-SA"/>
        </w:rPr>
        <w:t xml:space="preserve"> على البنوك في المؤتمر الصحفي حول "مراجعة النظام المصرفي لعام 2023"</w:t>
      </w:r>
    </w:p>
    <w:p w14:paraId="3FBAD879" w14:textId="77777777" w:rsidR="00181BAE" w:rsidRPr="00D074B4" w:rsidRDefault="00181BAE" w:rsidP="00EC586C">
      <w:pPr>
        <w:tabs>
          <w:tab w:val="left" w:pos="567"/>
          <w:tab w:val="left" w:pos="1134"/>
          <w:tab w:val="left" w:pos="1814"/>
          <w:tab w:val="left" w:pos="26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  <w:rtl/>
        </w:rPr>
      </w:pPr>
    </w:p>
    <w:p w14:paraId="7E0F6F4C" w14:textId="77777777" w:rsidR="006B4D02" w:rsidRPr="006B4D02" w:rsidRDefault="006B4D02" w:rsidP="004E6685">
      <w:pPr>
        <w:tabs>
          <w:tab w:val="left" w:pos="567"/>
          <w:tab w:val="left" w:pos="1134"/>
          <w:tab w:val="left" w:pos="1814"/>
          <w:tab w:val="left" w:pos="26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Bidi"/>
          <w:sz w:val="24"/>
          <w:szCs w:val="24"/>
          <w:rtl/>
          <w:lang w:bidi="ar-SA"/>
        </w:rPr>
      </w:pPr>
      <w:bookmarkStart w:id="0" w:name="_GoBack"/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في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ال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كلمة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 xml:space="preserve">التي 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ألقاها في المؤتمر الصحفي الذي عقد صباح اليوم، استعرض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المراقب</w:t>
      </w:r>
      <w:r w:rsidR="003767A1"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على البنوك دانييل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حح</w:t>
      </w:r>
      <w:r w:rsidR="003767A1"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ياشفيلي 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بإيجاز بيئة النشاط الصعبة والتطورات والتغيرات في عام 2023، بما في ذلك تأثيرات حرب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"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>السيوف الحديدية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"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على النظام المصرفي 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t>ومخرجاته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المالية.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كما استعرض المراقب</w:t>
      </w:r>
      <w:r w:rsidR="003767A1">
        <w:rPr>
          <w:rFonts w:asciiTheme="minorHAnsi" w:hAnsiTheme="minorHAnsi" w:cs="Arial"/>
          <w:sz w:val="24"/>
          <w:szCs w:val="24"/>
          <w:rtl/>
          <w:lang w:bidi="ar-SA"/>
        </w:rPr>
        <w:t xml:space="preserve"> 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>أهم المخاطر التي تواجه النظام المصرفي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t>،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ونزاهة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النظام تجاه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الزبائن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والمنافسة في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النظام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المصرفي، بما في ذلك الخطوات التي اتخذتها الرقابة في هذه المجالات. فيما يلي 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>العناوين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الرئيسية</w:t>
      </w:r>
      <w:r w:rsidR="003767A1">
        <w:rPr>
          <w:rFonts w:asciiTheme="minorHAnsi" w:hAnsiTheme="minorHAnsi" w:cs="Arial" w:hint="cs"/>
          <w:sz w:val="24"/>
          <w:szCs w:val="24"/>
          <w:rtl/>
          <w:lang w:bidi="ar-SA"/>
        </w:rPr>
        <w:t xml:space="preserve"> لكلمته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>:</w:t>
      </w:r>
    </w:p>
    <w:p w14:paraId="312DB28B" w14:textId="77777777" w:rsidR="00D074B4" w:rsidRPr="00D074B4" w:rsidRDefault="004E6685" w:rsidP="004E6685">
      <w:pPr>
        <w:numPr>
          <w:ilvl w:val="0"/>
          <w:numId w:val="2"/>
        </w:numPr>
        <w:tabs>
          <w:tab w:val="left" w:pos="567"/>
          <w:tab w:val="left" w:pos="1134"/>
          <w:tab w:val="left" w:pos="1814"/>
          <w:tab w:val="left" w:pos="26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 w:hint="cs"/>
          <w:sz w:val="24"/>
          <w:szCs w:val="24"/>
          <w:rtl/>
          <w:lang w:bidi="ar-SA"/>
        </w:rPr>
        <w:t>قبيل</w:t>
      </w:r>
      <w:r w:rsidR="00910A3E">
        <w:rPr>
          <w:rFonts w:asciiTheme="minorHAnsi" w:hAnsiTheme="minorHAnsi" w:cs="Arial" w:hint="cs"/>
          <w:sz w:val="24"/>
          <w:szCs w:val="24"/>
          <w:rtl/>
          <w:lang w:bidi="ar-SA"/>
        </w:rPr>
        <w:t xml:space="preserve"> وقوع</w:t>
      </w:r>
      <w:r w:rsidR="00910A3E">
        <w:rPr>
          <w:rFonts w:asciiTheme="minorHAnsi" w:hAnsiTheme="minorHAnsi" w:cs="Arial"/>
          <w:sz w:val="24"/>
          <w:szCs w:val="24"/>
          <w:rtl/>
          <w:lang w:bidi="ar-SA"/>
        </w:rPr>
        <w:t xml:space="preserve"> أحداث عام 2023</w:t>
      </w:r>
      <w:r w:rsidR="00910A3E">
        <w:rPr>
          <w:rFonts w:asciiTheme="minorHAnsi" w:hAnsiTheme="minorHAnsi" w:cs="Arial" w:hint="cs"/>
          <w:sz w:val="24"/>
          <w:szCs w:val="24"/>
          <w:rtl/>
          <w:lang w:bidi="ar-SA"/>
        </w:rPr>
        <w:t xml:space="preserve">، </w:t>
      </w:r>
      <w:r>
        <w:rPr>
          <w:rFonts w:asciiTheme="minorHAnsi" w:hAnsiTheme="minorHAnsi" w:cs="Arial" w:hint="cs"/>
          <w:sz w:val="24"/>
          <w:szCs w:val="24"/>
          <w:rtl/>
          <w:lang w:bidi="ar-SA"/>
        </w:rPr>
        <w:t>تمتع</w:t>
      </w:r>
      <w:r w:rsidR="00910A3E">
        <w:rPr>
          <w:rFonts w:asciiTheme="minorHAnsi" w:hAnsiTheme="minorHAnsi" w:cs="Arial" w:hint="cs"/>
          <w:sz w:val="24"/>
          <w:szCs w:val="24"/>
          <w:rtl/>
          <w:lang w:bidi="ar-SA"/>
        </w:rPr>
        <w:t xml:space="preserve"> النظام المصرفي </w:t>
      </w:r>
      <w:r>
        <w:rPr>
          <w:rFonts w:asciiTheme="minorHAnsi" w:hAnsiTheme="minorHAnsi" w:cs="Arial" w:hint="cs"/>
          <w:sz w:val="24"/>
          <w:szCs w:val="24"/>
          <w:rtl/>
          <w:lang w:bidi="ar-SA"/>
        </w:rPr>
        <w:t>بمستويات</w:t>
      </w:r>
      <w:r w:rsidR="006B4D02"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عالية من رأس المال والسيولة، مما أتاح له </w:t>
      </w:r>
      <w:r w:rsidR="00910A3E">
        <w:rPr>
          <w:rFonts w:asciiTheme="minorHAnsi" w:hAnsiTheme="minorHAnsi" w:cs="Arial" w:hint="cs"/>
          <w:sz w:val="24"/>
          <w:szCs w:val="24"/>
          <w:rtl/>
          <w:lang w:bidi="ar-SA"/>
        </w:rPr>
        <w:t>مواجهة</w:t>
      </w:r>
      <w:r w:rsidR="006B4D02"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</w:t>
      </w:r>
      <w:r w:rsidR="00910A3E">
        <w:rPr>
          <w:rFonts w:asciiTheme="minorHAnsi" w:hAnsiTheme="minorHAnsi" w:cs="Arial" w:hint="cs"/>
          <w:sz w:val="24"/>
          <w:szCs w:val="24"/>
          <w:rtl/>
          <w:lang w:bidi="ar-SA"/>
        </w:rPr>
        <w:t>التغيرات في</w:t>
      </w:r>
      <w:r w:rsidR="006B4D02"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بيئة النشاط </w:t>
      </w:r>
      <w:r w:rsidR="00910A3E">
        <w:rPr>
          <w:rFonts w:asciiTheme="minorHAnsi" w:hAnsiTheme="minorHAnsi" w:cs="Arial" w:hint="cs"/>
          <w:sz w:val="24"/>
          <w:szCs w:val="24"/>
          <w:rtl/>
          <w:lang w:bidi="ar-SA"/>
        </w:rPr>
        <w:t>و</w:t>
      </w:r>
      <w:r w:rsidR="006B4D02"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الحفاظ على </w:t>
      </w:r>
      <w:r>
        <w:rPr>
          <w:rFonts w:asciiTheme="minorHAnsi" w:hAnsiTheme="minorHAnsi" w:cs="Arial" w:hint="cs"/>
          <w:sz w:val="24"/>
          <w:szCs w:val="24"/>
          <w:rtl/>
          <w:lang w:bidi="ar-SA"/>
        </w:rPr>
        <w:t>استقراره</w:t>
      </w:r>
      <w:r w:rsidR="006B4D02"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المالي</w:t>
      </w:r>
      <w:r>
        <w:rPr>
          <w:rFonts w:asciiTheme="minorHAnsi" w:hAnsiTheme="minorHAnsi" w:cs="Arial" w:hint="cs"/>
          <w:sz w:val="24"/>
          <w:szCs w:val="24"/>
          <w:rtl/>
          <w:lang w:bidi="ar-SA"/>
        </w:rPr>
        <w:t xml:space="preserve"> بعد الأحداث</w:t>
      </w:r>
      <w:r w:rsidR="006B4D02"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. 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"إن استقرار النظام المصرفي يساعده على التعامل مع </w:t>
      </w:r>
      <w:r w:rsidR="00910A3E" w:rsidRP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الأزمات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في</w:t>
      </w:r>
      <w:r w:rsidR="00910A3E" w:rsidRP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 xml:space="preserve"> النظام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الاقتصاد</w:t>
      </w:r>
      <w:r w:rsidR="00910A3E" w:rsidRP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ي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، والحفاظ على القوة الاقتصادية والاستقرار المالي </w:t>
      </w:r>
      <w:r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ل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>دولة إسرائيل</w:t>
      </w:r>
      <w:r w:rsidR="00910A3E" w:rsidRP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،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و</w:t>
      </w:r>
      <w:r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كذلك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مساعدة الجمهور </w:t>
      </w:r>
      <w:r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على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التعامل مع حالات الأزم</w:t>
      </w:r>
      <w:r w:rsidR="00D7189A" w:rsidRP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ة</w:t>
      </w:r>
      <w:r w:rsidR="006B4D02" w:rsidRP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كما شهدنا في الأشهر الأخيرة".</w:t>
      </w:r>
    </w:p>
    <w:p w14:paraId="412742C2" w14:textId="77777777" w:rsidR="00D7189A" w:rsidRPr="00D7189A" w:rsidRDefault="006B4D02" w:rsidP="004E6685">
      <w:pPr>
        <w:numPr>
          <w:ilvl w:val="0"/>
          <w:numId w:val="2"/>
        </w:numPr>
        <w:tabs>
          <w:tab w:val="left" w:pos="567"/>
          <w:tab w:val="left" w:pos="1134"/>
          <w:tab w:val="left" w:pos="1814"/>
          <w:tab w:val="left" w:pos="26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تعمل هيئة الرقابة على البنوك بشكل مستمر على تحسين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نزاهة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النظام تجاه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الزبائن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. من بين أمور أخرى،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ركز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استطلاع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مستوى الرضى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الذي أجرته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 xml:space="preserve"> هيئة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الرقابة العام الماضي على القضايا الرئيسية التي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تهم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الجمهور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، ومنها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انخفاض الفائدة على الأموال في الحساب الجاري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،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وانخفاض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جودة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الخدمة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.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فيما يتعلق بالفائدة على الحساب الجاري، فإن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الرقابة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</w:t>
      </w:r>
      <w:r w:rsidR="004E6685">
        <w:rPr>
          <w:rFonts w:asciiTheme="minorHAnsi" w:hAnsiTheme="minorHAnsi" w:hint="cs"/>
          <w:sz w:val="24"/>
          <w:szCs w:val="24"/>
          <w:rtl/>
          <w:lang w:bidi="ar-SA"/>
        </w:rPr>
        <w:t>تعمل لتوفير</w:t>
      </w:r>
      <w:r w:rsidR="00D7189A" w:rsidRPr="00D7189A">
        <w:rPr>
          <w:rFonts w:asciiTheme="minorHAnsi" w:hAnsiTheme="minorHAnsi"/>
          <w:sz w:val="24"/>
          <w:szCs w:val="24"/>
          <w:rtl/>
          <w:lang w:bidi="ar-SA"/>
        </w:rPr>
        <w:t xml:space="preserve"> </w:t>
      </w:r>
      <w:r w:rsidR="004E6685">
        <w:rPr>
          <w:rFonts w:asciiTheme="minorHAnsi" w:hAnsiTheme="minorHAnsi" w:hint="cs"/>
          <w:sz w:val="24"/>
          <w:szCs w:val="24"/>
          <w:rtl/>
          <w:lang w:bidi="ar-SA"/>
        </w:rPr>
        <w:t>بدائل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 xml:space="preserve"> لترك</w:t>
      </w:r>
      <w:r w:rsidR="004E6685">
        <w:rPr>
          <w:rFonts w:asciiTheme="minorHAnsi" w:hAnsiTheme="minorHAnsi"/>
          <w:sz w:val="24"/>
          <w:szCs w:val="24"/>
          <w:rtl/>
          <w:lang w:bidi="ar-SA"/>
        </w:rPr>
        <w:t xml:space="preserve"> 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الأموال في الحساب </w:t>
      </w:r>
      <w:r w:rsidR="00D7189A" w:rsidRPr="00D7189A">
        <w:rPr>
          <w:rFonts w:asciiTheme="minorHAnsi" w:hAnsiTheme="minorHAnsi"/>
          <w:sz w:val="24"/>
          <w:szCs w:val="24"/>
          <w:rtl/>
          <w:lang w:bidi="ar-SA"/>
        </w:rPr>
        <w:t xml:space="preserve">الجاري وتحويلها إلى 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منتجات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مدرة للفائدة.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وفي موضوع الخدمة،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 xml:space="preserve">وجهت هيئة الرقابة 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البنوك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ل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تنفيذ </w:t>
      </w:r>
      <w:r w:rsidR="004E6685">
        <w:rPr>
          <w:rFonts w:asciiTheme="minorHAnsi" w:hAnsiTheme="minorHAnsi" w:hint="cs"/>
          <w:sz w:val="24"/>
          <w:szCs w:val="24"/>
          <w:rtl/>
          <w:lang w:bidi="ar-SA"/>
        </w:rPr>
        <w:t>الامر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 xml:space="preserve"> 501 الذي نشر عام 2023، والذي يحدد مبادئ تقديم 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>خدمات أفضل للزبائن</w:t>
      </w:r>
      <w:r w:rsidRPr="00D7189A">
        <w:rPr>
          <w:rFonts w:asciiTheme="minorHAnsi" w:hAnsiTheme="minorHAnsi"/>
          <w:sz w:val="24"/>
          <w:szCs w:val="24"/>
          <w:rtl/>
          <w:lang w:bidi="ar-SA"/>
        </w:rPr>
        <w:t>.</w:t>
      </w:r>
      <w:r w:rsidR="00D7189A" w:rsidRPr="00D7189A">
        <w:rPr>
          <w:rFonts w:asciiTheme="minorHAnsi" w:hAnsiTheme="minorHAnsi" w:hint="cs"/>
          <w:sz w:val="24"/>
          <w:szCs w:val="24"/>
          <w:rtl/>
          <w:lang w:bidi="ar-SA"/>
        </w:rPr>
        <w:t xml:space="preserve"> </w:t>
      </w:r>
      <w:r w:rsidR="00D7189A" w:rsidRPr="00D7189A">
        <w:rPr>
          <w:rFonts w:asciiTheme="minorHAnsi" w:hAnsiTheme="minorHAnsi"/>
          <w:b/>
          <w:bCs/>
          <w:sz w:val="24"/>
          <w:szCs w:val="24"/>
          <w:rtl/>
          <w:lang w:bidi="ar-SA"/>
        </w:rPr>
        <w:t xml:space="preserve">"ستواصل هيئة الرقابة على البنوك اتخاذ الخطوات اللازمة للتأكد من حصول </w:t>
      </w:r>
      <w:r w:rsidR="00D7189A">
        <w:rPr>
          <w:rFonts w:asciiTheme="minorHAnsi" w:hAnsiTheme="minorHAnsi" w:hint="cs"/>
          <w:b/>
          <w:bCs/>
          <w:sz w:val="24"/>
          <w:szCs w:val="24"/>
          <w:rtl/>
          <w:lang w:bidi="ar-SA"/>
        </w:rPr>
        <w:t>الزبائن</w:t>
      </w:r>
      <w:r w:rsidR="00D7189A" w:rsidRPr="00D7189A">
        <w:rPr>
          <w:rFonts w:asciiTheme="minorHAnsi" w:hAnsiTheme="minorHAnsi"/>
          <w:b/>
          <w:bCs/>
          <w:sz w:val="24"/>
          <w:szCs w:val="24"/>
          <w:rtl/>
          <w:lang w:bidi="ar-SA"/>
        </w:rPr>
        <w:t xml:space="preserve"> على خدم</w:t>
      </w:r>
      <w:r w:rsidR="00D7189A">
        <w:rPr>
          <w:rFonts w:asciiTheme="minorHAnsi" w:hAnsiTheme="minorHAnsi" w:hint="cs"/>
          <w:b/>
          <w:bCs/>
          <w:sz w:val="24"/>
          <w:szCs w:val="24"/>
          <w:rtl/>
          <w:lang w:bidi="ar-SA"/>
        </w:rPr>
        <w:t>ات</w:t>
      </w:r>
      <w:r w:rsidR="00D7189A" w:rsidRPr="00D7189A">
        <w:rPr>
          <w:rFonts w:asciiTheme="minorHAnsi" w:hAnsiTheme="minorHAnsi"/>
          <w:b/>
          <w:bCs/>
          <w:sz w:val="24"/>
          <w:szCs w:val="24"/>
          <w:rtl/>
          <w:lang w:bidi="ar-SA"/>
        </w:rPr>
        <w:t xml:space="preserve"> </w:t>
      </w:r>
      <w:r w:rsidR="00D7189A">
        <w:rPr>
          <w:rFonts w:asciiTheme="minorHAnsi" w:hAnsiTheme="minorHAnsi" w:hint="cs"/>
          <w:b/>
          <w:bCs/>
          <w:sz w:val="24"/>
          <w:szCs w:val="24"/>
          <w:rtl/>
          <w:lang w:bidi="ar-SA"/>
        </w:rPr>
        <w:t>ناجعة</w:t>
      </w:r>
      <w:r w:rsidR="00D7189A" w:rsidRPr="00D7189A">
        <w:rPr>
          <w:rFonts w:asciiTheme="minorHAnsi" w:hAnsiTheme="minorHAnsi"/>
          <w:b/>
          <w:bCs/>
          <w:sz w:val="24"/>
          <w:szCs w:val="24"/>
          <w:rtl/>
          <w:lang w:bidi="ar-SA"/>
        </w:rPr>
        <w:t xml:space="preserve"> </w:t>
      </w:r>
      <w:r w:rsidR="00D7189A">
        <w:rPr>
          <w:rFonts w:asciiTheme="minorHAnsi" w:hAnsiTheme="minorHAnsi" w:hint="cs"/>
          <w:b/>
          <w:bCs/>
          <w:sz w:val="24"/>
          <w:szCs w:val="24"/>
          <w:rtl/>
          <w:lang w:bidi="ar-SA"/>
        </w:rPr>
        <w:t>ونزيهة وعالية الجودة</w:t>
      </w:r>
      <w:r w:rsidR="00D7189A" w:rsidRPr="00D7189A">
        <w:rPr>
          <w:rFonts w:asciiTheme="minorHAnsi" w:hAnsiTheme="minorHAnsi"/>
          <w:b/>
          <w:bCs/>
          <w:sz w:val="24"/>
          <w:szCs w:val="24"/>
          <w:rtl/>
          <w:lang w:bidi="ar-SA"/>
        </w:rPr>
        <w:t xml:space="preserve"> من النظام المصرفي"</w:t>
      </w:r>
    </w:p>
    <w:p w14:paraId="1A38D22A" w14:textId="77777777" w:rsidR="00D074B4" w:rsidRPr="00D074B4" w:rsidRDefault="006B4D02" w:rsidP="004E6685">
      <w:pPr>
        <w:numPr>
          <w:ilvl w:val="0"/>
          <w:numId w:val="2"/>
        </w:numPr>
        <w:tabs>
          <w:tab w:val="left" w:pos="567"/>
          <w:tab w:val="left" w:pos="1134"/>
          <w:tab w:val="left" w:pos="1814"/>
          <w:tab w:val="left" w:pos="26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من أجل تشجيع المنافسة في الجهاز المصرفي، تعمل الرقابة على عدة مستويات، 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من بينها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زيادة شفافية البيانات حول أسعار الفائدة </w:t>
      </w:r>
      <w:r w:rsid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على الائتمان والودائع، وتعزيز 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مشروع 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الخدمة المصرفية المفتوحة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الذي سيمكن من تطوير أدوات 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ل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لمقارنة بين البنوك. بالإضافة إلى ذلك، تعمل الرقابة على صياغة مخطط 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lastRenderedPageBreak/>
        <w:t>شامل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يسمح بمنح تراخيص مصرفية مع 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t>إجراءات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مبسطة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لمؤسسات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جديدة، بما في ذلك شركات بطاقات الائتمان. 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t>سيتيح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المخطط 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لهذه المؤسسات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تلقي الودائع من الجمهور وتزويد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 xml:space="preserve"> الجمهور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بالائتمان.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</w:t>
      </w:r>
      <w:r w:rsidRPr="00D7189A">
        <w:rPr>
          <w:rFonts w:asciiTheme="minorHAnsi" w:hAnsiTheme="minorHAnsi" w:cs="Arial"/>
          <w:sz w:val="24"/>
          <w:szCs w:val="24"/>
          <w:rtl/>
          <w:lang w:bidi="ar-SA"/>
        </w:rPr>
        <w:t>في الوقت نفسه،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أشار </w:t>
      </w:r>
      <w:r w:rsid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المراقب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إلى أنه "</w:t>
      </w:r>
      <w:r w:rsid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لن ي</w:t>
      </w:r>
      <w:r w:rsidR="004E6685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ُ</w:t>
      </w:r>
      <w:r w:rsid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سمح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بواقع تقوم فيه </w:t>
      </w:r>
      <w:r w:rsid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أي مؤسسة</w:t>
      </w:r>
      <w:r w:rsidR="00D7189A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بجمع الودائع من الجمهور و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منح الائتمان من هذه الودائع، </w:t>
      </w:r>
      <w:r w:rsid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دون أن تحصل على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ترخيص مصرفي و</w:t>
      </w:r>
      <w:r w:rsidR="004E6685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تلتزم ب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>تنظيم</w:t>
      </w:r>
      <w:r w:rsid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ات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مصرفي</w:t>
      </w:r>
      <w:r w:rsid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ة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</w:t>
      </w:r>
      <w:r w:rsidR="00D7189A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ملائمة</w:t>
      </w:r>
      <w:r w:rsidRPr="006B4D02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>".</w:t>
      </w:r>
    </w:p>
    <w:p w14:paraId="10E345E4" w14:textId="77777777" w:rsidR="00D074B4" w:rsidRPr="004E6685" w:rsidRDefault="006B4D02" w:rsidP="004E6685">
      <w:pPr>
        <w:numPr>
          <w:ilvl w:val="0"/>
          <w:numId w:val="2"/>
        </w:numPr>
        <w:tabs>
          <w:tab w:val="left" w:pos="567"/>
          <w:tab w:val="left" w:pos="1134"/>
          <w:tab w:val="left" w:pos="1814"/>
          <w:tab w:val="left" w:pos="26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بالإضافة إلى ذلك أكد 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المراقب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على 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تأثير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التطور</w:t>
      </w:r>
      <w:r w:rsidR="00D7189A">
        <w:rPr>
          <w:rFonts w:asciiTheme="minorHAnsi" w:hAnsiTheme="minorHAnsi" w:cs="Arial"/>
          <w:sz w:val="24"/>
          <w:szCs w:val="24"/>
          <w:rtl/>
          <w:lang w:bidi="ar-SA"/>
        </w:rPr>
        <w:t xml:space="preserve"> التكنولوجي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وغيره في تكوين رؤية الرقابة على البنوك وإستراتيجي</w:t>
      </w:r>
      <w:r w:rsidR="00D7189A">
        <w:rPr>
          <w:rFonts w:asciiTheme="minorHAnsi" w:hAnsiTheme="minorHAnsi" w:cs="Arial" w:hint="cs"/>
          <w:sz w:val="24"/>
          <w:szCs w:val="24"/>
          <w:rtl/>
          <w:lang w:bidi="ar-SA"/>
        </w:rPr>
        <w:t>تها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t xml:space="preserve"> الرقابية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. وأشار 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t>المراقب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إلى أن القفزة التكنولوجية الكبيرة لا تزال أمامنا. نحن نعيش في عالم تكتسب فيه تكنولوجيا الذكاء الاصطناعي زخمًا كل بضعة أسابيع، 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t>إضافة إلى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</w:t>
      </w:r>
      <w:r w:rsidR="004E6685">
        <w:rPr>
          <w:rFonts w:asciiTheme="minorHAnsi" w:hAnsiTheme="minorHAnsi" w:cs="Arial" w:hint="cs"/>
          <w:sz w:val="24"/>
          <w:szCs w:val="24"/>
          <w:rtl/>
          <w:lang w:bidi="ar-SA"/>
        </w:rPr>
        <w:t>تطور</w:t>
      </w:r>
      <w:r w:rsidRPr="006B4D02">
        <w:rPr>
          <w:rFonts w:asciiTheme="minorHAnsi" w:hAnsiTheme="minorHAnsi" w:cs="Arial"/>
          <w:sz w:val="24"/>
          <w:szCs w:val="24"/>
          <w:rtl/>
          <w:lang w:bidi="ar-SA"/>
        </w:rPr>
        <w:t xml:space="preserve"> الحوسبة الكمومية. </w:t>
      </w:r>
      <w:r w:rsidRPr="004E6685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>"يجب أن يكون النظام المصرفي مستعدًا لذلك، سواء فيما يتعلق بالفرص التي ستجلبها التكنولوجيا إ</w:t>
      </w:r>
      <w:r w:rsidR="004E6685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>لى العالم المالي</w:t>
      </w:r>
      <w:r w:rsidR="004E6685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،</w:t>
      </w:r>
      <w:r w:rsidR="004E6685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 وفيما يتعلق ب</w:t>
      </w:r>
      <w:r w:rsidRPr="004E6685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 xml:space="preserve">مسؤولية </w:t>
      </w:r>
      <w:r w:rsidR="004E6685">
        <w:rPr>
          <w:rFonts w:asciiTheme="minorHAnsi" w:hAnsiTheme="minorHAnsi" w:cs="Arial" w:hint="cs"/>
          <w:b/>
          <w:bCs/>
          <w:sz w:val="24"/>
          <w:szCs w:val="24"/>
          <w:rtl/>
          <w:lang w:bidi="ar-SA"/>
        </w:rPr>
        <w:t>ا</w:t>
      </w:r>
      <w:r w:rsidRPr="004E6685">
        <w:rPr>
          <w:rFonts w:asciiTheme="minorHAnsi" w:hAnsiTheme="minorHAnsi" w:cs="Arial"/>
          <w:b/>
          <w:bCs/>
          <w:sz w:val="24"/>
          <w:szCs w:val="24"/>
          <w:rtl/>
          <w:lang w:bidi="ar-SA"/>
        </w:rPr>
        <w:t>لتأكد من إدارة المخاطر الكامنة في هذه التطورات بشكل صحيح."</w:t>
      </w:r>
    </w:p>
    <w:p w14:paraId="79FCEAE1" w14:textId="77777777" w:rsidR="00D074B4" w:rsidRPr="004E6685" w:rsidRDefault="00D074B4" w:rsidP="00D074B4">
      <w:pPr>
        <w:tabs>
          <w:tab w:val="left" w:pos="567"/>
          <w:tab w:val="left" w:pos="1134"/>
          <w:tab w:val="left" w:pos="1814"/>
          <w:tab w:val="left" w:pos="26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bookmarkEnd w:id="0"/>
    <w:p w14:paraId="76CBBCA3" w14:textId="77777777" w:rsidR="002B6975" w:rsidRPr="00D074B4" w:rsidRDefault="002B6975" w:rsidP="002B6975">
      <w:pPr>
        <w:tabs>
          <w:tab w:val="left" w:pos="567"/>
          <w:tab w:val="left" w:pos="1134"/>
          <w:tab w:val="left" w:pos="1814"/>
          <w:tab w:val="left" w:pos="26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2B6975" w:rsidRPr="00D074B4" w:rsidSect="00181BAE">
      <w:head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9" w:h="16834"/>
      <w:pgMar w:top="1440" w:right="1800" w:bottom="709" w:left="1800" w:header="720" w:footer="579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A0F3" w14:textId="77777777" w:rsidR="000D7ABC" w:rsidRDefault="000D7ABC">
      <w:r>
        <w:separator/>
      </w:r>
    </w:p>
  </w:endnote>
  <w:endnote w:type="continuationSeparator" w:id="0">
    <w:p w14:paraId="6F84A177" w14:textId="77777777" w:rsidR="000D7ABC" w:rsidRDefault="000D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8F5F5" w14:textId="47C8AB8E" w:rsidR="00181BAE" w:rsidRPr="00181BAE" w:rsidRDefault="00181BAE" w:rsidP="00181BAE">
    <w:pPr>
      <w:pStyle w:val="a3"/>
      <w:framePr w:wrap="around" w:vAnchor="text" w:hAnchor="margin" w:xAlign="center" w:y="1"/>
      <w:rPr>
        <w:rStyle w:val="a6"/>
        <w:rFonts w:ascii="David" w:hAnsi="David" w:cs="David"/>
        <w:sz w:val="24"/>
        <w:szCs w:val="24"/>
        <w:rtl/>
      </w:rPr>
    </w:pPr>
    <w:r w:rsidRPr="00181BAE">
      <w:rPr>
        <w:rStyle w:val="a6"/>
        <w:rFonts w:ascii="David" w:hAnsi="David" w:cs="David"/>
        <w:sz w:val="24"/>
        <w:szCs w:val="24"/>
        <w:rtl/>
      </w:rPr>
      <w:fldChar w:fldCharType="begin"/>
    </w:r>
    <w:r w:rsidRPr="00181BAE">
      <w:rPr>
        <w:rStyle w:val="a6"/>
        <w:rFonts w:ascii="David" w:hAnsi="David" w:cs="David"/>
        <w:sz w:val="24"/>
        <w:szCs w:val="24"/>
      </w:rPr>
      <w:instrText xml:space="preserve">PAGE  </w:instrText>
    </w:r>
    <w:r w:rsidRPr="00181BAE">
      <w:rPr>
        <w:rStyle w:val="a6"/>
        <w:rFonts w:ascii="David" w:hAnsi="David" w:cs="David"/>
        <w:sz w:val="24"/>
        <w:szCs w:val="24"/>
        <w:rtl/>
      </w:rPr>
      <w:fldChar w:fldCharType="separate"/>
    </w:r>
    <w:r w:rsidR="008C5689">
      <w:rPr>
        <w:rStyle w:val="a6"/>
        <w:rFonts w:ascii="David" w:hAnsi="David" w:cs="David"/>
        <w:noProof/>
        <w:sz w:val="24"/>
        <w:szCs w:val="24"/>
        <w:rtl/>
      </w:rPr>
      <w:t>2</w:t>
    </w:r>
    <w:r w:rsidRPr="00181BAE">
      <w:rPr>
        <w:rStyle w:val="a6"/>
        <w:rFonts w:ascii="David" w:hAnsi="David" w:cs="David"/>
        <w:sz w:val="24"/>
        <w:szCs w:val="24"/>
        <w:rtl/>
      </w:rPr>
      <w:fldChar w:fldCharType="end"/>
    </w:r>
  </w:p>
  <w:p w14:paraId="09B0821D" w14:textId="77777777" w:rsidR="00EB1B0C" w:rsidRPr="00181BAE" w:rsidRDefault="00EB1B0C" w:rsidP="00181BAE">
    <w:pPr>
      <w:pStyle w:val="a4"/>
      <w:rPr>
        <w:rFonts w:ascii="David" w:hAnsi="David" w:cs="David"/>
        <w:sz w:val="24"/>
        <w:szCs w:val="24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B7A0" w14:textId="77777777" w:rsidR="009147CE" w:rsidRPr="009147CE" w:rsidRDefault="009147CE" w:rsidP="009147CE">
    <w:pPr>
      <w:tabs>
        <w:tab w:val="center" w:pos="4153"/>
        <w:tab w:val="right" w:pos="8306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22"/>
        <w:szCs w:val="22"/>
      </w:rPr>
    </w:pPr>
  </w:p>
  <w:p w14:paraId="02C325E8" w14:textId="77777777" w:rsidR="009147CE" w:rsidRPr="009147CE" w:rsidRDefault="009147CE" w:rsidP="009147CE">
    <w:pPr>
      <w:overflowPunct/>
      <w:autoSpaceDE/>
      <w:autoSpaceDN/>
      <w:adjustRightInd/>
      <w:spacing w:after="200" w:line="276" w:lineRule="auto"/>
      <w:textAlignment w:val="auto"/>
      <w:rPr>
        <w:rFonts w:asciiTheme="minorHAnsi" w:eastAsiaTheme="minorHAnsi" w:hAnsiTheme="minorHAnsi" w:cstheme="minorBidi"/>
        <w:sz w:val="22"/>
        <w:szCs w:val="22"/>
      </w:rPr>
    </w:pPr>
  </w:p>
  <w:p w14:paraId="1391F247" w14:textId="77777777" w:rsidR="009147CE" w:rsidRPr="009147CE" w:rsidRDefault="009147CE" w:rsidP="009147CE">
    <w:pPr>
      <w:tabs>
        <w:tab w:val="center" w:pos="4153"/>
        <w:tab w:val="right" w:pos="8306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22"/>
        <w:szCs w:val="22"/>
      </w:rPr>
    </w:pPr>
  </w:p>
  <w:p w14:paraId="61083BBA" w14:textId="77777777" w:rsidR="009147CE" w:rsidRPr="009147CE" w:rsidRDefault="009147CE" w:rsidP="009147CE">
    <w:pPr>
      <w:overflowPunct/>
      <w:autoSpaceDE/>
      <w:autoSpaceDN/>
      <w:adjustRightInd/>
      <w:spacing w:after="200" w:line="276" w:lineRule="auto"/>
      <w:textAlignment w:val="auto"/>
      <w:rPr>
        <w:rFonts w:asciiTheme="minorHAnsi" w:eastAsiaTheme="minorHAnsi" w:hAnsiTheme="minorHAnsi" w:cstheme="minorBidi"/>
        <w:sz w:val="22"/>
        <w:szCs w:val="22"/>
      </w:rPr>
    </w:pPr>
  </w:p>
  <w:p w14:paraId="13E82650" w14:textId="77777777" w:rsidR="009147CE" w:rsidRPr="009147CE" w:rsidRDefault="009147CE" w:rsidP="009147CE">
    <w:pPr>
      <w:tabs>
        <w:tab w:val="center" w:pos="4153"/>
        <w:tab w:val="right" w:pos="8306"/>
      </w:tabs>
      <w:overflowPunct/>
      <w:autoSpaceDE/>
      <w:autoSpaceDN/>
      <w:bidi w:val="0"/>
      <w:adjustRightInd/>
      <w:jc w:val="both"/>
      <w:textAlignment w:val="auto"/>
      <w:rPr>
        <w:rFonts w:asciiTheme="minorHAnsi" w:eastAsiaTheme="minorHAnsi" w:hAnsiTheme="minorHAnsi" w:cstheme="minorBidi"/>
        <w:sz w:val="22"/>
        <w:szCs w:val="22"/>
        <w:rtl/>
      </w:rPr>
    </w:pPr>
    <w:r w:rsidRPr="009147C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9D220" wp14:editId="34DF183A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8493E6" w14:textId="77777777" w:rsidR="009147CE" w:rsidRPr="00B677DC" w:rsidRDefault="009147CE" w:rsidP="009147C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eastAsiaTheme="majorEastAsia"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eastAsiaTheme="majorEastAsia"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59D220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" filled="f" stroked="f" strokeweight=".5pt">
              <v:textbox>
                <w:txbxContent>
                  <w:p w14:paraId="638493E6" w14:textId="77777777" w:rsidR="009147CE" w:rsidRPr="00B677DC" w:rsidRDefault="009147CE" w:rsidP="009147C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eastAsiaTheme="majorEastAsia"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eastAsiaTheme="majorEastAsia"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9147CE">
      <w:rPr>
        <w:rFonts w:asciiTheme="minorHAnsi" w:eastAsiaTheme="minorHAnsi" w:hAnsiTheme="minorHAnsi" w:cs="Calibri"/>
        <w:noProof/>
        <w:sz w:val="22"/>
        <w:szCs w:val="22"/>
        <w:rtl/>
      </w:rPr>
      <w:drawing>
        <wp:anchor distT="0" distB="0" distL="114300" distR="114300" simplePos="0" relativeHeight="251664384" behindDoc="0" locked="0" layoutInCell="1" allowOverlap="1" wp14:anchorId="6DB1339F" wp14:editId="421650B3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7C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B944" wp14:editId="682A6887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A2AD53" w14:textId="77777777" w:rsidR="009147CE" w:rsidRPr="00B677DC" w:rsidRDefault="009147CE" w:rsidP="009147C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eastAsiaTheme="majorEastAsia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22B944" id="תיבת טקסט 2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" filled="f" stroked="f" strokeweight=".5pt">
              <v:textbox>
                <w:txbxContent>
                  <w:p w14:paraId="34A2AD53" w14:textId="77777777" w:rsidR="009147CE" w:rsidRPr="00B677DC" w:rsidRDefault="009147CE" w:rsidP="009147C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eastAsiaTheme="majorEastAsia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9147CE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DF8E294" wp14:editId="101911F3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7C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D24403" wp14:editId="1987EB6D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1ADFB" w14:textId="77777777" w:rsidR="009147CE" w:rsidRPr="00B677DC" w:rsidRDefault="009147CE" w:rsidP="009147C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eastAsiaTheme="majorEastAsia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24403" id="תיבת טקסט 3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" filled="f" stroked="f" strokeweight=".5pt">
              <v:textbox>
                <w:txbxContent>
                  <w:p w14:paraId="35E1ADFB" w14:textId="77777777" w:rsidR="009147CE" w:rsidRPr="00B677DC" w:rsidRDefault="009147CE" w:rsidP="009147C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eastAsiaTheme="majorEastAsia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9147CE">
      <w:rPr>
        <w:rFonts w:asciiTheme="minorHAnsi" w:eastAsiaTheme="minorHAnsi" w:hAnsiTheme="minorHAnsi" w:cs="Calibr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0E5F8141" wp14:editId="00EE4720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7C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2B460E" wp14:editId="272B601B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4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3075" w14:textId="77777777" w:rsidR="009147CE" w:rsidRPr="00F20046" w:rsidRDefault="009147CE" w:rsidP="009147C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eastAsiaTheme="majorEastAsia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B460E" id="תיבת טקסט 4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" filled="f" stroked="f" strokeweight=".5pt">
              <v:textbox>
                <w:txbxContent>
                  <w:p w14:paraId="74703075" w14:textId="77777777" w:rsidR="009147CE" w:rsidRPr="00F20046" w:rsidRDefault="009147CE" w:rsidP="009147C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eastAsiaTheme="majorEastAsia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147CE">
      <w:rPr>
        <w:rFonts w:asciiTheme="minorHAnsi" w:eastAsiaTheme="minorHAnsi" w:hAnsiTheme="minorHAnsi" w:cs="Calibri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4612A2A8" wp14:editId="53F6DF5F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7C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41F45" wp14:editId="0A907927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685174" id="מחבר ישר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" strokecolor="windowText" strokeweight=".5pt">
              <v:stroke joinstyle="miter"/>
            </v:line>
          </w:pict>
        </mc:Fallback>
      </mc:AlternateContent>
    </w:r>
  </w:p>
  <w:p w14:paraId="4C129970" w14:textId="77777777" w:rsidR="009147CE" w:rsidRPr="009147CE" w:rsidRDefault="009147CE" w:rsidP="009147CE">
    <w:pPr>
      <w:tabs>
        <w:tab w:val="center" w:pos="4153"/>
        <w:tab w:val="right" w:pos="8306"/>
      </w:tabs>
      <w:overflowPunct/>
      <w:autoSpaceDE/>
      <w:autoSpaceDN/>
      <w:adjustRightInd/>
      <w:jc w:val="right"/>
      <w:textAlignment w:val="auto"/>
      <w:rPr>
        <w:rFonts w:asciiTheme="minorHAnsi" w:eastAsiaTheme="minorHAnsi" w:hAnsiTheme="minorHAnsi" w:cstheme="minorBidi"/>
        <w:sz w:val="22"/>
        <w:szCs w:val="22"/>
      </w:rPr>
    </w:pPr>
  </w:p>
  <w:p w14:paraId="00953762" w14:textId="77777777" w:rsidR="009147CE" w:rsidRPr="009147CE" w:rsidRDefault="009147CE" w:rsidP="009147CE">
    <w:pPr>
      <w:tabs>
        <w:tab w:val="center" w:pos="4153"/>
        <w:tab w:val="right" w:pos="8306"/>
      </w:tabs>
      <w:overflowPunct/>
      <w:autoSpaceDE/>
      <w:autoSpaceDN/>
      <w:adjustRightInd/>
      <w:textAlignment w:val="auto"/>
      <w:rPr>
        <w:rFonts w:asciiTheme="minorHAnsi" w:eastAsiaTheme="minorHAnsi" w:hAnsiTheme="minorHAnsi" w:cstheme="minorBidi"/>
        <w:sz w:val="22"/>
        <w:szCs w:val="22"/>
      </w:rPr>
    </w:pPr>
  </w:p>
  <w:p w14:paraId="777A47F8" w14:textId="77777777" w:rsidR="00BD4BB3" w:rsidRPr="009147CE" w:rsidRDefault="00BD4BB3" w:rsidP="009147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6D8E4" w14:textId="77777777" w:rsidR="000D7ABC" w:rsidRDefault="000D7ABC">
      <w:r>
        <w:separator/>
      </w:r>
    </w:p>
  </w:footnote>
  <w:footnote w:type="continuationSeparator" w:id="0">
    <w:p w14:paraId="1903EAA8" w14:textId="77777777" w:rsidR="000D7ABC" w:rsidRDefault="000D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318B" w14:textId="77777777" w:rsidR="00EB1B0C" w:rsidRDefault="00EB1B0C">
    <w:pPr>
      <w:pStyle w:val="a3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6C3A286" w14:textId="77777777" w:rsidR="00EB1B0C" w:rsidRDefault="00EB1B0C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AA6D" w14:textId="77777777" w:rsidR="008D348B" w:rsidRPr="00181BAE" w:rsidRDefault="008D348B" w:rsidP="00181BAE">
    <w:pPr>
      <w:pStyle w:val="a3"/>
      <w:tabs>
        <w:tab w:val="clear" w:pos="4153"/>
        <w:tab w:val="clear" w:pos="8306"/>
        <w:tab w:val="left" w:pos="1934"/>
      </w:tabs>
      <w:rPr>
        <w:rFonts w:cs="David"/>
        <w:rtl/>
      </w:rPr>
    </w:pPr>
  </w:p>
  <w:p w14:paraId="18FF0A3E" w14:textId="77777777" w:rsidR="008D348B" w:rsidRPr="007454DA" w:rsidRDefault="008D348B" w:rsidP="008D348B">
    <w:pPr>
      <w:pStyle w:val="a3"/>
      <w:tabs>
        <w:tab w:val="clear" w:pos="4153"/>
        <w:tab w:val="clear" w:pos="8306"/>
        <w:tab w:val="left" w:pos="1934"/>
      </w:tabs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355"/>
    <w:multiLevelType w:val="hybridMultilevel"/>
    <w:tmpl w:val="0442D7A8"/>
    <w:lvl w:ilvl="0" w:tplc="FC3E58E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56FC"/>
    <w:multiLevelType w:val="hybridMultilevel"/>
    <w:tmpl w:val="ABC2C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8"/>
    <w:rsid w:val="00013BF0"/>
    <w:rsid w:val="00013F95"/>
    <w:rsid w:val="0004254F"/>
    <w:rsid w:val="00043958"/>
    <w:rsid w:val="000461C3"/>
    <w:rsid w:val="000972D7"/>
    <w:rsid w:val="000D27F3"/>
    <w:rsid w:val="000D7ABC"/>
    <w:rsid w:val="000E2F43"/>
    <w:rsid w:val="000F02F3"/>
    <w:rsid w:val="000F2E7F"/>
    <w:rsid w:val="000F3559"/>
    <w:rsid w:val="0010544A"/>
    <w:rsid w:val="00105783"/>
    <w:rsid w:val="001411E5"/>
    <w:rsid w:val="0015580C"/>
    <w:rsid w:val="00181BAE"/>
    <w:rsid w:val="00193BC3"/>
    <w:rsid w:val="001B08C8"/>
    <w:rsid w:val="001E2DAC"/>
    <w:rsid w:val="001E44DF"/>
    <w:rsid w:val="00211D42"/>
    <w:rsid w:val="0021262F"/>
    <w:rsid w:val="002239CD"/>
    <w:rsid w:val="002273FB"/>
    <w:rsid w:val="0027110C"/>
    <w:rsid w:val="00273FF9"/>
    <w:rsid w:val="00292E60"/>
    <w:rsid w:val="002B1302"/>
    <w:rsid w:val="002B6975"/>
    <w:rsid w:val="002B7B78"/>
    <w:rsid w:val="002D2D22"/>
    <w:rsid w:val="003010F4"/>
    <w:rsid w:val="00307677"/>
    <w:rsid w:val="00337D53"/>
    <w:rsid w:val="00342DC1"/>
    <w:rsid w:val="00372F2D"/>
    <w:rsid w:val="003767A1"/>
    <w:rsid w:val="003820DB"/>
    <w:rsid w:val="003C56F0"/>
    <w:rsid w:val="003D5F42"/>
    <w:rsid w:val="003F7875"/>
    <w:rsid w:val="00404F86"/>
    <w:rsid w:val="00404FB2"/>
    <w:rsid w:val="00405590"/>
    <w:rsid w:val="00441B3B"/>
    <w:rsid w:val="0044634F"/>
    <w:rsid w:val="00460938"/>
    <w:rsid w:val="0047347B"/>
    <w:rsid w:val="0049257A"/>
    <w:rsid w:val="004A13CD"/>
    <w:rsid w:val="004E0354"/>
    <w:rsid w:val="004E6685"/>
    <w:rsid w:val="004F7D1C"/>
    <w:rsid w:val="0050145F"/>
    <w:rsid w:val="0053237D"/>
    <w:rsid w:val="0054315B"/>
    <w:rsid w:val="00550C5D"/>
    <w:rsid w:val="00551BD1"/>
    <w:rsid w:val="0058601D"/>
    <w:rsid w:val="0058721D"/>
    <w:rsid w:val="0058750D"/>
    <w:rsid w:val="005878F1"/>
    <w:rsid w:val="00592777"/>
    <w:rsid w:val="005946F2"/>
    <w:rsid w:val="00595A8E"/>
    <w:rsid w:val="005A2C43"/>
    <w:rsid w:val="005A3E12"/>
    <w:rsid w:val="005D0E76"/>
    <w:rsid w:val="005D252E"/>
    <w:rsid w:val="005D72DC"/>
    <w:rsid w:val="00601386"/>
    <w:rsid w:val="00603F6E"/>
    <w:rsid w:val="006128DF"/>
    <w:rsid w:val="00626B9E"/>
    <w:rsid w:val="006462A0"/>
    <w:rsid w:val="006508F6"/>
    <w:rsid w:val="00662459"/>
    <w:rsid w:val="006729F7"/>
    <w:rsid w:val="00677D5A"/>
    <w:rsid w:val="00686030"/>
    <w:rsid w:val="006A1833"/>
    <w:rsid w:val="006A7233"/>
    <w:rsid w:val="006B4D02"/>
    <w:rsid w:val="006C14AB"/>
    <w:rsid w:val="006C7650"/>
    <w:rsid w:val="006D1B79"/>
    <w:rsid w:val="007013A1"/>
    <w:rsid w:val="00705A78"/>
    <w:rsid w:val="00710A16"/>
    <w:rsid w:val="00743037"/>
    <w:rsid w:val="007454DA"/>
    <w:rsid w:val="00774740"/>
    <w:rsid w:val="00775985"/>
    <w:rsid w:val="00793C19"/>
    <w:rsid w:val="007B32B8"/>
    <w:rsid w:val="007C2C38"/>
    <w:rsid w:val="007F24E5"/>
    <w:rsid w:val="00806F0F"/>
    <w:rsid w:val="00833E44"/>
    <w:rsid w:val="008356EE"/>
    <w:rsid w:val="00836136"/>
    <w:rsid w:val="008C44AD"/>
    <w:rsid w:val="008C5689"/>
    <w:rsid w:val="008D348B"/>
    <w:rsid w:val="008D7BED"/>
    <w:rsid w:val="00910A3E"/>
    <w:rsid w:val="009111AD"/>
    <w:rsid w:val="009147CE"/>
    <w:rsid w:val="00916D8C"/>
    <w:rsid w:val="00954DD7"/>
    <w:rsid w:val="009877DE"/>
    <w:rsid w:val="009B4426"/>
    <w:rsid w:val="009C287A"/>
    <w:rsid w:val="009D6A81"/>
    <w:rsid w:val="009F3B52"/>
    <w:rsid w:val="009F3E31"/>
    <w:rsid w:val="00A00298"/>
    <w:rsid w:val="00A475F0"/>
    <w:rsid w:val="00A55E56"/>
    <w:rsid w:val="00A609C7"/>
    <w:rsid w:val="00A65A2A"/>
    <w:rsid w:val="00AA5938"/>
    <w:rsid w:val="00AB5289"/>
    <w:rsid w:val="00AC32C2"/>
    <w:rsid w:val="00AC5FE2"/>
    <w:rsid w:val="00AC7032"/>
    <w:rsid w:val="00AF30F1"/>
    <w:rsid w:val="00B4593A"/>
    <w:rsid w:val="00B5499F"/>
    <w:rsid w:val="00B70768"/>
    <w:rsid w:val="00B822D2"/>
    <w:rsid w:val="00B90FE7"/>
    <w:rsid w:val="00BA4626"/>
    <w:rsid w:val="00BC4172"/>
    <w:rsid w:val="00BC49F3"/>
    <w:rsid w:val="00BC671E"/>
    <w:rsid w:val="00BD4BB3"/>
    <w:rsid w:val="00BF65D4"/>
    <w:rsid w:val="00C063FB"/>
    <w:rsid w:val="00C241B3"/>
    <w:rsid w:val="00C5226F"/>
    <w:rsid w:val="00C624AB"/>
    <w:rsid w:val="00C86945"/>
    <w:rsid w:val="00C91F0F"/>
    <w:rsid w:val="00C92984"/>
    <w:rsid w:val="00CA2602"/>
    <w:rsid w:val="00CA5FD9"/>
    <w:rsid w:val="00CB02C8"/>
    <w:rsid w:val="00CB1EBA"/>
    <w:rsid w:val="00CB2FCD"/>
    <w:rsid w:val="00CD3951"/>
    <w:rsid w:val="00CD3CB5"/>
    <w:rsid w:val="00CD5305"/>
    <w:rsid w:val="00CD77A7"/>
    <w:rsid w:val="00CD7900"/>
    <w:rsid w:val="00CF11AC"/>
    <w:rsid w:val="00D074B4"/>
    <w:rsid w:val="00D07A7A"/>
    <w:rsid w:val="00D13D4C"/>
    <w:rsid w:val="00D20C18"/>
    <w:rsid w:val="00D35FAF"/>
    <w:rsid w:val="00D64EC2"/>
    <w:rsid w:val="00D665D9"/>
    <w:rsid w:val="00D7189A"/>
    <w:rsid w:val="00DE0A33"/>
    <w:rsid w:val="00E03C1C"/>
    <w:rsid w:val="00E112E9"/>
    <w:rsid w:val="00E255C7"/>
    <w:rsid w:val="00E33C63"/>
    <w:rsid w:val="00E34DD1"/>
    <w:rsid w:val="00E478A9"/>
    <w:rsid w:val="00E50D63"/>
    <w:rsid w:val="00E6689D"/>
    <w:rsid w:val="00E676BD"/>
    <w:rsid w:val="00E717E0"/>
    <w:rsid w:val="00E71FE5"/>
    <w:rsid w:val="00E93FA7"/>
    <w:rsid w:val="00EA52CF"/>
    <w:rsid w:val="00EB1B0C"/>
    <w:rsid w:val="00EB200F"/>
    <w:rsid w:val="00EC586C"/>
    <w:rsid w:val="00F23CB4"/>
    <w:rsid w:val="00F50491"/>
    <w:rsid w:val="00F6002E"/>
    <w:rsid w:val="00F605E6"/>
    <w:rsid w:val="00F62CE3"/>
    <w:rsid w:val="00F63563"/>
    <w:rsid w:val="00F83CA1"/>
    <w:rsid w:val="00FC49B8"/>
    <w:rsid w:val="00FD4DA6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2CBD4"/>
  <w15:docId w15:val="{1DF24870-D57C-431B-A352-94448D1D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D252E"/>
    <w:pPr>
      <w:keepNext/>
      <w:spacing w:before="240" w:after="60"/>
      <w:jc w:val="center"/>
      <w:outlineLvl w:val="0"/>
    </w:pPr>
    <w:rPr>
      <w:rFonts w:asciiTheme="majorHAnsi" w:eastAsiaTheme="majorEastAsia" w:hAnsiTheme="majorHAnsi" w:cs="David"/>
      <w:b/>
      <w:bCs/>
      <w:kern w:val="3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356EE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5D252E"/>
    <w:rPr>
      <w:rFonts w:asciiTheme="majorHAnsi" w:eastAsiaTheme="majorEastAsia" w:hAnsiTheme="majorHAnsi" w:cs="David"/>
      <w:b/>
      <w:bCs/>
      <w:kern w:val="32"/>
      <w:sz w:val="32"/>
      <w:szCs w:val="28"/>
    </w:rPr>
  </w:style>
  <w:style w:type="character" w:styleId="a8">
    <w:name w:val="annotation reference"/>
    <w:rsid w:val="00013F95"/>
    <w:rPr>
      <w:sz w:val="16"/>
      <w:szCs w:val="16"/>
    </w:rPr>
  </w:style>
  <w:style w:type="paragraph" w:styleId="a9">
    <w:name w:val="annotation text"/>
    <w:basedOn w:val="a"/>
    <w:link w:val="aa"/>
    <w:rsid w:val="00013F95"/>
    <w:pPr>
      <w:tabs>
        <w:tab w:val="left" w:pos="567"/>
        <w:tab w:val="left" w:pos="1134"/>
        <w:tab w:val="left" w:pos="1814"/>
        <w:tab w:val="left" w:pos="2665"/>
      </w:tabs>
      <w:overflowPunct/>
      <w:autoSpaceDE/>
      <w:autoSpaceDN/>
      <w:adjustRightInd/>
      <w:spacing w:line="360" w:lineRule="auto"/>
      <w:jc w:val="both"/>
      <w:textAlignment w:val="auto"/>
    </w:pPr>
    <w:rPr>
      <w:rFonts w:cs="David"/>
    </w:rPr>
  </w:style>
  <w:style w:type="character" w:customStyle="1" w:styleId="aa">
    <w:name w:val="טקסט הערה תו"/>
    <w:basedOn w:val="a0"/>
    <w:link w:val="a9"/>
    <w:rsid w:val="00013F95"/>
    <w:rPr>
      <w:rFonts w:cs="David"/>
    </w:rPr>
  </w:style>
  <w:style w:type="paragraph" w:styleId="ab">
    <w:name w:val="annotation subject"/>
    <w:basedOn w:val="a9"/>
    <w:next w:val="a9"/>
    <w:link w:val="ac"/>
    <w:rsid w:val="00013F95"/>
    <w:pPr>
      <w:tabs>
        <w:tab w:val="clear" w:pos="567"/>
        <w:tab w:val="clear" w:pos="1134"/>
        <w:tab w:val="clear" w:pos="1814"/>
        <w:tab w:val="clear" w:pos="2665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cs="Times New Roman"/>
      <w:b/>
      <w:bCs/>
    </w:rPr>
  </w:style>
  <w:style w:type="character" w:customStyle="1" w:styleId="ac">
    <w:name w:val="נושא הערה תו"/>
    <w:basedOn w:val="aa"/>
    <w:link w:val="ab"/>
    <w:rsid w:val="00013F95"/>
    <w:rPr>
      <w:rFonts w:cs="David"/>
      <w:b/>
      <w:bCs/>
    </w:rPr>
  </w:style>
  <w:style w:type="character" w:customStyle="1" w:styleId="a5">
    <w:name w:val="כותרת תחתונה תו"/>
    <w:basedOn w:val="a0"/>
    <w:link w:val="a4"/>
    <w:uiPriority w:val="99"/>
    <w:rsid w:val="001E2DAC"/>
  </w:style>
  <w:style w:type="table" w:styleId="ad">
    <w:name w:val="Table Grid"/>
    <w:basedOn w:val="a1"/>
    <w:rsid w:val="0014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C586C"/>
    <w:pPr>
      <w:overflowPunct/>
      <w:autoSpaceDE/>
      <w:autoSpaceDN/>
      <w:bidi w:val="0"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umpedfont15">
    <w:name w:val="bumpedfont15"/>
    <w:basedOn w:val="a0"/>
    <w:rsid w:val="00EC586C"/>
  </w:style>
  <w:style w:type="character" w:customStyle="1" w:styleId="s14">
    <w:name w:val="s14"/>
    <w:basedOn w:val="a0"/>
    <w:rsid w:val="00EC586C"/>
  </w:style>
  <w:style w:type="character" w:styleId="Hyperlink">
    <w:name w:val="Hyperlink"/>
    <w:basedOn w:val="a0"/>
    <w:uiPriority w:val="99"/>
    <w:unhideWhenUsed/>
    <w:rsid w:val="00BD4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youtube.com/user/thebankofisrael" TargetMode="External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microsoft.com/office/2007/relationships/hdphoto" Target="media/hdphoto1.wdp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1C0F-E3D3-477C-8265-0A25968D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ירושלים, כ"ה בתשרי תשנ"ח</vt:lpstr>
      <vt:lpstr>ירושלים, כ"ה בתשרי תשנ"ח</vt:lpstr>
    </vt:vector>
  </TitlesOfParts>
  <Company>Bank of Israel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כ"ה בתשרי תשנ"ח</dc:title>
  <dc:subject/>
  <dc:creator>ff</dc:creator>
  <cp:keywords/>
  <cp:lastModifiedBy>רוסול דכוור</cp:lastModifiedBy>
  <cp:revision>2</cp:revision>
  <cp:lastPrinted>2024-05-21T09:59:00Z</cp:lastPrinted>
  <dcterms:created xsi:type="dcterms:W3CDTF">2024-05-28T10:09:00Z</dcterms:created>
  <dcterms:modified xsi:type="dcterms:W3CDTF">2024-05-28T10:09:00Z</dcterms:modified>
</cp:coreProperties>
</file>