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2C088F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EA3D5E">
              <w:rPr>
                <w:rFonts w:hint="cs"/>
                <w:rtl/>
              </w:rPr>
              <w:t>ו</w:t>
            </w:r>
            <w:r w:rsidR="002C088F">
              <w:rPr>
                <w:rFonts w:hint="cs"/>
                <w:rtl/>
              </w:rPr>
              <w:t>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2C088F">
              <w:rPr>
                <w:rFonts w:hint="cs"/>
                <w:rtl/>
              </w:rPr>
              <w:t xml:space="preserve">תמוז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תש"</w:t>
            </w:r>
            <w:r w:rsidR="00A65F0D">
              <w:rPr>
                <w:rFonts w:hint="cs"/>
                <w:rtl/>
              </w:rPr>
              <w:t>ף</w:t>
            </w:r>
          </w:p>
          <w:p w:rsidR="00D921A2" w:rsidRPr="000B3287" w:rsidRDefault="00D71BF8" w:rsidP="002C088F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 xml:space="preserve">                     </w:t>
            </w:r>
            <w:r w:rsidR="00EA3D5E">
              <w:rPr>
                <w:rFonts w:hint="cs"/>
                <w:rtl/>
              </w:rPr>
              <w:t>2</w:t>
            </w:r>
            <w:r w:rsidR="002C088F">
              <w:rPr>
                <w:rFonts w:hint="cs"/>
                <w:rtl/>
              </w:rPr>
              <w:t>8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 w:rsidR="002C088F">
              <w:rPr>
                <w:rFonts w:hint="cs"/>
                <w:rtl/>
              </w:rPr>
              <w:t>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20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2C088F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</w:t>
      </w:r>
      <w:r w:rsidR="00A16A71">
        <w:rPr>
          <w:rFonts w:hint="cs"/>
          <w:b/>
          <w:bCs/>
          <w:rtl/>
        </w:rPr>
        <w:t>ר</w:t>
      </w:r>
      <w:r w:rsidR="002C088F">
        <w:rPr>
          <w:rFonts w:hint="cs"/>
          <w:b/>
          <w:bCs/>
          <w:rtl/>
        </w:rPr>
        <w:t>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20</w:t>
      </w:r>
    </w:p>
    <w:p w:rsidR="00091F3F" w:rsidRPr="009264FD" w:rsidRDefault="00FE3B35" w:rsidP="00FE3B3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bookmarkStart w:id="0" w:name="_GoBack"/>
      <w:r>
        <w:rPr>
          <w:rFonts w:hint="cs"/>
          <w:b/>
          <w:bCs/>
          <w:rtl/>
        </w:rPr>
        <w:t xml:space="preserve">על רקע השפעת משבר הקורונה על השווקים הפיננסים, </w:t>
      </w:r>
      <w:r w:rsidR="00F502DF"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4C5C86">
        <w:rPr>
          <w:rFonts w:hint="cs"/>
          <w:b/>
          <w:bCs/>
          <w:rtl/>
        </w:rPr>
        <w:t>ר</w:t>
      </w:r>
      <w:r w:rsidR="002C088F">
        <w:rPr>
          <w:rFonts w:hint="cs"/>
          <w:b/>
          <w:bCs/>
          <w:rtl/>
        </w:rPr>
        <w:t>אשון</w:t>
      </w:r>
      <w:r w:rsidR="00D719DE">
        <w:rPr>
          <w:rFonts w:hint="cs"/>
          <w:b/>
          <w:bCs/>
          <w:rtl/>
        </w:rPr>
        <w:t xml:space="preserve"> </w:t>
      </w:r>
      <w:r w:rsidR="00F502DF" w:rsidRPr="009264FD">
        <w:rPr>
          <w:b/>
          <w:bCs/>
          <w:rtl/>
        </w:rPr>
        <w:t>של שנת 20</w:t>
      </w:r>
      <w:r w:rsidR="002C088F">
        <w:rPr>
          <w:rFonts w:hint="cs"/>
          <w:b/>
          <w:bCs/>
          <w:rtl/>
        </w:rPr>
        <w:t>20</w:t>
      </w:r>
      <w:r w:rsidR="00F502DF" w:rsidRPr="009264FD">
        <w:rPr>
          <w:b/>
          <w:bCs/>
          <w:rtl/>
        </w:rPr>
        <w:t xml:space="preserve"> </w:t>
      </w:r>
      <w:r w:rsidR="002C088F">
        <w:rPr>
          <w:rFonts w:hint="cs"/>
          <w:b/>
          <w:bCs/>
          <w:rtl/>
        </w:rPr>
        <w:t>ירדה</w:t>
      </w:r>
      <w:r w:rsidR="00F502DF"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F46F70">
        <w:rPr>
          <w:rFonts w:hint="cs"/>
          <w:b/>
          <w:bCs/>
          <w:rtl/>
        </w:rPr>
        <w:t>254</w:t>
      </w:r>
      <w:r w:rsidR="00EC18EA" w:rsidRPr="009264FD">
        <w:rPr>
          <w:rFonts w:hint="cs"/>
          <w:b/>
          <w:bCs/>
          <w:rtl/>
        </w:rPr>
        <w:t xml:space="preserve"> מיליארדי </w:t>
      </w:r>
      <w:r w:rsidR="00EC18EA" w:rsidRPr="00FE3B35">
        <w:rPr>
          <w:rFonts w:hint="cs"/>
          <w:b/>
          <w:bCs/>
          <w:rtl/>
        </w:rPr>
        <w:t>ש</w:t>
      </w:r>
      <w:r w:rsidR="00EC18EA" w:rsidRPr="00FE3B35">
        <w:rPr>
          <w:b/>
          <w:bCs/>
          <w:rtl/>
        </w:rPr>
        <w:t>"</w:t>
      </w:r>
      <w:r w:rsidR="00EC18EA" w:rsidRPr="00FE3B35">
        <w:rPr>
          <w:rFonts w:hint="cs"/>
          <w:b/>
          <w:bCs/>
          <w:rtl/>
        </w:rPr>
        <w:t xml:space="preserve">ח </w:t>
      </w:r>
      <w:r w:rsidR="00F46F70" w:rsidRPr="00FE3B35">
        <w:rPr>
          <w:rFonts w:hint="cs"/>
          <w:b/>
          <w:bCs/>
          <w:rtl/>
        </w:rPr>
        <w:t>(</w:t>
      </w:r>
      <w:r w:rsidRPr="00FE3B35">
        <w:rPr>
          <w:rFonts w:hint="cs"/>
          <w:b/>
          <w:bCs/>
          <w:rtl/>
        </w:rPr>
        <w:t>6</w:t>
      </w:r>
      <w:r w:rsidR="00F46F70" w:rsidRPr="00FE3B35">
        <w:rPr>
          <w:rFonts w:hint="cs"/>
          <w:b/>
          <w:bCs/>
          <w:rtl/>
        </w:rPr>
        <w:t>.2%</w:t>
      </w:r>
      <w:r w:rsidR="00F46F70" w:rsidRPr="00FE3B35">
        <w:rPr>
          <w:b/>
          <w:bCs/>
        </w:rPr>
        <w:t>-</w:t>
      </w:r>
      <w:r w:rsidR="00F46F70" w:rsidRPr="00FE3B35">
        <w:rPr>
          <w:rFonts w:hint="cs"/>
          <w:b/>
          <w:bCs/>
          <w:rtl/>
        </w:rPr>
        <w:t xml:space="preserve">) </w:t>
      </w:r>
      <w:r w:rsidR="006D6B90" w:rsidRPr="00FE3B35">
        <w:rPr>
          <w:rFonts w:hint="cs"/>
          <w:b/>
          <w:bCs/>
          <w:rtl/>
        </w:rPr>
        <w:t xml:space="preserve"> ועמד</w:t>
      </w:r>
      <w:r w:rsidR="003F7C50" w:rsidRPr="00FE3B35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</w:t>
      </w:r>
      <w:r w:rsidR="00F46F70">
        <w:rPr>
          <w:rFonts w:hint="cs"/>
          <w:b/>
          <w:bCs/>
          <w:rtl/>
        </w:rPr>
        <w:t>3</w:t>
      </w:r>
      <w:r w:rsidR="006D6B90" w:rsidRPr="009264FD">
        <w:rPr>
          <w:rFonts w:hint="cs"/>
          <w:b/>
          <w:bCs/>
          <w:rtl/>
        </w:rPr>
        <w:t>.</w:t>
      </w:r>
      <w:r w:rsidR="00F46F70">
        <w:rPr>
          <w:rFonts w:hint="cs"/>
          <w:b/>
          <w:bCs/>
          <w:rtl/>
        </w:rPr>
        <w:t>8</w:t>
      </w:r>
      <w:r w:rsidR="00556062">
        <w:rPr>
          <w:rFonts w:hint="cs"/>
          <w:b/>
          <w:bCs/>
          <w:rtl/>
        </w:rPr>
        <w:t>3</w:t>
      </w:r>
      <w:r w:rsidR="00DD612E">
        <w:rPr>
          <w:rFonts w:hint="cs"/>
          <w:b/>
          <w:bCs/>
          <w:rtl/>
        </w:rPr>
        <w:t xml:space="preserve">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:rsidR="00C543B6" w:rsidRDefault="00100552" w:rsidP="00FF0F82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b/>
          <w:bCs/>
          <w:rtl/>
        </w:rPr>
        <w:t xml:space="preserve">במהלך הרביע ירדו היתרות של החזקת הציבור בכלל הרכיבים בתיק למעט </w:t>
      </w:r>
      <w:r w:rsidRPr="00C543B6">
        <w:rPr>
          <w:rFonts w:hint="cs"/>
          <w:b/>
          <w:bCs/>
          <w:rtl/>
        </w:rPr>
        <w:t>ב</w:t>
      </w:r>
      <w:r w:rsidRPr="00C543B6">
        <w:rPr>
          <w:b/>
          <w:bCs/>
          <w:rtl/>
        </w:rPr>
        <w:t>רכיב המזומן הפיקדונות. בלטו בירידות חדות, המניות בארץ</w:t>
      </w:r>
      <w:r w:rsidRPr="00C543B6">
        <w:rPr>
          <w:rFonts w:hint="cs"/>
          <w:b/>
          <w:bCs/>
          <w:rtl/>
        </w:rPr>
        <w:t>,</w:t>
      </w:r>
      <w:r w:rsidRPr="00C543B6">
        <w:rPr>
          <w:b/>
          <w:bCs/>
          <w:rtl/>
        </w:rPr>
        <w:t xml:space="preserve"> ההשקעות בחו"ל ואג"ח החברות</w:t>
      </w:r>
      <w:r w:rsidR="00FF0F82">
        <w:rPr>
          <w:rFonts w:hint="cs"/>
          <w:b/>
          <w:bCs/>
          <w:rtl/>
        </w:rPr>
        <w:t>, על רקע ירידות מחירים ניכרות בשווקי ההון הגלובליים ובישראל</w:t>
      </w:r>
      <w:r w:rsidRPr="00C543B6">
        <w:rPr>
          <w:b/>
          <w:bCs/>
          <w:rtl/>
        </w:rPr>
        <w:t>.</w:t>
      </w:r>
      <w:r w:rsidR="00BF21CA" w:rsidRPr="00C543B6">
        <w:rPr>
          <w:rFonts w:hint="cs"/>
          <w:b/>
          <w:bCs/>
          <w:rtl/>
        </w:rPr>
        <w:t xml:space="preserve"> </w:t>
      </w:r>
    </w:p>
    <w:p w:rsidR="00C543B6" w:rsidRDefault="00C543B6" w:rsidP="00C543B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rFonts w:hint="cs"/>
          <w:b/>
          <w:bCs/>
          <w:rtl/>
        </w:rPr>
        <w:t>כתוצאה מההתפתחויות במהלך הרביע, חלה ירידה משמעותית בשיעור הנכסים הסחירים מסך התיק במקביל לירידה בשיעור הנכסים בסיכון</w:t>
      </w:r>
      <w:r>
        <w:rPr>
          <w:rFonts w:hint="cs"/>
          <w:b/>
          <w:bCs/>
          <w:rtl/>
        </w:rPr>
        <w:t>.</w:t>
      </w:r>
    </w:p>
    <w:p w:rsidR="00940C2E" w:rsidRPr="00C543B6" w:rsidRDefault="00940C2E" w:rsidP="0067229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b/>
          <w:bCs/>
          <w:rtl/>
        </w:rPr>
        <w:t xml:space="preserve">יתרת התיק המנוהל בידי המשקיעים המוסדיים </w:t>
      </w:r>
      <w:r w:rsidR="00100552" w:rsidRPr="00C543B6">
        <w:rPr>
          <w:rFonts w:hint="cs"/>
          <w:b/>
          <w:bCs/>
          <w:rtl/>
        </w:rPr>
        <w:t>ירדה</w:t>
      </w:r>
      <w:r w:rsidRPr="00C543B6">
        <w:rPr>
          <w:b/>
          <w:bCs/>
          <w:rtl/>
        </w:rPr>
        <w:t xml:space="preserve"> ברביע ה</w:t>
      </w:r>
      <w:r w:rsidR="00100552" w:rsidRPr="00C543B6">
        <w:rPr>
          <w:rFonts w:hint="cs"/>
          <w:b/>
          <w:bCs/>
          <w:rtl/>
        </w:rPr>
        <w:t>ראשון</w:t>
      </w:r>
      <w:r w:rsidRPr="00C543B6">
        <w:rPr>
          <w:b/>
          <w:bCs/>
          <w:rtl/>
        </w:rPr>
        <w:t xml:space="preserve"> בכ-</w:t>
      </w:r>
      <w:r w:rsidR="003B5118" w:rsidRPr="00C543B6">
        <w:rPr>
          <w:rFonts w:hint="cs"/>
          <w:b/>
          <w:bCs/>
          <w:rtl/>
        </w:rPr>
        <w:t>141</w:t>
      </w:r>
      <w:r w:rsidRPr="00C543B6">
        <w:rPr>
          <w:b/>
          <w:bCs/>
          <w:rtl/>
        </w:rPr>
        <w:t xml:space="preserve"> מיליארדי ש"ח </w:t>
      </w:r>
      <w:r w:rsidR="003B5118" w:rsidRPr="00C543B6">
        <w:rPr>
          <w:b/>
          <w:bCs/>
          <w:rtl/>
        </w:rPr>
        <w:t>(7.4%-)</w:t>
      </w:r>
      <w:r w:rsidRPr="00C543B6">
        <w:rPr>
          <w:b/>
          <w:bCs/>
          <w:rtl/>
        </w:rPr>
        <w:t xml:space="preserve"> </w:t>
      </w:r>
      <w:r w:rsidRPr="00C543B6">
        <w:rPr>
          <w:rFonts w:hint="cs"/>
          <w:b/>
          <w:bCs/>
          <w:rtl/>
        </w:rPr>
        <w:t>ועמדה בסופו על</w:t>
      </w:r>
      <w:r w:rsidRPr="00C543B6">
        <w:rPr>
          <w:b/>
          <w:bCs/>
          <w:rtl/>
        </w:rPr>
        <w:t xml:space="preserve"> 1.</w:t>
      </w:r>
      <w:r w:rsidR="00ED4467" w:rsidRPr="00C543B6">
        <w:rPr>
          <w:rFonts w:hint="cs"/>
          <w:b/>
          <w:bCs/>
          <w:rtl/>
        </w:rPr>
        <w:t>77</w:t>
      </w:r>
      <w:r w:rsidRPr="00C543B6">
        <w:rPr>
          <w:b/>
          <w:bCs/>
          <w:rtl/>
        </w:rPr>
        <w:t xml:space="preserve"> טריליוני</w:t>
      </w:r>
      <w:r w:rsidRPr="00C543B6">
        <w:rPr>
          <w:rFonts w:hint="cs"/>
          <w:b/>
          <w:bCs/>
          <w:rtl/>
        </w:rPr>
        <w:t xml:space="preserve"> ש"ח.</w:t>
      </w:r>
    </w:p>
    <w:p w:rsidR="000C537B" w:rsidRDefault="000C537B" w:rsidP="000C537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b/>
          <w:bCs/>
          <w:rtl/>
        </w:rPr>
        <w:t>שיעור החשיפה של הגופים המוסדיים לנכסים זרים ירד בכ-0.9 נקודות האחוז במקביל לירידה של כ-1.6 נקודות אחוז בשיעור החשיפה למט"ח.</w:t>
      </w:r>
    </w:p>
    <w:p w:rsidR="00FE3B35" w:rsidRDefault="000C537B" w:rsidP="00FE3B3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b/>
          <w:bCs/>
          <w:rtl/>
        </w:rPr>
        <w:t>היקף התיק המנוהל באמצעות קרנות נאמנות בארץ ירד ברביע הראשון של השנה בכ-80.6 מיליארדי ש"ח (22.9%</w:t>
      </w:r>
      <w:r w:rsidR="0015253B">
        <w:rPr>
          <w:b/>
          <w:bCs/>
          <w:rtl/>
        </w:rPr>
        <w:t>-)</w:t>
      </w:r>
      <w:r>
        <w:rPr>
          <w:b/>
          <w:bCs/>
          <w:rtl/>
        </w:rPr>
        <w:t>.</w:t>
      </w:r>
    </w:p>
    <w:bookmarkEnd w:id="0"/>
    <w:p w:rsidR="00FE3B35" w:rsidRPr="00AC65AB" w:rsidRDefault="00FE3B35" w:rsidP="00FE3B35">
      <w:pPr>
        <w:pStyle w:val="af"/>
        <w:spacing w:before="240" w:line="360" w:lineRule="auto"/>
        <w:jc w:val="both"/>
        <w:rPr>
          <w:b/>
          <w:bCs/>
          <w:sz w:val="14"/>
          <w:szCs w:val="14"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Pr="00AC65AB" w:rsidRDefault="00FE3B35" w:rsidP="00AC65AB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ברקע השפעת משבר הקורונה על השווקים הפיננסים</w:t>
      </w:r>
      <w:r w:rsidRPr="00614FCA">
        <w:rPr>
          <w:rFonts w:hint="cs"/>
          <w:rtl/>
        </w:rPr>
        <w:t xml:space="preserve"> </w:t>
      </w:r>
      <w:r w:rsidR="0027468F"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="0027468F"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="0027468F"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F32C0F">
        <w:rPr>
          <w:rFonts w:hint="cs"/>
          <w:b/>
          <w:bCs/>
          <w:rtl/>
        </w:rPr>
        <w:t xml:space="preserve">הראשון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20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F32C0F">
        <w:rPr>
          <w:rFonts w:hint="cs"/>
          <w:rtl/>
        </w:rPr>
        <w:t>ירדה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F32C0F">
        <w:rPr>
          <w:rFonts w:hint="cs"/>
          <w:rtl/>
        </w:rPr>
        <w:t>254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F32C0F" w:rsidRPr="00F32C0F">
        <w:rPr>
          <w:rtl/>
        </w:rPr>
        <w:t>(6.2%-)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F32C0F">
        <w:rPr>
          <w:rFonts w:hint="cs"/>
          <w:rtl/>
        </w:rPr>
        <w:t>3</w:t>
      </w:r>
      <w:r w:rsidR="0063699B">
        <w:rPr>
          <w:rFonts w:hint="cs"/>
          <w:rtl/>
        </w:rPr>
        <w:t>.</w:t>
      </w:r>
      <w:r w:rsidR="00F32C0F">
        <w:rPr>
          <w:rFonts w:hint="cs"/>
          <w:rtl/>
        </w:rPr>
        <w:t>83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</w:t>
      </w:r>
      <w:r w:rsidR="008147A5" w:rsidRPr="00FE3B35">
        <w:rPr>
          <w:rFonts w:hint="cs"/>
          <w:rtl/>
        </w:rPr>
        <w:t>תרשים 1).</w:t>
      </w:r>
      <w:r w:rsidR="00975AF9" w:rsidRPr="00FE3B35">
        <w:rPr>
          <w:rFonts w:hint="cs"/>
          <w:rtl/>
        </w:rPr>
        <w:t xml:space="preserve"> </w:t>
      </w:r>
      <w:r w:rsidR="00C90138" w:rsidRPr="00FE3B35">
        <w:rPr>
          <w:rFonts w:hint="cs"/>
          <w:rtl/>
        </w:rPr>
        <w:t xml:space="preserve">משקל תיק הנכסים הפיננסיים של הציבור ביחס לתוצר </w:t>
      </w:r>
      <w:r w:rsidR="00F32C0F" w:rsidRPr="00FE3B35">
        <w:rPr>
          <w:rFonts w:hint="cs"/>
          <w:rtl/>
        </w:rPr>
        <w:t>ירד אף הוא</w:t>
      </w:r>
      <w:r w:rsidR="00BE7B9A" w:rsidRPr="00FE3B35">
        <w:rPr>
          <w:rFonts w:hint="cs"/>
          <w:rtl/>
        </w:rPr>
        <w:t xml:space="preserve"> </w:t>
      </w:r>
      <w:r w:rsidR="000D49A8" w:rsidRPr="00FE3B35">
        <w:rPr>
          <w:rFonts w:hint="cs"/>
          <w:rtl/>
        </w:rPr>
        <w:t>בכ-</w:t>
      </w:r>
      <w:r w:rsidR="00F32C0F" w:rsidRPr="00FE3B35">
        <w:rPr>
          <w:rFonts w:hint="cs"/>
          <w:rtl/>
        </w:rPr>
        <w:t>19.3</w:t>
      </w:r>
      <w:r w:rsidR="000D49A8" w:rsidRPr="00FE3B35">
        <w:rPr>
          <w:rFonts w:hint="cs"/>
          <w:rtl/>
        </w:rPr>
        <w:t xml:space="preserve"> נקודות אחוז ועמד בסוף הרביע</w:t>
      </w:r>
      <w:r w:rsidR="00975AF9" w:rsidRPr="00FE3B35">
        <w:rPr>
          <w:rFonts w:hint="cs"/>
          <w:rtl/>
        </w:rPr>
        <w:t xml:space="preserve"> על</w:t>
      </w:r>
      <w:r w:rsidR="00C90138" w:rsidRPr="00FE3B35">
        <w:rPr>
          <w:rFonts w:hint="cs"/>
          <w:rtl/>
        </w:rPr>
        <w:t xml:space="preserve"> </w:t>
      </w:r>
      <w:r w:rsidR="00830F9A" w:rsidRPr="00FE3B35">
        <w:rPr>
          <w:rFonts w:hint="cs"/>
          <w:rtl/>
        </w:rPr>
        <w:t>2</w:t>
      </w:r>
      <w:r w:rsidR="00F32C0F" w:rsidRPr="00FE3B35">
        <w:rPr>
          <w:rFonts w:hint="cs"/>
          <w:rtl/>
        </w:rPr>
        <w:t>70</w:t>
      </w:r>
      <w:r w:rsidR="00CE2D8C" w:rsidRPr="00FE3B35">
        <w:rPr>
          <w:rFonts w:hint="cs"/>
          <w:rtl/>
        </w:rPr>
        <w:t>.</w:t>
      </w:r>
      <w:r w:rsidR="00F32C0F" w:rsidRPr="00FE3B35">
        <w:rPr>
          <w:rFonts w:hint="cs"/>
          <w:rtl/>
        </w:rPr>
        <w:t>4</w:t>
      </w:r>
      <w:r w:rsidRPr="00FE3B35">
        <w:rPr>
          <w:rFonts w:hint="cs"/>
          <w:rtl/>
        </w:rPr>
        <w:t>%.</w:t>
      </w:r>
      <w:r>
        <w:rPr>
          <w:rFonts w:hint="cs"/>
          <w:b/>
          <w:bCs/>
          <w:rtl/>
        </w:rPr>
        <w:t xml:space="preserve"> </w:t>
      </w:r>
    </w:p>
    <w:p w:rsidR="00D10907" w:rsidRDefault="00F46F70" w:rsidP="0066760C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FB279BC" wp14:editId="7818B0FA">
            <wp:extent cx="6122413" cy="2449901"/>
            <wp:effectExtent l="0" t="0" r="0" b="7620"/>
            <wp:docPr id="4" name="תמונה 3" descr="תרשים 1: יתרת תיק הנכסים הפיננסיים שבידי הציבור 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348" cy="24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C2" w:rsidRPr="00DD612E" w:rsidRDefault="009B58C2" w:rsidP="009B58C2">
      <w:pPr>
        <w:spacing w:before="240" w:line="360" w:lineRule="auto"/>
        <w:ind w:left="360"/>
        <w:jc w:val="center"/>
        <w:rPr>
          <w:rtl/>
        </w:rPr>
      </w:pPr>
    </w:p>
    <w:p w:rsidR="00A27ECC" w:rsidRDefault="00A27ECC" w:rsidP="00A27ECC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Default="00A27ECC" w:rsidP="008D6C72">
      <w:pPr>
        <w:pStyle w:val="af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>במהלך הרביע ה</w:t>
      </w:r>
      <w:r w:rsidR="009B58C2">
        <w:rPr>
          <w:rFonts w:hint="cs"/>
          <w:rtl/>
        </w:rPr>
        <w:t>ר</w:t>
      </w:r>
      <w:r w:rsidR="004F3CD0">
        <w:rPr>
          <w:rFonts w:hint="cs"/>
          <w:rtl/>
        </w:rPr>
        <w:t>אשון</w:t>
      </w:r>
      <w:r w:rsidRPr="00CE2D8C">
        <w:rPr>
          <w:rFonts w:hint="cs"/>
          <w:rtl/>
        </w:rPr>
        <w:t xml:space="preserve"> </w:t>
      </w:r>
      <w:r w:rsidR="004F3CD0">
        <w:rPr>
          <w:rFonts w:hint="cs"/>
          <w:rtl/>
        </w:rPr>
        <w:t>ירדו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היתרות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החזקת הציבור </w:t>
      </w:r>
      <w:r w:rsidR="009B58C2">
        <w:rPr>
          <w:rFonts w:hint="cs"/>
          <w:rtl/>
        </w:rPr>
        <w:t>בכלל הרכיבים בתיק</w:t>
      </w:r>
      <w:r w:rsidR="009D1CEA">
        <w:rPr>
          <w:rFonts w:hint="cs"/>
          <w:rtl/>
        </w:rPr>
        <w:t xml:space="preserve"> למעט </w:t>
      </w:r>
      <w:r w:rsidR="00100552">
        <w:rPr>
          <w:rFonts w:hint="cs"/>
          <w:rtl/>
        </w:rPr>
        <w:t>ב</w:t>
      </w:r>
      <w:r w:rsidR="009D1CEA">
        <w:rPr>
          <w:rFonts w:hint="cs"/>
          <w:rtl/>
        </w:rPr>
        <w:t>רכיב המזומן הפיקדונות</w:t>
      </w:r>
      <w:r w:rsidRPr="00CE2D8C">
        <w:rPr>
          <w:rFonts w:hint="cs"/>
          <w:rtl/>
        </w:rPr>
        <w:t xml:space="preserve">. </w:t>
      </w:r>
      <w:r w:rsidR="009D1CEA">
        <w:rPr>
          <w:rFonts w:hint="cs"/>
          <w:rtl/>
        </w:rPr>
        <w:t>בלטו בירידות חדות</w:t>
      </w:r>
      <w:r>
        <w:rPr>
          <w:rFonts w:hint="cs"/>
          <w:rtl/>
        </w:rPr>
        <w:t xml:space="preserve">, </w:t>
      </w:r>
      <w:r w:rsidR="009D1CEA">
        <w:rPr>
          <w:rFonts w:hint="cs"/>
          <w:rtl/>
        </w:rPr>
        <w:t xml:space="preserve">המניות בארץ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28</w:t>
      </w:r>
      <w:r w:rsidR="009D1CEA" w:rsidRPr="00F32C0F">
        <w:rPr>
          <w:rtl/>
        </w:rPr>
        <w:t>.</w:t>
      </w:r>
      <w:r w:rsidR="009D1CEA">
        <w:rPr>
          <w:rFonts w:hint="cs"/>
          <w:rtl/>
        </w:rPr>
        <w:t>8</w:t>
      </w:r>
      <w:r w:rsidR="009D1CEA" w:rsidRPr="00F32C0F">
        <w:rPr>
          <w:rtl/>
        </w:rPr>
        <w:t>%-)</w:t>
      </w:r>
      <w:r w:rsidR="009B58C2">
        <w:rPr>
          <w:rFonts w:hint="cs"/>
          <w:rtl/>
        </w:rPr>
        <w:t xml:space="preserve">, </w:t>
      </w:r>
      <w:r w:rsidR="009D1CEA">
        <w:rPr>
          <w:rFonts w:hint="cs"/>
          <w:rtl/>
        </w:rPr>
        <w:t xml:space="preserve">ההשקעות בחו"ל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15</w:t>
      </w:r>
      <w:r w:rsidR="009D1CEA" w:rsidRPr="00F32C0F">
        <w:rPr>
          <w:rtl/>
        </w:rPr>
        <w:t>.</w:t>
      </w:r>
      <w:r w:rsidR="009D1CEA">
        <w:rPr>
          <w:rFonts w:hint="cs"/>
          <w:rtl/>
        </w:rPr>
        <w:t>9</w:t>
      </w:r>
      <w:r w:rsidR="009D1CEA" w:rsidRPr="00F32C0F">
        <w:rPr>
          <w:rtl/>
        </w:rPr>
        <w:t>%-)</w:t>
      </w:r>
      <w:r w:rsidR="009D1CEA">
        <w:t xml:space="preserve"> </w:t>
      </w:r>
      <w:r w:rsidR="009D1CEA">
        <w:rPr>
          <w:rFonts w:hint="cs"/>
          <w:rtl/>
        </w:rPr>
        <w:t>ואג"ח החברות</w:t>
      </w:r>
      <w:r w:rsidR="009B58C2">
        <w:rPr>
          <w:rFonts w:hint="cs"/>
          <w:rtl/>
        </w:rPr>
        <w:t xml:space="preserve">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1</w:t>
      </w:r>
      <w:r w:rsidR="008D6C72">
        <w:rPr>
          <w:rFonts w:hint="cs"/>
          <w:rtl/>
        </w:rPr>
        <w:t>1</w:t>
      </w:r>
      <w:r w:rsidR="009D1CEA" w:rsidRPr="00F32C0F">
        <w:rPr>
          <w:rtl/>
        </w:rPr>
        <w:t>.</w:t>
      </w:r>
      <w:r w:rsidR="008D6C72">
        <w:rPr>
          <w:rFonts w:hint="cs"/>
          <w:rtl/>
        </w:rPr>
        <w:t>9</w:t>
      </w:r>
      <w:r w:rsidR="009D1CEA" w:rsidRPr="00F32C0F">
        <w:rPr>
          <w:rtl/>
        </w:rPr>
        <w:t>%-)</w:t>
      </w:r>
      <w:r w:rsidR="009B58C2">
        <w:rPr>
          <w:rFonts w:hint="cs"/>
          <w:rtl/>
        </w:rPr>
        <w:t>.</w:t>
      </w:r>
    </w:p>
    <w:p w:rsidR="009233DD" w:rsidRDefault="0066760C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157CA05B" wp14:editId="029A3A1B">
            <wp:extent cx="5797662" cy="2320505"/>
            <wp:effectExtent l="0" t="0" r="0" b="3810"/>
            <wp:docPr id="6" name="תמונה 5" descr="תרשים 2: יתרות מכשירים בתיק הנכסים לסוף מרץ 2020 (במיליארדי ש&quot;ח)&#10;" title="תרשים 2: יתרות מכשירים בתיק הנכסים לסוף מרץ 2020 (במיליארדי ש&quot;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4825" cy="23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C2" w:rsidRPr="00800444" w:rsidRDefault="009B58C2" w:rsidP="00C35721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ההחזקות </w:t>
      </w:r>
      <w:r w:rsidRPr="005C4616">
        <w:rPr>
          <w:rFonts w:hint="cs"/>
          <w:b/>
          <w:bCs/>
          <w:rtl/>
        </w:rPr>
        <w:t>במניות בארץ</w:t>
      </w:r>
      <w:r w:rsidRPr="005C4616">
        <w:rPr>
          <w:rFonts w:hint="cs"/>
          <w:rtl/>
        </w:rPr>
        <w:t xml:space="preserve"> </w:t>
      </w:r>
      <w:r w:rsidR="009D1CEA">
        <w:rPr>
          <w:rFonts w:hint="cs"/>
          <w:rtl/>
        </w:rPr>
        <w:t>ירד</w:t>
      </w:r>
      <w:r w:rsidRPr="005C4616">
        <w:rPr>
          <w:rFonts w:hint="cs"/>
          <w:rtl/>
        </w:rPr>
        <w:t>ה בכ-</w:t>
      </w:r>
      <w:r w:rsidR="009D1CEA">
        <w:rPr>
          <w:rFonts w:hint="cs"/>
          <w:rtl/>
        </w:rPr>
        <w:t>137</w:t>
      </w:r>
      <w:r w:rsidRPr="005C4616">
        <w:rPr>
          <w:rFonts w:hint="cs"/>
          <w:rtl/>
        </w:rPr>
        <w:t xml:space="preserve"> מיליארדי ש"ח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28</w:t>
      </w:r>
      <w:r w:rsidR="009D1CEA" w:rsidRPr="00F32C0F">
        <w:rPr>
          <w:rtl/>
        </w:rPr>
        <w:t>.</w:t>
      </w:r>
      <w:r w:rsidR="009D1CEA">
        <w:rPr>
          <w:rFonts w:hint="cs"/>
          <w:rtl/>
        </w:rPr>
        <w:t>8</w:t>
      </w:r>
      <w:r w:rsidR="009D1CEA" w:rsidRPr="00F32C0F">
        <w:rPr>
          <w:rtl/>
        </w:rPr>
        <w:t>%-)</w:t>
      </w:r>
      <w:r w:rsidR="009D1CEA">
        <w:rPr>
          <w:rFonts w:hint="cs"/>
          <w:rtl/>
        </w:rPr>
        <w:t>,</w:t>
      </w:r>
      <w:r w:rsidRPr="00800444">
        <w:rPr>
          <w:rFonts w:hint="cs"/>
          <w:rtl/>
        </w:rPr>
        <w:t xml:space="preserve"> זאת כתוצאה </w:t>
      </w:r>
      <w:r w:rsidRPr="00851F82">
        <w:rPr>
          <w:rFonts w:hint="cs"/>
          <w:rtl/>
        </w:rPr>
        <w:t>מ</w:t>
      </w:r>
      <w:r w:rsidR="009D1CEA">
        <w:rPr>
          <w:rFonts w:hint="cs"/>
          <w:rtl/>
        </w:rPr>
        <w:t>ירידות</w:t>
      </w:r>
      <w:r w:rsidRPr="00851F82">
        <w:rPr>
          <w:rFonts w:hint="cs"/>
          <w:rtl/>
        </w:rPr>
        <w:t xml:space="preserve"> מחירים</w:t>
      </w:r>
      <w:r w:rsidR="00851F82">
        <w:rPr>
          <w:rFonts w:hint="cs"/>
          <w:rtl/>
        </w:rPr>
        <w:t xml:space="preserve"> </w:t>
      </w:r>
      <w:r w:rsidR="00C35721">
        <w:rPr>
          <w:rFonts w:hint="cs"/>
          <w:rtl/>
        </w:rPr>
        <w:t>חדות</w:t>
      </w:r>
      <w:r w:rsidR="009D1CEA">
        <w:rPr>
          <w:rFonts w:hint="cs"/>
          <w:rtl/>
        </w:rPr>
        <w:t xml:space="preserve"> </w:t>
      </w:r>
      <w:r w:rsidR="00FA3DF6" w:rsidRPr="002257C2">
        <w:rPr>
          <w:rFonts w:hint="cs"/>
          <w:rtl/>
        </w:rPr>
        <w:t>ש</w:t>
      </w:r>
      <w:r w:rsidR="002257C2">
        <w:rPr>
          <w:rFonts w:hint="cs"/>
          <w:rtl/>
        </w:rPr>
        <w:t xml:space="preserve">קוזזו במעט </w:t>
      </w:r>
      <w:r w:rsidR="00FA3DF6" w:rsidRPr="002257C2">
        <w:rPr>
          <w:rFonts w:hint="cs"/>
          <w:rtl/>
        </w:rPr>
        <w:t>בהשקעות נטו</w:t>
      </w:r>
      <w:r w:rsidR="002257C2">
        <w:rPr>
          <w:rFonts w:hint="cs"/>
          <w:rtl/>
        </w:rPr>
        <w:t xml:space="preserve"> (אומדן של כמיליארד ש"ח)</w:t>
      </w:r>
      <w:r w:rsidR="00FA3DF6" w:rsidRPr="002257C2">
        <w:rPr>
          <w:rFonts w:hint="cs"/>
          <w:rtl/>
        </w:rPr>
        <w:t>.</w:t>
      </w:r>
    </w:p>
    <w:p w:rsidR="00912287" w:rsidRPr="00BE5B88" w:rsidRDefault="009B58C2" w:rsidP="002D6D9E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b/>
          <w:bCs/>
          <w:rtl/>
        </w:rPr>
        <w:t xml:space="preserve">יתרת האג"ח החברות הסחירות בארץ </w:t>
      </w:r>
      <w:r w:rsidR="009D1CEA">
        <w:rPr>
          <w:rFonts w:hint="cs"/>
          <w:rtl/>
        </w:rPr>
        <w:t>ירדה</w:t>
      </w:r>
      <w:r w:rsidRPr="00D522B4">
        <w:rPr>
          <w:rFonts w:hint="cs"/>
          <w:rtl/>
        </w:rPr>
        <w:t xml:space="preserve"> בכ-</w:t>
      </w:r>
      <w:r w:rsidR="009D1CEA">
        <w:rPr>
          <w:rFonts w:hint="cs"/>
          <w:rtl/>
        </w:rPr>
        <w:t>39</w:t>
      </w:r>
      <w:r w:rsidRPr="00D522B4">
        <w:rPr>
          <w:rFonts w:hint="cs"/>
          <w:rtl/>
        </w:rPr>
        <w:t xml:space="preserve"> מיליארדי ש"ח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1</w:t>
      </w:r>
      <w:r w:rsidR="002D6D9E">
        <w:rPr>
          <w:rFonts w:hint="cs"/>
          <w:rtl/>
        </w:rPr>
        <w:t>1</w:t>
      </w:r>
      <w:r w:rsidR="009D1CEA" w:rsidRPr="00F32C0F">
        <w:rPr>
          <w:rtl/>
        </w:rPr>
        <w:t>.</w:t>
      </w:r>
      <w:r w:rsidR="002D6D9E">
        <w:rPr>
          <w:rFonts w:hint="cs"/>
          <w:rtl/>
        </w:rPr>
        <w:t>9</w:t>
      </w:r>
      <w:r w:rsidR="009D1CEA" w:rsidRPr="00F32C0F">
        <w:rPr>
          <w:rtl/>
        </w:rPr>
        <w:t>%-)</w:t>
      </w:r>
      <w:r w:rsidR="009D1CEA">
        <w:rPr>
          <w:rFonts w:hint="cs"/>
          <w:rtl/>
        </w:rPr>
        <w:t>.</w:t>
      </w:r>
      <w:r w:rsidRPr="00D522B4">
        <w:rPr>
          <w:rFonts w:hint="cs"/>
          <w:rtl/>
        </w:rPr>
        <w:t xml:space="preserve"> ועמדה בסוף הרביע על כ-3</w:t>
      </w:r>
      <w:r w:rsidR="009D1CEA">
        <w:rPr>
          <w:rFonts w:hint="cs"/>
          <w:rtl/>
        </w:rPr>
        <w:t>27</w:t>
      </w:r>
      <w:r w:rsidRPr="00D522B4">
        <w:rPr>
          <w:rFonts w:hint="cs"/>
          <w:rtl/>
        </w:rPr>
        <w:t xml:space="preserve"> מיליארדים, </w:t>
      </w:r>
      <w:r w:rsidRPr="0078773D">
        <w:rPr>
          <w:rFonts w:hint="cs"/>
          <w:rtl/>
        </w:rPr>
        <w:t xml:space="preserve">זאת </w:t>
      </w:r>
      <w:r w:rsidR="00BE5B88">
        <w:rPr>
          <w:rFonts w:hint="cs"/>
          <w:rtl/>
        </w:rPr>
        <w:t xml:space="preserve">בעיקר </w:t>
      </w:r>
      <w:r w:rsidRPr="0078773D">
        <w:rPr>
          <w:rFonts w:hint="cs"/>
          <w:rtl/>
        </w:rPr>
        <w:t xml:space="preserve">כתוצאה </w:t>
      </w:r>
      <w:r w:rsidRPr="00BE5B88">
        <w:rPr>
          <w:rFonts w:hint="cs"/>
          <w:rtl/>
        </w:rPr>
        <w:t>מ</w:t>
      </w:r>
      <w:r w:rsidR="009D1CEA" w:rsidRPr="00BE5B88">
        <w:rPr>
          <w:rFonts w:hint="cs"/>
          <w:rtl/>
        </w:rPr>
        <w:t>ירידו</w:t>
      </w:r>
      <w:r w:rsidRPr="00BE5B88">
        <w:rPr>
          <w:rFonts w:hint="cs"/>
          <w:rtl/>
        </w:rPr>
        <w:t xml:space="preserve">ת מחירים </w:t>
      </w:r>
      <w:r w:rsidR="00BE5B88" w:rsidRPr="00BE5B88">
        <w:rPr>
          <w:rFonts w:hint="cs"/>
          <w:rtl/>
        </w:rPr>
        <w:t xml:space="preserve">משמעותיות </w:t>
      </w:r>
      <w:r w:rsidRPr="00BE5B88">
        <w:rPr>
          <w:rFonts w:hint="cs"/>
          <w:rtl/>
        </w:rPr>
        <w:t>במקביל ל</w:t>
      </w:r>
      <w:r w:rsidR="00BE5B88" w:rsidRPr="00BE5B88">
        <w:rPr>
          <w:rFonts w:hint="cs"/>
          <w:rtl/>
        </w:rPr>
        <w:t>מימושים</w:t>
      </w:r>
      <w:r w:rsidRPr="00BE5B88">
        <w:rPr>
          <w:rFonts w:hint="cs"/>
          <w:rtl/>
        </w:rPr>
        <w:t xml:space="preserve"> נטו</w:t>
      </w:r>
      <w:r w:rsidR="00BE5B88" w:rsidRPr="00BE5B88">
        <w:rPr>
          <w:rFonts w:hint="cs"/>
          <w:rtl/>
        </w:rPr>
        <w:t xml:space="preserve"> (אומדן של כ-7.4 מיליארדי ש"ח)</w:t>
      </w:r>
      <w:r w:rsidRPr="00BE5B88">
        <w:rPr>
          <w:rFonts w:hint="cs"/>
          <w:rtl/>
        </w:rPr>
        <w:t>.</w:t>
      </w:r>
    </w:p>
    <w:p w:rsidR="002B3369" w:rsidRPr="00D522B4" w:rsidRDefault="009B58C2" w:rsidP="009D1CEA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r w:rsidRPr="00D522B4">
        <w:rPr>
          <w:rFonts w:hint="cs"/>
          <w:b/>
          <w:bCs/>
          <w:rtl/>
        </w:rPr>
        <w:t>האג"ח הממשלתיות</w:t>
      </w:r>
      <w:r w:rsidRPr="00D522B4">
        <w:rPr>
          <w:rFonts w:hint="cs"/>
          <w:rtl/>
        </w:rPr>
        <w:t xml:space="preserve"> (סחירות ולא-סחירות) </w:t>
      </w:r>
      <w:r w:rsidRPr="00D522B4">
        <w:rPr>
          <w:rFonts w:hint="cs"/>
          <w:b/>
          <w:bCs/>
          <w:rtl/>
        </w:rPr>
        <w:t>והמק"ם</w:t>
      </w:r>
      <w:r w:rsidRPr="00D522B4">
        <w:rPr>
          <w:rFonts w:hint="cs"/>
          <w:rtl/>
        </w:rPr>
        <w:t xml:space="preserve"> </w:t>
      </w:r>
      <w:r w:rsidR="009D1CEA">
        <w:rPr>
          <w:rFonts w:hint="cs"/>
          <w:rtl/>
        </w:rPr>
        <w:t xml:space="preserve">ירדה </w:t>
      </w:r>
      <w:r w:rsidRPr="00D522B4">
        <w:rPr>
          <w:rFonts w:hint="cs"/>
          <w:rtl/>
        </w:rPr>
        <w:t>בכ-</w:t>
      </w:r>
      <w:r w:rsidR="009D1CEA">
        <w:rPr>
          <w:rFonts w:hint="cs"/>
          <w:rtl/>
        </w:rPr>
        <w:t>66</w:t>
      </w:r>
      <w:r w:rsidRPr="00D522B4">
        <w:rPr>
          <w:rFonts w:hint="cs"/>
          <w:rtl/>
        </w:rPr>
        <w:t xml:space="preserve"> מיליארדי ש</w:t>
      </w:r>
      <w:r w:rsidRPr="00D522B4">
        <w:rPr>
          <w:rtl/>
        </w:rPr>
        <w:t>"</w:t>
      </w:r>
      <w:r w:rsidRPr="00D522B4">
        <w:rPr>
          <w:rFonts w:hint="cs"/>
          <w:rtl/>
        </w:rPr>
        <w:t xml:space="preserve">ח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7.8</w:t>
      </w:r>
      <w:r w:rsidR="009D1CEA" w:rsidRPr="00F32C0F">
        <w:rPr>
          <w:rtl/>
        </w:rPr>
        <w:t>%-)</w:t>
      </w:r>
      <w:r w:rsidRPr="00D522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430C8" w:rsidRPr="00317C48" w:rsidRDefault="00E1512C" w:rsidP="009233DD">
      <w:pPr>
        <w:spacing w:before="240" w:line="360" w:lineRule="auto"/>
        <w:ind w:left="401"/>
        <w:jc w:val="center"/>
        <w:rPr>
          <w:rtl/>
        </w:rPr>
      </w:pPr>
      <w:r w:rsidRPr="00596201">
        <w:rPr>
          <w:rFonts w:hint="cs"/>
          <w:rtl/>
        </w:rPr>
        <w:t xml:space="preserve"> </w:t>
      </w:r>
      <w:r w:rsidR="00317C48">
        <w:rPr>
          <w:noProof/>
          <w:lang w:eastAsia="en-US"/>
        </w:rPr>
        <w:drawing>
          <wp:inline distT="0" distB="0" distL="0" distR="0" wp14:anchorId="53574F02" wp14:editId="2B73019C">
            <wp:extent cx="5624422" cy="2921303"/>
            <wp:effectExtent l="0" t="0" r="0" b="0"/>
            <wp:docPr id="3" name="תמונה 2" descr="תרשים 3: יתרות המכשירים הפיננסים בתיק, 2014 עד מרץ 2020&#10;" title="תרשים 3: יתרות המכשירים הפיננסים בתיק, 2014 עד מרץ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7824" cy="29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594308" w:rsidRDefault="009F64A1" w:rsidP="002F186D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2F186D">
        <w:rPr>
          <w:rFonts w:hint="cs"/>
          <w:rtl/>
        </w:rPr>
        <w:t>ירדה</w:t>
      </w:r>
      <w:r w:rsidR="002923D6">
        <w:rPr>
          <w:rFonts w:hint="cs"/>
          <w:rtl/>
        </w:rPr>
        <w:t xml:space="preserve"> </w:t>
      </w:r>
      <w:r w:rsidR="00F510AA">
        <w:rPr>
          <w:rFonts w:hint="cs"/>
          <w:rtl/>
        </w:rPr>
        <w:t>במהלך הרביע</w:t>
      </w:r>
      <w:r w:rsidR="002F186D">
        <w:rPr>
          <w:rFonts w:hint="cs"/>
          <w:rtl/>
        </w:rPr>
        <w:t xml:space="preserve"> בכ-78 מיליארדי ש"ח</w:t>
      </w:r>
      <w:r w:rsidR="00F510AA">
        <w:rPr>
          <w:rFonts w:hint="cs"/>
          <w:rtl/>
        </w:rPr>
        <w:t xml:space="preserve"> </w:t>
      </w:r>
      <w:r w:rsidR="002F186D" w:rsidRPr="00F32C0F">
        <w:rPr>
          <w:rtl/>
        </w:rPr>
        <w:t>(</w:t>
      </w:r>
      <w:r w:rsidR="002F186D">
        <w:rPr>
          <w:rFonts w:hint="cs"/>
          <w:rtl/>
        </w:rPr>
        <w:t>15</w:t>
      </w:r>
      <w:r w:rsidR="002F186D" w:rsidRPr="00F32C0F">
        <w:rPr>
          <w:rtl/>
        </w:rPr>
        <w:t>.</w:t>
      </w:r>
      <w:r w:rsidR="002F186D">
        <w:rPr>
          <w:rFonts w:hint="cs"/>
          <w:rtl/>
        </w:rPr>
        <w:t>9</w:t>
      </w:r>
      <w:r w:rsidR="002F186D" w:rsidRPr="00F32C0F">
        <w:rPr>
          <w:rtl/>
        </w:rPr>
        <w:t>%-)</w:t>
      </w:r>
      <w:r w:rsidR="002F186D">
        <w:rPr>
          <w:rFonts w:hint="cs"/>
          <w:rtl/>
        </w:rPr>
        <w:t xml:space="preserve">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</w:t>
      </w:r>
      <w:r w:rsidR="002F186D">
        <w:rPr>
          <w:rFonts w:hint="cs"/>
          <w:rtl/>
        </w:rPr>
        <w:t>493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2F186D">
        <w:rPr>
          <w:rFonts w:hint="cs"/>
          <w:rtl/>
        </w:rPr>
        <w:t>3</w:t>
      </w:r>
      <w:r w:rsidR="00247F73" w:rsidRPr="00594308">
        <w:rPr>
          <w:rFonts w:hint="cs"/>
          <w:rtl/>
        </w:rPr>
        <w:t>% מסך תיק הנכסים:</w:t>
      </w:r>
    </w:p>
    <w:p w:rsidR="00247F73" w:rsidRPr="00562DCD" w:rsidRDefault="00247F73" w:rsidP="00DD1FDB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397548">
        <w:rPr>
          <w:rFonts w:hint="cs"/>
          <w:rtl/>
        </w:rPr>
        <w:lastRenderedPageBreak/>
        <w:t xml:space="preserve">יתרת </w:t>
      </w:r>
      <w:r w:rsidRPr="00397548">
        <w:rPr>
          <w:rFonts w:hint="cs"/>
          <w:b/>
          <w:bCs/>
          <w:rtl/>
        </w:rPr>
        <w:t>המניות בחו"ל</w:t>
      </w:r>
      <w:r w:rsidRPr="00397548">
        <w:rPr>
          <w:rFonts w:hint="cs"/>
          <w:rtl/>
        </w:rPr>
        <w:t xml:space="preserve"> </w:t>
      </w:r>
      <w:r w:rsidR="0095239B" w:rsidRPr="00397548">
        <w:rPr>
          <w:rFonts w:hint="cs"/>
          <w:rtl/>
        </w:rPr>
        <w:t>ירדה</w:t>
      </w:r>
      <w:r w:rsidRPr="00397548">
        <w:rPr>
          <w:rFonts w:hint="cs"/>
          <w:rtl/>
        </w:rPr>
        <w:t xml:space="preserve"> בכ-</w:t>
      </w:r>
      <w:r w:rsidR="000006CE" w:rsidRPr="00397548">
        <w:rPr>
          <w:rFonts w:hint="cs"/>
          <w:rtl/>
        </w:rPr>
        <w:t>66</w:t>
      </w:r>
      <w:r w:rsidR="00B236F2" w:rsidRPr="00397548">
        <w:rPr>
          <w:rFonts w:hint="cs"/>
          <w:rtl/>
        </w:rPr>
        <w:t>.</w:t>
      </w:r>
      <w:r w:rsidR="000006CE" w:rsidRPr="00397548">
        <w:rPr>
          <w:rFonts w:hint="cs"/>
          <w:rtl/>
        </w:rPr>
        <w:t>5</w:t>
      </w:r>
      <w:r w:rsidRPr="00397548">
        <w:rPr>
          <w:rFonts w:hint="cs"/>
          <w:rtl/>
        </w:rPr>
        <w:t xml:space="preserve"> מיליארדי ש</w:t>
      </w:r>
      <w:r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0006CE" w:rsidRPr="00562DCD">
        <w:rPr>
          <w:rFonts w:hint="cs"/>
          <w:rtl/>
        </w:rPr>
        <w:t>17</w:t>
      </w:r>
      <w:r w:rsidR="000006CE" w:rsidRPr="00562DCD">
        <w:rPr>
          <w:rtl/>
        </w:rPr>
        <w:t>.</w:t>
      </w:r>
      <w:r w:rsidR="000006CE" w:rsidRPr="00562DCD">
        <w:rPr>
          <w:rFonts w:hint="cs"/>
          <w:rtl/>
        </w:rPr>
        <w:t>3</w:t>
      </w:r>
      <w:r w:rsidR="000006CE" w:rsidRPr="00562DCD">
        <w:rPr>
          <w:rtl/>
        </w:rPr>
        <w:t>%-)</w:t>
      </w:r>
      <w:r w:rsidR="000006CE" w:rsidRPr="00562DCD">
        <w:rPr>
          <w:rFonts w:hint="cs"/>
          <w:rtl/>
        </w:rPr>
        <w:t xml:space="preserve"> </w:t>
      </w:r>
      <w:r w:rsidR="005A5897" w:rsidRPr="00562DCD">
        <w:rPr>
          <w:rFonts w:hint="cs"/>
          <w:rtl/>
        </w:rPr>
        <w:t xml:space="preserve"> </w:t>
      </w:r>
      <w:r w:rsidRPr="00562DCD">
        <w:rPr>
          <w:rFonts w:hint="cs"/>
          <w:rtl/>
        </w:rPr>
        <w:t>ועמדה בסוף הרביע על כ-</w:t>
      </w:r>
      <w:r w:rsidR="00C82318" w:rsidRPr="00562DCD">
        <w:rPr>
          <w:rFonts w:hint="cs"/>
          <w:rtl/>
        </w:rPr>
        <w:t>3</w:t>
      </w:r>
      <w:r w:rsidR="000006CE" w:rsidRPr="00562DCD">
        <w:rPr>
          <w:rFonts w:hint="cs"/>
          <w:rtl/>
        </w:rPr>
        <w:t>18</w:t>
      </w:r>
      <w:r w:rsidRPr="00562DCD">
        <w:rPr>
          <w:rFonts w:hint="cs"/>
          <w:rtl/>
        </w:rPr>
        <w:t xml:space="preserve"> מיליארדי ש"ח. </w:t>
      </w:r>
      <w:r w:rsidR="00800444" w:rsidRPr="00562DCD">
        <w:rPr>
          <w:rFonts w:hint="cs"/>
          <w:rtl/>
        </w:rPr>
        <w:t>עיקר ה</w:t>
      </w:r>
      <w:r w:rsidR="00397548" w:rsidRPr="00562DCD">
        <w:rPr>
          <w:rFonts w:hint="cs"/>
          <w:rtl/>
        </w:rPr>
        <w:t>ירידה</w:t>
      </w:r>
      <w:r w:rsidRPr="00562DCD">
        <w:rPr>
          <w:rFonts w:hint="cs"/>
          <w:rtl/>
        </w:rPr>
        <w:t xml:space="preserve"> </w:t>
      </w:r>
      <w:r w:rsidR="00C82318" w:rsidRPr="00562DCD">
        <w:rPr>
          <w:rFonts w:hint="cs"/>
          <w:rtl/>
        </w:rPr>
        <w:t>נבעה</w:t>
      </w:r>
      <w:r w:rsidR="007C4C86" w:rsidRPr="00562DCD">
        <w:rPr>
          <w:rFonts w:hint="cs"/>
          <w:rtl/>
        </w:rPr>
        <w:t xml:space="preserve"> </w:t>
      </w:r>
      <w:r w:rsidR="00290659" w:rsidRPr="00562DCD">
        <w:rPr>
          <w:rFonts w:hint="cs"/>
          <w:rtl/>
        </w:rPr>
        <w:t>מ</w:t>
      </w:r>
      <w:r w:rsidR="00397548" w:rsidRPr="00562DCD">
        <w:rPr>
          <w:rFonts w:hint="cs"/>
          <w:rtl/>
        </w:rPr>
        <w:t xml:space="preserve">ירידות </w:t>
      </w:r>
      <w:r w:rsidR="00290659" w:rsidRPr="00562DCD">
        <w:rPr>
          <w:rFonts w:hint="cs"/>
          <w:rtl/>
        </w:rPr>
        <w:t xml:space="preserve">מחירים משמעותיות </w:t>
      </w:r>
      <w:r w:rsidR="00427851" w:rsidRPr="00562DCD">
        <w:rPr>
          <w:rFonts w:hint="cs"/>
          <w:rtl/>
        </w:rPr>
        <w:t>שקוזז</w:t>
      </w:r>
      <w:r w:rsidR="00DD1FDB">
        <w:rPr>
          <w:rFonts w:hint="cs"/>
          <w:rtl/>
        </w:rPr>
        <w:t>ו</w:t>
      </w:r>
      <w:r w:rsidR="00427851" w:rsidRPr="00562DCD">
        <w:rPr>
          <w:rFonts w:hint="cs"/>
          <w:rtl/>
        </w:rPr>
        <w:t xml:space="preserve"> חלקית בהשקעות נטו של כ-10 מיליארדי ש"ח </w:t>
      </w:r>
      <w:r w:rsidR="00562DCD" w:rsidRPr="00562DCD">
        <w:rPr>
          <w:rFonts w:hint="cs"/>
          <w:rtl/>
        </w:rPr>
        <w:t>ובפיחות השקל מול הדולר</w:t>
      </w:r>
      <w:r w:rsidR="00427851" w:rsidRPr="00562DCD">
        <w:rPr>
          <w:rFonts w:hint="cs"/>
          <w:rtl/>
        </w:rPr>
        <w:t xml:space="preserve"> (3.2%)</w:t>
      </w:r>
      <w:r w:rsidR="007C4C86" w:rsidRPr="00562DCD">
        <w:rPr>
          <w:rFonts w:hint="cs"/>
          <w:rtl/>
        </w:rPr>
        <w:t xml:space="preserve">. </w:t>
      </w:r>
    </w:p>
    <w:p w:rsidR="00B236F2" w:rsidRPr="00562DCD" w:rsidRDefault="00247F73" w:rsidP="00562DCD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62DCD">
        <w:rPr>
          <w:rFonts w:hint="cs"/>
          <w:rtl/>
        </w:rPr>
        <w:t xml:space="preserve">יתרת </w:t>
      </w:r>
      <w:r w:rsidRPr="00562DCD">
        <w:rPr>
          <w:rFonts w:hint="cs"/>
          <w:b/>
          <w:bCs/>
          <w:rtl/>
        </w:rPr>
        <w:t>האג"ח הסחירות (חברות וממשלתיות)</w:t>
      </w:r>
      <w:r w:rsidRPr="00562DCD">
        <w:rPr>
          <w:rFonts w:hint="cs"/>
          <w:rtl/>
        </w:rPr>
        <w:t xml:space="preserve"> </w:t>
      </w:r>
      <w:r w:rsidRPr="00562DCD">
        <w:rPr>
          <w:rFonts w:hint="cs"/>
          <w:b/>
          <w:bCs/>
          <w:rtl/>
        </w:rPr>
        <w:t>בחו"ל</w:t>
      </w:r>
      <w:r w:rsidRPr="00562DCD">
        <w:rPr>
          <w:rFonts w:hint="cs"/>
          <w:rtl/>
        </w:rPr>
        <w:t xml:space="preserve"> </w:t>
      </w:r>
      <w:r w:rsidR="005A5897" w:rsidRPr="00562DCD">
        <w:rPr>
          <w:rFonts w:hint="cs"/>
          <w:rtl/>
        </w:rPr>
        <w:t>ירד</w:t>
      </w:r>
      <w:r w:rsidR="00A36DFB" w:rsidRPr="00562DCD">
        <w:rPr>
          <w:rFonts w:hint="cs"/>
          <w:rtl/>
        </w:rPr>
        <w:t>ה</w:t>
      </w:r>
      <w:r w:rsidRPr="00562DCD">
        <w:rPr>
          <w:rFonts w:hint="cs"/>
          <w:rtl/>
        </w:rPr>
        <w:t xml:space="preserve"> </w:t>
      </w:r>
      <w:r w:rsidR="005A5897" w:rsidRPr="00562DCD">
        <w:rPr>
          <w:rFonts w:hint="cs"/>
          <w:rtl/>
        </w:rPr>
        <w:t>בכ-</w:t>
      </w:r>
      <w:r w:rsidR="00ED186D" w:rsidRPr="00562DCD">
        <w:rPr>
          <w:rFonts w:hint="cs"/>
          <w:rtl/>
        </w:rPr>
        <w:t xml:space="preserve">11.6 </w:t>
      </w:r>
      <w:r w:rsidR="005A5897" w:rsidRPr="00562DCD">
        <w:rPr>
          <w:rFonts w:hint="cs"/>
          <w:rtl/>
        </w:rPr>
        <w:t>מיליארדי ש"ח (</w:t>
      </w:r>
      <w:r w:rsidR="00ED186D" w:rsidRPr="00562DCD">
        <w:rPr>
          <w:rFonts w:hint="cs"/>
          <w:rtl/>
        </w:rPr>
        <w:t>6</w:t>
      </w:r>
      <w:r w:rsidR="005A5897" w:rsidRPr="00562DCD">
        <w:rPr>
          <w:rFonts w:hint="cs"/>
          <w:rtl/>
        </w:rPr>
        <w:t>.</w:t>
      </w:r>
      <w:r w:rsidR="00ED186D" w:rsidRPr="00562DCD">
        <w:rPr>
          <w:rFonts w:hint="cs"/>
          <w:rtl/>
        </w:rPr>
        <w:t>2</w:t>
      </w:r>
      <w:r w:rsidR="005A5897" w:rsidRPr="00562DCD">
        <w:rPr>
          <w:rFonts w:hint="cs"/>
          <w:rtl/>
        </w:rPr>
        <w:t>%</w:t>
      </w:r>
      <w:r w:rsidR="005A5897" w:rsidRPr="00562DCD">
        <w:t>-</w:t>
      </w:r>
      <w:r w:rsidR="005A5897" w:rsidRPr="00562DCD">
        <w:rPr>
          <w:rFonts w:hint="cs"/>
          <w:rtl/>
        </w:rPr>
        <w:t>)</w:t>
      </w:r>
      <w:r w:rsidR="0024440A" w:rsidRPr="00562DCD">
        <w:rPr>
          <w:rFonts w:hint="cs"/>
          <w:rtl/>
        </w:rPr>
        <w:t xml:space="preserve"> </w:t>
      </w:r>
      <w:r w:rsidRPr="00562DCD">
        <w:rPr>
          <w:rFonts w:hint="cs"/>
          <w:rtl/>
        </w:rPr>
        <w:t>ועמדה בסוף הרביע על כ-</w:t>
      </w:r>
      <w:r w:rsidR="00ED186D" w:rsidRPr="00562DCD">
        <w:rPr>
          <w:rFonts w:hint="cs"/>
          <w:rtl/>
        </w:rPr>
        <w:t>174</w:t>
      </w:r>
      <w:r w:rsidR="00A36DFB" w:rsidRPr="00562DCD">
        <w:rPr>
          <w:rFonts w:hint="cs"/>
          <w:rtl/>
        </w:rPr>
        <w:t xml:space="preserve"> </w:t>
      </w:r>
      <w:r w:rsidRPr="00562DCD">
        <w:rPr>
          <w:rFonts w:hint="cs"/>
          <w:rtl/>
        </w:rPr>
        <w:t>מיליארדי ש</w:t>
      </w:r>
      <w:r w:rsidR="00290659" w:rsidRPr="00562DCD">
        <w:rPr>
          <w:rFonts w:hint="cs"/>
          <w:rtl/>
        </w:rPr>
        <w:t>"ח</w:t>
      </w:r>
      <w:r w:rsidR="00FA129C" w:rsidRPr="00562DCD">
        <w:rPr>
          <w:rFonts w:hint="cs"/>
          <w:rtl/>
        </w:rPr>
        <w:t xml:space="preserve">. </w:t>
      </w:r>
      <w:r w:rsidR="00ED186D" w:rsidRPr="00562DCD">
        <w:rPr>
          <w:rFonts w:hint="cs"/>
          <w:rtl/>
        </w:rPr>
        <w:t xml:space="preserve">הירידה נבעה מירידות מחירים משמעותיות לצד </w:t>
      </w:r>
      <w:r w:rsidR="00562DCD" w:rsidRPr="00562DCD">
        <w:rPr>
          <w:rFonts w:hint="cs"/>
          <w:rtl/>
        </w:rPr>
        <w:t>מימושים</w:t>
      </w:r>
      <w:r w:rsidR="00ED186D" w:rsidRPr="00562DCD">
        <w:rPr>
          <w:rFonts w:hint="cs"/>
          <w:rtl/>
        </w:rPr>
        <w:t xml:space="preserve"> נטו בהיקף של כ-</w:t>
      </w:r>
      <w:r w:rsidR="00562DCD" w:rsidRPr="00562DCD">
        <w:rPr>
          <w:rFonts w:hint="cs"/>
          <w:rtl/>
        </w:rPr>
        <w:t>6</w:t>
      </w:r>
      <w:r w:rsidR="00ED186D" w:rsidRPr="00562DCD">
        <w:rPr>
          <w:rFonts w:hint="cs"/>
          <w:rtl/>
        </w:rPr>
        <w:t xml:space="preserve"> מיליארדי ש"ח</w:t>
      </w:r>
      <w:r w:rsidR="00562DCD" w:rsidRPr="00562DCD">
        <w:rPr>
          <w:rFonts w:hint="cs"/>
          <w:rtl/>
        </w:rPr>
        <w:t xml:space="preserve"> שקוזזו במעט בפיחות השקל מול הדולר</w:t>
      </w:r>
      <w:r w:rsidR="00ED186D" w:rsidRPr="00562DCD">
        <w:rPr>
          <w:rFonts w:hint="cs"/>
          <w:rtl/>
        </w:rPr>
        <w:t xml:space="preserve">. </w:t>
      </w:r>
    </w:p>
    <w:p w:rsidR="007C2B07" w:rsidRDefault="00F510AA" w:rsidP="00BE3063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</w:t>
      </w:r>
      <w:r w:rsidR="00C543B6" w:rsidRPr="00167C6D">
        <w:rPr>
          <w:rFonts w:hint="cs"/>
          <w:rtl/>
        </w:rPr>
        <w:t xml:space="preserve">חלה </w:t>
      </w:r>
      <w:r w:rsidR="00C543B6">
        <w:rPr>
          <w:rFonts w:hint="cs"/>
          <w:rtl/>
        </w:rPr>
        <w:t xml:space="preserve">ירידה </w:t>
      </w:r>
      <w:r w:rsidR="00C543B6" w:rsidRPr="00167C6D">
        <w:rPr>
          <w:rFonts w:hint="cs"/>
          <w:rtl/>
        </w:rPr>
        <w:t xml:space="preserve">בשיעור הנכסים </w:t>
      </w:r>
      <w:r w:rsidR="00C543B6">
        <w:rPr>
          <w:rFonts w:hint="cs"/>
          <w:rtl/>
        </w:rPr>
        <w:t>הסחירים</w:t>
      </w:r>
      <w:r w:rsidR="00C543B6" w:rsidRPr="00167C6D">
        <w:rPr>
          <w:rStyle w:val="a5"/>
          <w:rtl/>
        </w:rPr>
        <w:footnoteReference w:id="2"/>
      </w:r>
      <w:r w:rsidR="00C543B6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</w:t>
      </w:r>
      <w:r w:rsidR="0041529B">
        <w:rPr>
          <w:rFonts w:hint="cs"/>
          <w:rtl/>
        </w:rPr>
        <w:t>5.3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</w:t>
      </w:r>
      <w:r w:rsidR="001A0DD6">
        <w:rPr>
          <w:rFonts w:hint="cs"/>
          <w:rtl/>
        </w:rPr>
        <w:t>ו</w:t>
      </w:r>
      <w:r w:rsidR="001006AD" w:rsidRPr="00167C6D">
        <w:rPr>
          <w:rFonts w:hint="cs"/>
          <w:rtl/>
        </w:rPr>
        <w:t>ת</w:t>
      </w:r>
      <w:r w:rsidR="006B440B" w:rsidRPr="00167C6D">
        <w:rPr>
          <w:rFonts w:hint="cs"/>
          <w:rtl/>
        </w:rPr>
        <w:t xml:space="preserve"> אחוז </w:t>
      </w:r>
      <w:r w:rsidR="00C543B6">
        <w:rPr>
          <w:rFonts w:hint="cs"/>
          <w:rtl/>
        </w:rPr>
        <w:t xml:space="preserve">(מ-50.5% ל-45.3%), </w:t>
      </w:r>
      <w:r w:rsidR="0041529B">
        <w:rPr>
          <w:rFonts w:hint="cs"/>
          <w:rtl/>
        </w:rPr>
        <w:t xml:space="preserve">במקביל </w:t>
      </w:r>
      <w:r w:rsidR="00C543B6">
        <w:rPr>
          <w:rFonts w:hint="cs"/>
          <w:rtl/>
        </w:rPr>
        <w:t xml:space="preserve">לירידה בשיעור הנכסים בסיכון </w:t>
      </w:r>
      <w:r w:rsidR="0041529B">
        <w:rPr>
          <w:rFonts w:hint="cs"/>
          <w:rtl/>
        </w:rPr>
        <w:t xml:space="preserve">של </w:t>
      </w:r>
      <w:r w:rsidR="00BE3063">
        <w:rPr>
          <w:rFonts w:hint="cs"/>
          <w:rtl/>
        </w:rPr>
        <w:t>כ-</w:t>
      </w:r>
      <w:r w:rsidR="0041529B">
        <w:rPr>
          <w:rFonts w:hint="cs"/>
          <w:rtl/>
        </w:rPr>
        <w:t>4</w:t>
      </w:r>
      <w:r w:rsidR="006D276A">
        <w:rPr>
          <w:rFonts w:hint="cs"/>
          <w:rtl/>
        </w:rPr>
        <w:t>.</w:t>
      </w:r>
      <w:r w:rsidR="0041529B">
        <w:rPr>
          <w:rFonts w:hint="cs"/>
          <w:rtl/>
        </w:rPr>
        <w:t>2</w:t>
      </w:r>
      <w:r w:rsidR="006D276A">
        <w:rPr>
          <w:rFonts w:hint="cs"/>
          <w:rtl/>
        </w:rPr>
        <w:t xml:space="preserve"> </w:t>
      </w:r>
      <w:r w:rsidR="006D276A" w:rsidRPr="00167C6D">
        <w:rPr>
          <w:rFonts w:hint="cs"/>
          <w:rtl/>
        </w:rPr>
        <w:t>נקוד</w:t>
      </w:r>
      <w:r w:rsidR="00BE3063">
        <w:rPr>
          <w:rFonts w:hint="cs"/>
          <w:rtl/>
        </w:rPr>
        <w:t>ו</w:t>
      </w:r>
      <w:r w:rsidR="006D276A" w:rsidRPr="00167C6D">
        <w:rPr>
          <w:rFonts w:hint="cs"/>
          <w:rtl/>
        </w:rPr>
        <w:t>ת אחוז</w:t>
      </w:r>
      <w:r w:rsidR="00C543B6">
        <w:rPr>
          <w:rFonts w:hint="cs"/>
          <w:rtl/>
        </w:rPr>
        <w:t xml:space="preserve"> (מ-</w:t>
      </w:r>
      <w:r w:rsidR="00BE3063">
        <w:rPr>
          <w:rFonts w:hint="cs"/>
          <w:rtl/>
        </w:rPr>
        <w:t>44</w:t>
      </w:r>
      <w:r w:rsidR="00C543B6">
        <w:rPr>
          <w:rFonts w:hint="cs"/>
          <w:rtl/>
        </w:rPr>
        <w:t>.</w:t>
      </w:r>
      <w:r w:rsidR="00BE3063">
        <w:rPr>
          <w:rFonts w:hint="cs"/>
          <w:rtl/>
        </w:rPr>
        <w:t>0</w:t>
      </w:r>
      <w:r w:rsidR="00C543B6">
        <w:rPr>
          <w:rFonts w:hint="cs"/>
          <w:rtl/>
        </w:rPr>
        <w:t>% ל-3</w:t>
      </w:r>
      <w:r w:rsidR="00BE3063">
        <w:rPr>
          <w:rFonts w:hint="cs"/>
          <w:rtl/>
        </w:rPr>
        <w:t>9</w:t>
      </w:r>
      <w:r w:rsidR="00C543B6">
        <w:rPr>
          <w:rFonts w:hint="cs"/>
          <w:rtl/>
        </w:rPr>
        <w:t>.7%)</w:t>
      </w:r>
      <w:r w:rsidR="002B4D96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4D7960" w:rsidRDefault="00364200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noProof/>
          <w:lang w:eastAsia="en-US"/>
        </w:rPr>
        <w:drawing>
          <wp:inline distT="0" distB="0" distL="0" distR="0" wp14:anchorId="47253E24" wp14:editId="76E7E509">
            <wp:extent cx="5855936" cy="2343270"/>
            <wp:effectExtent l="0" t="0" r="0" b="0"/>
            <wp:docPr id="5" name="תמונה 5" descr="תרשים 4: יתרת סך התיק המנוהל בידי המשקיעים המוסדיים &#10;" title="תרשים 4: יתרת סך התיק המנוהל בידי המשקיעים המוסדי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3592" cy="23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BD" w:rsidRPr="00B10F30" w:rsidRDefault="00B10F30" w:rsidP="00B10F30">
      <w:pPr>
        <w:pStyle w:val="af"/>
        <w:numPr>
          <w:ilvl w:val="0"/>
          <w:numId w:val="26"/>
        </w:numPr>
        <w:spacing w:before="240" w:line="360" w:lineRule="auto"/>
        <w:jc w:val="both"/>
      </w:pPr>
      <w:r w:rsidRPr="00B10F30">
        <w:rPr>
          <w:b/>
          <w:bCs/>
          <w:rtl/>
        </w:rPr>
        <w:t>יתרת התיק המנוהל בידי המשקיעים המוסדיים</w:t>
      </w:r>
      <w:r w:rsidRPr="00B10F30">
        <w:rPr>
          <w:rtl/>
        </w:rPr>
        <w:t xml:space="preserve"> ירדה ברביע הראשון של שנת 2020 בכ-141 מיליארדי ש"ח  </w:t>
      </w:r>
      <w:r w:rsidR="007C1052">
        <w:rPr>
          <w:rFonts w:hint="cs"/>
          <w:rtl/>
        </w:rPr>
        <w:t xml:space="preserve">   </w:t>
      </w:r>
      <w:r w:rsidRPr="00B10F30">
        <w:rPr>
          <w:rtl/>
        </w:rPr>
        <w:t>(7.4%-) לרמה של כ-1.77 טריליונים (46.3% מסך תיק הנכסים הפיננסים של הציבור). עיקר הירידה ביתרת התיק, במהלך הרביע, נבעה מירידה: ביתרת האג"ח הממשלתיות הסחירות והלא סחירות (33 מיליארדי ש"ח, 4.5%-), ביתרת המניות הסחירות בישראל (33 מיליארדי ש"ח, 18.9%-) וביתרת הנכסים בחו"ל (41 מיליארדי ש"ח, 9.6%-): השקעה נטו בסך של 9.2 מיליארדי דולר בנכסי מטח קוזזה בהשפעת ירידת מחירים בשוק ההון (ירידה ביתרת נכסי המט"ח של 26 מיליארדי דולר).</w:t>
      </w:r>
    </w:p>
    <w:p w:rsidR="00DD0C8C" w:rsidRDefault="007C2B07" w:rsidP="00DD0C8C">
      <w:pPr>
        <w:pStyle w:val="af"/>
        <w:numPr>
          <w:ilvl w:val="0"/>
          <w:numId w:val="19"/>
        </w:numPr>
        <w:spacing w:after="120" w:line="360" w:lineRule="auto"/>
        <w:ind w:left="697"/>
        <w:jc w:val="both"/>
        <w:rPr>
          <w:rtl/>
        </w:rPr>
      </w:pPr>
      <w:r w:rsidRPr="004A1707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4A1707">
        <w:rPr>
          <w:rFonts w:hint="cs"/>
          <w:b/>
          <w:bCs/>
          <w:rtl/>
        </w:rPr>
        <w:t xml:space="preserve"> לנכסים זרים ולמט"ח</w:t>
      </w:r>
      <w:r w:rsidR="004A1707">
        <w:rPr>
          <w:rFonts w:hint="cs"/>
          <w:b/>
          <w:bCs/>
          <w:rtl/>
        </w:rPr>
        <w:t>:</w:t>
      </w:r>
    </w:p>
    <w:p w:rsidR="00DD0C8C" w:rsidRPr="00DD0C8C" w:rsidRDefault="00DD0C8C" w:rsidP="00DD0C8C">
      <w:pPr>
        <w:pStyle w:val="af"/>
        <w:spacing w:after="120" w:line="360" w:lineRule="auto"/>
        <w:ind w:left="697"/>
        <w:jc w:val="both"/>
        <w:rPr>
          <w:sz w:val="10"/>
          <w:szCs w:val="10"/>
          <w:rtl/>
        </w:rPr>
      </w:pPr>
    </w:p>
    <w:p w:rsidR="00DD0C8C" w:rsidRDefault="00DD0C8C" w:rsidP="004E05F6">
      <w:pPr>
        <w:pStyle w:val="af"/>
        <w:spacing w:after="120" w:line="360" w:lineRule="auto"/>
        <w:ind w:left="697"/>
        <w:jc w:val="both"/>
        <w:rPr>
          <w:rtl/>
        </w:rPr>
      </w:pPr>
      <w:r>
        <w:rPr>
          <w:rtl/>
        </w:rPr>
        <w:t xml:space="preserve">ברביע הראשון של שנת 2020 </w:t>
      </w:r>
      <w:r w:rsidRPr="00DD0C8C">
        <w:rPr>
          <w:b/>
          <w:bCs/>
          <w:rtl/>
        </w:rPr>
        <w:t>שיעור החשיפה של המשקיעים המוסדיים לנכסים זרים</w:t>
      </w:r>
      <w:r>
        <w:rPr>
          <w:rtl/>
        </w:rPr>
        <w:t xml:space="preserve"> ירד בכ-0.9</w:t>
      </w:r>
      <w:r w:rsidR="004E05F6">
        <w:rPr>
          <w:rFonts w:hint="cs"/>
          <w:rtl/>
        </w:rPr>
        <w:t xml:space="preserve"> נקודות אחוז</w:t>
      </w:r>
      <w:r>
        <w:rPr>
          <w:rtl/>
        </w:rPr>
        <w:t xml:space="preserve"> לרמה של כ-28.</w:t>
      </w:r>
      <w:r w:rsidR="00973B67">
        <w:rPr>
          <w:rFonts w:hint="cs"/>
          <w:rtl/>
        </w:rPr>
        <w:t>1</w:t>
      </w:r>
      <w:r>
        <w:rPr>
          <w:rtl/>
        </w:rPr>
        <w:t>% מהתיק, זאת כתוצאה מירידה בשיעור גבוה יותר של יתרת החשיפה לנכסים זרים משיעור הירידה ביתרת סך הנכסים של המשקיעים המוסדיים.</w:t>
      </w:r>
    </w:p>
    <w:p w:rsidR="00DD0C8C" w:rsidRPr="00DD0C8C" w:rsidRDefault="00DD0C8C" w:rsidP="00DD0C8C">
      <w:pPr>
        <w:pStyle w:val="af"/>
        <w:spacing w:after="120" w:line="360" w:lineRule="auto"/>
        <w:ind w:left="697"/>
        <w:jc w:val="both"/>
        <w:rPr>
          <w:sz w:val="8"/>
          <w:szCs w:val="8"/>
        </w:rPr>
      </w:pPr>
    </w:p>
    <w:p w:rsidR="00DD0C8C" w:rsidRPr="00DD0C8C" w:rsidRDefault="00873C27" w:rsidP="006B076F">
      <w:pPr>
        <w:pStyle w:val="af"/>
        <w:spacing w:before="120" w:after="120" w:line="360" w:lineRule="auto"/>
        <w:ind w:left="697"/>
        <w:jc w:val="both"/>
        <w:outlineLvl w:val="0"/>
        <w:rPr>
          <w:b/>
          <w:bCs/>
        </w:rPr>
      </w:pPr>
      <w:r>
        <w:rPr>
          <w:rFonts w:hint="cs"/>
          <w:rtl/>
        </w:rPr>
        <w:t>כמו כן</w:t>
      </w:r>
      <w:r w:rsidR="00130F29">
        <w:rPr>
          <w:rFonts w:hint="cs"/>
          <w:rtl/>
        </w:rPr>
        <w:t>, ב</w:t>
      </w:r>
      <w:r>
        <w:rPr>
          <w:rFonts w:hint="cs"/>
          <w:rtl/>
        </w:rPr>
        <w:t>מהלך ה</w:t>
      </w:r>
      <w:r w:rsidR="00130F29">
        <w:rPr>
          <w:rFonts w:hint="cs"/>
          <w:rtl/>
        </w:rPr>
        <w:t>רביע</w:t>
      </w:r>
      <w:r w:rsidR="00DD0C8C">
        <w:rPr>
          <w:rtl/>
        </w:rPr>
        <w:t xml:space="preserve"> ירד </w:t>
      </w:r>
      <w:r w:rsidR="00DD0C8C" w:rsidRPr="00DD0C8C">
        <w:rPr>
          <w:b/>
          <w:bCs/>
          <w:rtl/>
        </w:rPr>
        <w:t>שיעור החשיפה למט"ח (כולל נגזרי ש"ח/מט"ח)</w:t>
      </w:r>
      <w:r w:rsidR="00DD0C8C">
        <w:rPr>
          <w:rtl/>
        </w:rPr>
        <w:t xml:space="preserve"> בכ-1.6 נקוד</w:t>
      </w:r>
      <w:r w:rsidR="004E05F6">
        <w:rPr>
          <w:rFonts w:hint="cs"/>
          <w:rtl/>
        </w:rPr>
        <w:t>ו</w:t>
      </w:r>
      <w:r w:rsidR="00DD0C8C">
        <w:rPr>
          <w:rtl/>
        </w:rPr>
        <w:t>ת אחוז לרמה של כ-14.8%. הגופים המוסדיים רכשו נטו נכסים במט"ח בסך של כ-9.</w:t>
      </w:r>
      <w:r w:rsidR="006B076F">
        <w:rPr>
          <w:rFonts w:hint="cs"/>
          <w:rtl/>
        </w:rPr>
        <w:t>2</w:t>
      </w:r>
      <w:r w:rsidR="00DD0C8C">
        <w:rPr>
          <w:rtl/>
        </w:rPr>
        <w:t xml:space="preserve"> מיליארדי דולרים: השקעות של כ-</w:t>
      </w:r>
      <w:r w:rsidR="006B076F">
        <w:rPr>
          <w:rFonts w:hint="cs"/>
          <w:rtl/>
        </w:rPr>
        <w:t>10.1</w:t>
      </w:r>
      <w:r w:rsidR="00DD0C8C">
        <w:rPr>
          <w:rtl/>
        </w:rPr>
        <w:t xml:space="preserve"> מיליארדי דולרים בנכסים הנקובים והצמודים למט"ח (10.7 מיליארדי דולר במרץ) שקוזזו במקצת </w:t>
      </w:r>
      <w:r>
        <w:rPr>
          <w:rFonts w:hint="cs"/>
          <w:rtl/>
        </w:rPr>
        <w:t>על ידי</w:t>
      </w:r>
      <w:r w:rsidR="00DD0C8C">
        <w:rPr>
          <w:rtl/>
        </w:rPr>
        <w:t xml:space="preserve"> מכירת מט"ח נטו באמצעות מכשירים פיננסיים נגזרים בהיקף של כ-0.9 מיליארד דולרים.</w:t>
      </w: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5189"/>
      </w:tblGrid>
      <w:tr w:rsidR="008636B9" w:rsidTr="008636B9">
        <w:trPr>
          <w:trHeight w:val="3971"/>
        </w:trPr>
        <w:tc>
          <w:tcPr>
            <w:tcW w:w="5326" w:type="dxa"/>
          </w:tcPr>
          <w:p w:rsidR="00347124" w:rsidRDefault="008636B9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51CC8A2" wp14:editId="5C49B223">
                  <wp:extent cx="3244922" cy="2591950"/>
                  <wp:effectExtent l="0" t="0" r="0" b="0"/>
                  <wp:docPr id="2" name="תמונה 1" descr="תרשים 5: אומדן תנועות נטו בנכסי מט&quot;ח של המשקיעים המוסדיים מול שינוי בנגזרים ש&quot;ח/מט&quot;ח, מיליארדי דולרים &#10;" title="תרשים 5: אומדן תנועות נטו בנכסי מט&quot;ח של המשקיעים המוסדיים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3" cy="261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347124" w:rsidRDefault="008636B9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3D32422" wp14:editId="361E1208">
                  <wp:extent cx="3189085" cy="2562045"/>
                  <wp:effectExtent l="0" t="0" r="0" b="0"/>
                  <wp:docPr id="1" name="תמונה 3" descr="תרשים 6: שיעור החשיפה של המשקיעים המוסדיים לנכסים זרים ולייסוף השקל מול הדולר מסך כל נכסי השקעתם&#10;" title="תרשים 6: שיעור החשיפה של המשקיעים המוסדיים לנכסים זרים ולייסוף השקל מול הדולר מסך כל נכסי השקעת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תמונה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072" cy="257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C15" w:rsidRPr="007D55C2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</w:p>
    <w:p w:rsidR="00063328" w:rsidRPr="00063328" w:rsidRDefault="00063328" w:rsidP="00C543B6">
      <w:pPr>
        <w:pStyle w:val="af"/>
        <w:spacing w:before="240" w:line="360" w:lineRule="auto"/>
        <w:ind w:left="360"/>
        <w:jc w:val="both"/>
      </w:pPr>
      <w:r>
        <w:rPr>
          <w:rtl/>
        </w:rPr>
        <w:t xml:space="preserve">היקף התיק המנוהל באמצעות קרנות נאמנות בארץ ירד ברביע הראשון של השנה בכ-80.6 מיליארדי ש"ח </w:t>
      </w:r>
      <w:r w:rsidR="002262F1">
        <w:rPr>
          <w:rFonts w:hint="cs"/>
          <w:rtl/>
        </w:rPr>
        <w:t xml:space="preserve">(22.9%-) </w:t>
      </w:r>
      <w:r>
        <w:rPr>
          <w:rtl/>
        </w:rPr>
        <w:t>ועמד בסופו על כ-</w:t>
      </w:r>
      <w:r w:rsidR="00372562">
        <w:rPr>
          <w:rFonts w:hint="cs"/>
          <w:rtl/>
        </w:rPr>
        <w:t xml:space="preserve">271.4 </w:t>
      </w:r>
      <w:r w:rsidRPr="00063328">
        <w:rPr>
          <w:rtl/>
        </w:rPr>
        <w:t xml:space="preserve">מיליארדי ש"ח, </w:t>
      </w:r>
      <w:r w:rsidR="002262F1">
        <w:rPr>
          <w:rFonts w:hint="cs"/>
          <w:rtl/>
        </w:rPr>
        <w:t xml:space="preserve">המהווים </w:t>
      </w:r>
      <w:r w:rsidRPr="00063328">
        <w:rPr>
          <w:rtl/>
        </w:rPr>
        <w:t>כ-</w:t>
      </w:r>
      <w:r w:rsidRPr="00063328">
        <w:rPr>
          <w:rFonts w:hint="cs"/>
          <w:rtl/>
        </w:rPr>
        <w:t>7</w:t>
      </w:r>
      <w:r w:rsidRPr="00063328">
        <w:rPr>
          <w:rtl/>
        </w:rPr>
        <w:t>.</w:t>
      </w:r>
      <w:r w:rsidRPr="00063328">
        <w:rPr>
          <w:rFonts w:hint="cs"/>
          <w:rtl/>
        </w:rPr>
        <w:t>1</w:t>
      </w:r>
      <w:r w:rsidRPr="00063328">
        <w:rPr>
          <w:rtl/>
        </w:rPr>
        <w:t>% מסך תיק הנכסים של הציבור.</w:t>
      </w:r>
    </w:p>
    <w:p w:rsidR="00063328" w:rsidRDefault="00063328" w:rsidP="00063328">
      <w:pPr>
        <w:pStyle w:val="af"/>
        <w:spacing w:before="240" w:line="360" w:lineRule="auto"/>
        <w:ind w:left="360"/>
        <w:jc w:val="both"/>
        <w:rPr>
          <w:rtl/>
        </w:rPr>
      </w:pPr>
    </w:p>
    <w:p w:rsidR="00063328" w:rsidRDefault="00063328" w:rsidP="00372562">
      <w:pPr>
        <w:pStyle w:val="af"/>
        <w:spacing w:before="240" w:line="360" w:lineRule="auto"/>
        <w:ind w:left="360"/>
        <w:jc w:val="both"/>
        <w:rPr>
          <w:rtl/>
        </w:rPr>
      </w:pPr>
      <w:r>
        <w:rPr>
          <w:rtl/>
        </w:rPr>
        <w:t xml:space="preserve">הירידה ברביע הראשון נבעה מירידות המחירים החדות בשוק ההון שהובילו לפדיונות נטו בקרנות בהיקף של כ-44.5 מיליארדי </w:t>
      </w:r>
      <w:r>
        <w:rPr>
          <w:rFonts w:hint="cs"/>
          <w:rtl/>
        </w:rPr>
        <w:t>ש"ח</w:t>
      </w:r>
      <w:r>
        <w:rPr>
          <w:rtl/>
        </w:rPr>
        <w:t xml:space="preserve"> שהתרחשו ברובן (כ-42 מיליארדי </w:t>
      </w:r>
      <w:r>
        <w:rPr>
          <w:rFonts w:hint="cs"/>
          <w:rtl/>
        </w:rPr>
        <w:t>ש"ח</w:t>
      </w:r>
      <w:r>
        <w:rPr>
          <w:rtl/>
        </w:rPr>
        <w:t>) בחודש מרץ.</w:t>
      </w:r>
      <w:r>
        <w:rPr>
          <w:rFonts w:hint="cs"/>
          <w:rtl/>
        </w:rPr>
        <w:t xml:space="preserve"> </w:t>
      </w:r>
      <w:r>
        <w:rPr>
          <w:rtl/>
        </w:rPr>
        <w:t>עיקר הפדיונות נרשמו בקרנות המתמחות באג"ח בארץ (מדינה, חברות וכללי) בהיקף של כ-</w:t>
      </w:r>
      <w:r w:rsidR="00372562">
        <w:rPr>
          <w:rFonts w:hint="cs"/>
          <w:rtl/>
        </w:rPr>
        <w:t>27</w:t>
      </w:r>
      <w:r>
        <w:rPr>
          <w:rtl/>
        </w:rPr>
        <w:t xml:space="preserve"> מיליארדי ש"ח. בנוסף, בלטו הפדיונות בקרנות המתמחות במניות בחו"ל בהיקף של כ-9 מיליארדי ש"ח. </w:t>
      </w:r>
    </w:p>
    <w:p w:rsidR="00CA3E19" w:rsidRPr="009444D3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0E" w:rsidRDefault="0014760E">
      <w:r>
        <w:separator/>
      </w:r>
    </w:p>
  </w:endnote>
  <w:endnote w:type="continuationSeparator" w:id="0">
    <w:p w:rsidR="0014760E" w:rsidRDefault="0014760E">
      <w:r>
        <w:continuationSeparator/>
      </w:r>
    </w:p>
  </w:endnote>
  <w:endnote w:type="continuationNotice" w:id="1">
    <w:p w:rsidR="0014760E" w:rsidRDefault="00147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78773D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78773D">
      <w:rPr>
        <w:rFonts w:hint="cs"/>
        <w:rtl/>
      </w:rPr>
      <w:t>שלישי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2019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F53BAD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F53BAD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0E" w:rsidRDefault="0014760E">
      <w:r>
        <w:separator/>
      </w:r>
    </w:p>
  </w:footnote>
  <w:footnote w:type="continuationSeparator" w:id="0">
    <w:p w:rsidR="0014760E" w:rsidRDefault="0014760E">
      <w:r>
        <w:continuationSeparator/>
      </w:r>
    </w:p>
  </w:footnote>
  <w:footnote w:type="continuationNotice" w:id="1">
    <w:p w:rsidR="0014760E" w:rsidRDefault="0014760E"/>
  </w:footnote>
  <w:footnote w:id="2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5"/>
  </w:num>
  <w:num w:numId="5">
    <w:abstractNumId w:val="11"/>
  </w:num>
  <w:num w:numId="6">
    <w:abstractNumId w:val="18"/>
  </w:num>
  <w:num w:numId="7">
    <w:abstractNumId w:val="13"/>
  </w:num>
  <w:num w:numId="8">
    <w:abstractNumId w:val="21"/>
  </w:num>
  <w:num w:numId="9">
    <w:abstractNumId w:val="2"/>
  </w:num>
  <w:num w:numId="10">
    <w:abstractNumId w:val="9"/>
  </w:num>
  <w:num w:numId="11">
    <w:abstractNumId w:val="23"/>
  </w:num>
  <w:num w:numId="12">
    <w:abstractNumId w:val="0"/>
  </w:num>
  <w:num w:numId="13">
    <w:abstractNumId w:val="17"/>
  </w:num>
  <w:num w:numId="14">
    <w:abstractNumId w:val="5"/>
  </w:num>
  <w:num w:numId="15">
    <w:abstractNumId w:val="19"/>
  </w:num>
  <w:num w:numId="16">
    <w:abstractNumId w:val="6"/>
  </w:num>
  <w:num w:numId="17">
    <w:abstractNumId w:val="10"/>
  </w:num>
  <w:num w:numId="18">
    <w:abstractNumId w:val="20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4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328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1425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6F6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D740E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552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0F29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4760E"/>
    <w:rsid w:val="00150373"/>
    <w:rsid w:val="00150AD5"/>
    <w:rsid w:val="00150BFB"/>
    <w:rsid w:val="00150E47"/>
    <w:rsid w:val="001510D5"/>
    <w:rsid w:val="00151D1D"/>
    <w:rsid w:val="0015236A"/>
    <w:rsid w:val="0015253B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6BB"/>
    <w:rsid w:val="001D7970"/>
    <w:rsid w:val="001E02E6"/>
    <w:rsid w:val="001E25EF"/>
    <w:rsid w:val="001E2A8B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308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C2"/>
    <w:rsid w:val="002257D7"/>
    <w:rsid w:val="00226017"/>
    <w:rsid w:val="002262F1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659"/>
    <w:rsid w:val="00290EF0"/>
    <w:rsid w:val="00290FF3"/>
    <w:rsid w:val="0029141A"/>
    <w:rsid w:val="0029185D"/>
    <w:rsid w:val="002923D6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195B"/>
    <w:rsid w:val="002B3369"/>
    <w:rsid w:val="002B3BDD"/>
    <w:rsid w:val="002B4998"/>
    <w:rsid w:val="002B49E1"/>
    <w:rsid w:val="002B4D96"/>
    <w:rsid w:val="002B51DF"/>
    <w:rsid w:val="002B566E"/>
    <w:rsid w:val="002B594E"/>
    <w:rsid w:val="002B67EB"/>
    <w:rsid w:val="002B6CDE"/>
    <w:rsid w:val="002B7042"/>
    <w:rsid w:val="002B7732"/>
    <w:rsid w:val="002C088F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A03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6D9E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C48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285"/>
    <w:rsid w:val="00343418"/>
    <w:rsid w:val="00343F19"/>
    <w:rsid w:val="003440D6"/>
    <w:rsid w:val="00344A50"/>
    <w:rsid w:val="0034590D"/>
    <w:rsid w:val="00346595"/>
    <w:rsid w:val="0034683B"/>
    <w:rsid w:val="0034700B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00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28E4"/>
    <w:rsid w:val="003D326B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41C"/>
    <w:rsid w:val="003E052C"/>
    <w:rsid w:val="003E1082"/>
    <w:rsid w:val="003E1856"/>
    <w:rsid w:val="003E2034"/>
    <w:rsid w:val="003E2D61"/>
    <w:rsid w:val="003E433E"/>
    <w:rsid w:val="003E4688"/>
    <w:rsid w:val="003E4E0A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3F7CDC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529B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4C58"/>
    <w:rsid w:val="00425589"/>
    <w:rsid w:val="0042573B"/>
    <w:rsid w:val="00425D74"/>
    <w:rsid w:val="00425E0E"/>
    <w:rsid w:val="004261B5"/>
    <w:rsid w:val="004267EF"/>
    <w:rsid w:val="0042718A"/>
    <w:rsid w:val="0042727F"/>
    <w:rsid w:val="00427851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AC0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5D7C"/>
    <w:rsid w:val="00496899"/>
    <w:rsid w:val="0049743C"/>
    <w:rsid w:val="0049781C"/>
    <w:rsid w:val="004A1529"/>
    <w:rsid w:val="004A1707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1D6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57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062"/>
    <w:rsid w:val="00556253"/>
    <w:rsid w:val="00556F6D"/>
    <w:rsid w:val="005572EC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966"/>
    <w:rsid w:val="005A6A2F"/>
    <w:rsid w:val="005A6D4A"/>
    <w:rsid w:val="005A7343"/>
    <w:rsid w:val="005A7555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301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C31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76F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0D77"/>
    <w:rsid w:val="006C1676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2F96"/>
    <w:rsid w:val="00703335"/>
    <w:rsid w:val="00703E31"/>
    <w:rsid w:val="00703FAB"/>
    <w:rsid w:val="00704171"/>
    <w:rsid w:val="00704532"/>
    <w:rsid w:val="007053B0"/>
    <w:rsid w:val="007054DF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3BD"/>
    <w:rsid w:val="0071241C"/>
    <w:rsid w:val="00712A1B"/>
    <w:rsid w:val="00714AD6"/>
    <w:rsid w:val="00714BAE"/>
    <w:rsid w:val="007153E0"/>
    <w:rsid w:val="0071567A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052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079BD"/>
    <w:rsid w:val="008110AB"/>
    <w:rsid w:val="0081126A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36B9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7335"/>
    <w:rsid w:val="008A73F3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8D1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424"/>
    <w:rsid w:val="0092750F"/>
    <w:rsid w:val="00927B8E"/>
    <w:rsid w:val="00930531"/>
    <w:rsid w:val="00931154"/>
    <w:rsid w:val="009312EF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A7C54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219A4"/>
    <w:rsid w:val="00A21D66"/>
    <w:rsid w:val="00A21ECF"/>
    <w:rsid w:val="00A22792"/>
    <w:rsid w:val="00A22967"/>
    <w:rsid w:val="00A22D8E"/>
    <w:rsid w:val="00A23B39"/>
    <w:rsid w:val="00A23B42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67CD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7FF4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52E"/>
    <w:rsid w:val="00BD795C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D1A"/>
    <w:rsid w:val="00C302B6"/>
    <w:rsid w:val="00C306C0"/>
    <w:rsid w:val="00C31341"/>
    <w:rsid w:val="00C313E3"/>
    <w:rsid w:val="00C31AD4"/>
    <w:rsid w:val="00C31D33"/>
    <w:rsid w:val="00C32786"/>
    <w:rsid w:val="00C32C00"/>
    <w:rsid w:val="00C34E9B"/>
    <w:rsid w:val="00C3514E"/>
    <w:rsid w:val="00C35721"/>
    <w:rsid w:val="00C35A6F"/>
    <w:rsid w:val="00C36B5B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158"/>
    <w:rsid w:val="00CC0269"/>
    <w:rsid w:val="00CC041C"/>
    <w:rsid w:val="00CC0824"/>
    <w:rsid w:val="00CC0C1C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19DE"/>
    <w:rsid w:val="00D71BF8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D5E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9C6"/>
    <w:rsid w:val="00EB5A69"/>
    <w:rsid w:val="00EB6AE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22F1"/>
    <w:rsid w:val="00EE2386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82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01F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2C0F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70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3BAD"/>
    <w:rsid w:val="00F54038"/>
    <w:rsid w:val="00F542CD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129C"/>
    <w:rsid w:val="00FA221A"/>
    <w:rsid w:val="00FA2B69"/>
    <w:rsid w:val="00FA2DCB"/>
    <w:rsid w:val="00FA3DF6"/>
    <w:rsid w:val="00FA3EEF"/>
    <w:rsid w:val="00FA4303"/>
    <w:rsid w:val="00FA4801"/>
    <w:rsid w:val="00FA4BBE"/>
    <w:rsid w:val="00FA5838"/>
    <w:rsid w:val="00FA5E2C"/>
    <w:rsid w:val="00FA60D7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5F7"/>
    <w:rsid w:val="00FD4813"/>
    <w:rsid w:val="00FD4C4E"/>
    <w:rsid w:val="00FD5904"/>
    <w:rsid w:val="00FD6210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0F132-FBBA-49A7-B4E6-E84A8F9A7378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547F20C7-4D41-49A1-A14D-52DD0C35A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2020-06-28T11:32:00Z</dcterms:created>
  <dcterms:modified xsi:type="dcterms:W3CDTF">2020-06-28T11:32:00Z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