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657AA4" w:rsidTr="0034672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AA4" w:rsidRPr="008930E0" w:rsidRDefault="00657AA4" w:rsidP="0034672D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930E0">
              <w:rPr>
                <w:rFonts w:cs="David"/>
                <w:sz w:val="28"/>
                <w:szCs w:val="28"/>
                <w:rtl/>
              </w:rPr>
              <w:t>בנ</w:t>
            </w:r>
            <w:r w:rsidRPr="008930E0">
              <w:rPr>
                <w:rFonts w:cs="David" w:hint="cs"/>
                <w:sz w:val="28"/>
                <w:szCs w:val="28"/>
                <w:rtl/>
              </w:rPr>
              <w:t xml:space="preserve">ק </w:t>
            </w:r>
            <w:r w:rsidRPr="008930E0">
              <w:rPr>
                <w:rFonts w:cs="David"/>
                <w:sz w:val="28"/>
                <w:szCs w:val="28"/>
                <w:rtl/>
              </w:rPr>
              <w:t>יש</w:t>
            </w:r>
            <w:r w:rsidRPr="008930E0">
              <w:rPr>
                <w:rFonts w:cs="David" w:hint="cs"/>
                <w:sz w:val="28"/>
                <w:szCs w:val="28"/>
                <w:rtl/>
              </w:rPr>
              <w:t>ראל</w:t>
            </w:r>
          </w:p>
          <w:p w:rsidR="00657AA4" w:rsidRPr="006F569C" w:rsidRDefault="00657AA4" w:rsidP="0034672D">
            <w:pPr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569C">
              <w:rPr>
                <w:rFonts w:cs="David"/>
                <w:b/>
                <w:bCs/>
                <w:sz w:val="24"/>
                <w:szCs w:val="24"/>
                <w:rtl/>
              </w:rPr>
              <w:t>דו</w:t>
            </w:r>
            <w:r w:rsidRPr="006F569C">
              <w:rPr>
                <w:rFonts w:cs="David" w:hint="cs"/>
                <w:b/>
                <w:bCs/>
                <w:sz w:val="24"/>
                <w:szCs w:val="24"/>
                <w:rtl/>
              </w:rPr>
              <w:t>בר</w:t>
            </w:r>
            <w:r w:rsidRPr="006F569C">
              <w:rPr>
                <w:rFonts w:cs="David"/>
                <w:b/>
                <w:bCs/>
                <w:sz w:val="24"/>
                <w:szCs w:val="24"/>
                <w:rtl/>
              </w:rPr>
              <w:t>ות</w:t>
            </w:r>
            <w:r w:rsidRPr="006F569C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AA4" w:rsidRPr="00FE105B" w:rsidRDefault="00657AA4" w:rsidP="0034672D">
            <w:pPr>
              <w:jc w:val="center"/>
              <w:rPr>
                <w:rFonts w:hint="cs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62025" cy="990600"/>
                  <wp:effectExtent l="0" t="0" r="9525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000" contrast="-6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AA4" w:rsidRPr="006F569C" w:rsidRDefault="00657AA4" w:rsidP="0034672D">
            <w:pPr>
              <w:pStyle w:val="a3"/>
              <w:spacing w:line="360" w:lineRule="auto"/>
              <w:jc w:val="right"/>
              <w:rPr>
                <w:rFonts w:cs="David" w:hint="cs"/>
                <w:rtl/>
              </w:rPr>
            </w:pPr>
            <w:r w:rsidRPr="006F569C">
              <w:rPr>
                <w:rFonts w:cs="David" w:hint="cs"/>
                <w:rtl/>
              </w:rPr>
              <w:t>כ"ח באייר, תשע"ג</w:t>
            </w:r>
          </w:p>
          <w:p w:rsidR="00657AA4" w:rsidRDefault="00657AA4" w:rsidP="0034672D">
            <w:pPr>
              <w:pStyle w:val="a3"/>
              <w:spacing w:line="360" w:lineRule="auto"/>
              <w:jc w:val="right"/>
              <w:rPr>
                <w:rFonts w:hint="cs"/>
                <w:rtl/>
              </w:rPr>
            </w:pPr>
            <w:r w:rsidRPr="006F569C">
              <w:rPr>
                <w:rFonts w:cs="David" w:hint="cs"/>
                <w:rtl/>
              </w:rPr>
              <w:t>8 במאי, 2013</w:t>
            </w:r>
          </w:p>
        </w:tc>
      </w:tr>
    </w:tbl>
    <w:p w:rsidR="008C20AB" w:rsidRDefault="008C20AB">
      <w:pPr>
        <w:rPr>
          <w:rFonts w:hint="cs"/>
          <w:rtl/>
        </w:rPr>
      </w:pPr>
      <w:bookmarkStart w:id="0" w:name="_GoBack"/>
      <w:bookmarkEnd w:id="0"/>
    </w:p>
    <w:p w:rsidR="00657AA4" w:rsidRPr="006F569C" w:rsidRDefault="00657AA4" w:rsidP="00657AA4">
      <w:pPr>
        <w:tabs>
          <w:tab w:val="left" w:pos="9598"/>
        </w:tabs>
        <w:spacing w:line="480" w:lineRule="auto"/>
        <w:jc w:val="both"/>
        <w:rPr>
          <w:rFonts w:cs="David" w:hint="cs"/>
          <w:sz w:val="24"/>
          <w:szCs w:val="24"/>
          <w:rtl/>
        </w:rPr>
      </w:pPr>
      <w:r w:rsidRPr="006F569C">
        <w:rPr>
          <w:rFonts w:cs="David" w:hint="cs"/>
          <w:sz w:val="24"/>
          <w:szCs w:val="24"/>
          <w:rtl/>
        </w:rPr>
        <w:t>הודעה לעיתונות:</w:t>
      </w:r>
    </w:p>
    <w:p w:rsidR="00657AA4" w:rsidRPr="006F569C" w:rsidRDefault="00657AA4" w:rsidP="00657AA4">
      <w:pPr>
        <w:spacing w:line="360" w:lineRule="auto"/>
        <w:jc w:val="center"/>
        <w:rPr>
          <w:rFonts w:ascii="Arial" w:hAnsi="Arial" w:cs="David"/>
          <w:b/>
          <w:bCs/>
          <w:sz w:val="26"/>
          <w:szCs w:val="26"/>
          <w:u w:val="single"/>
          <w:rtl/>
        </w:rPr>
      </w:pPr>
      <w:r w:rsidRPr="006F569C">
        <w:rPr>
          <w:rFonts w:ascii="Arial" w:hAnsi="Arial" w:cs="David"/>
          <w:b/>
          <w:bCs/>
          <w:sz w:val="26"/>
          <w:szCs w:val="26"/>
          <w:u w:val="single"/>
          <w:rtl/>
        </w:rPr>
        <w:t xml:space="preserve">בארי </w:t>
      </w:r>
      <w:proofErr w:type="spellStart"/>
      <w:r w:rsidRPr="006F569C">
        <w:rPr>
          <w:rFonts w:ascii="Arial" w:hAnsi="Arial" w:cs="David"/>
          <w:b/>
          <w:bCs/>
          <w:sz w:val="26"/>
          <w:szCs w:val="26"/>
          <w:u w:val="single"/>
          <w:rtl/>
        </w:rPr>
        <w:t>טאף</w:t>
      </w:r>
      <w:proofErr w:type="spellEnd"/>
      <w:r w:rsidRPr="006F569C">
        <w:rPr>
          <w:rFonts w:ascii="Arial" w:hAnsi="Arial" w:cs="David" w:hint="cs"/>
          <w:b/>
          <w:bCs/>
          <w:sz w:val="26"/>
          <w:szCs w:val="26"/>
          <w:u w:val="single"/>
          <w:rtl/>
        </w:rPr>
        <w:t xml:space="preserve"> </w:t>
      </w:r>
      <w:r w:rsidRPr="006F569C">
        <w:rPr>
          <w:rFonts w:ascii="Arial" w:hAnsi="Arial" w:cs="David"/>
          <w:b/>
          <w:bCs/>
          <w:sz w:val="26"/>
          <w:szCs w:val="26"/>
          <w:u w:val="single"/>
          <w:rtl/>
        </w:rPr>
        <w:t xml:space="preserve">הודיע על פרישתו </w:t>
      </w:r>
      <w:r w:rsidRPr="006F569C">
        <w:rPr>
          <w:rFonts w:ascii="Arial" w:hAnsi="Arial" w:cs="David" w:hint="cs"/>
          <w:b/>
          <w:bCs/>
          <w:sz w:val="26"/>
          <w:szCs w:val="26"/>
          <w:u w:val="single"/>
          <w:rtl/>
        </w:rPr>
        <w:t xml:space="preserve">אחרי 30 שנה בבנק ישראל </w:t>
      </w:r>
    </w:p>
    <w:p w:rsidR="00657AA4" w:rsidRPr="006F569C" w:rsidRDefault="00657AA4" w:rsidP="00657AA4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r w:rsidRPr="006F569C">
        <w:rPr>
          <w:rFonts w:ascii="Arial" w:hAnsi="Arial" w:cs="David"/>
          <w:b/>
          <w:bCs/>
          <w:sz w:val="24"/>
          <w:szCs w:val="24"/>
          <w:rtl/>
        </w:rPr>
        <w:t xml:space="preserve">בארי </w:t>
      </w:r>
      <w:proofErr w:type="spellStart"/>
      <w:r w:rsidRPr="006F569C">
        <w:rPr>
          <w:rFonts w:ascii="Arial" w:hAnsi="Arial" w:cs="David"/>
          <w:b/>
          <w:bCs/>
          <w:sz w:val="24"/>
          <w:szCs w:val="24"/>
          <w:rtl/>
        </w:rPr>
        <w:t>טאף</w:t>
      </w:r>
      <w:proofErr w:type="spellEnd"/>
      <w:r w:rsidRPr="006F569C">
        <w:rPr>
          <w:rFonts w:ascii="Arial" w:hAnsi="Arial" w:cs="David"/>
          <w:b/>
          <w:bCs/>
          <w:sz w:val="24"/>
          <w:szCs w:val="24"/>
          <w:rtl/>
        </w:rPr>
        <w:t>, יועץ בכיר לנגיד לענייני מדיניות מוניטארית</w:t>
      </w:r>
      <w:r>
        <w:rPr>
          <w:rFonts w:ascii="Arial" w:hAnsi="Arial" w:cs="David" w:hint="cs"/>
          <w:b/>
          <w:bCs/>
          <w:sz w:val="24"/>
          <w:szCs w:val="24"/>
          <w:rtl/>
        </w:rPr>
        <w:t xml:space="preserve"> וחבר בוועדה המוניטארית מאז הקמתה ב-2011</w:t>
      </w:r>
      <w:r w:rsidRPr="006F569C">
        <w:rPr>
          <w:rFonts w:ascii="Arial" w:hAnsi="Arial" w:cs="David" w:hint="cs"/>
          <w:b/>
          <w:bCs/>
          <w:sz w:val="24"/>
          <w:szCs w:val="24"/>
          <w:rtl/>
        </w:rPr>
        <w:t>,</w:t>
      </w:r>
      <w:r w:rsidRPr="006F569C">
        <w:rPr>
          <w:rFonts w:ascii="Arial" w:hAnsi="Arial" w:cs="David"/>
          <w:sz w:val="24"/>
          <w:szCs w:val="24"/>
          <w:rtl/>
        </w:rPr>
        <w:t xml:space="preserve"> הודיע על פרישתו</w:t>
      </w:r>
      <w:r w:rsidRPr="006F569C">
        <w:rPr>
          <w:rFonts w:ascii="Arial" w:hAnsi="Arial" w:cs="David" w:hint="cs"/>
          <w:sz w:val="24"/>
          <w:szCs w:val="24"/>
          <w:rtl/>
        </w:rPr>
        <w:t>, לאחר 30 שנה בבנק ישראל</w:t>
      </w:r>
      <w:r>
        <w:rPr>
          <w:rFonts w:ascii="Arial" w:hAnsi="Arial" w:cs="David" w:hint="cs"/>
          <w:sz w:val="24"/>
          <w:szCs w:val="24"/>
          <w:rtl/>
        </w:rPr>
        <w:t>.</w:t>
      </w:r>
      <w:r w:rsidRPr="006F569C">
        <w:rPr>
          <w:rFonts w:ascii="Arial" w:hAnsi="Arial" w:cs="David" w:hint="cs"/>
          <w:sz w:val="24"/>
          <w:szCs w:val="24"/>
          <w:rtl/>
        </w:rPr>
        <w:t xml:space="preserve"> </w:t>
      </w:r>
      <w:proofErr w:type="spellStart"/>
      <w:r w:rsidRPr="006F569C">
        <w:rPr>
          <w:rFonts w:ascii="Arial" w:hAnsi="Arial" w:cs="David" w:hint="cs"/>
          <w:sz w:val="24"/>
          <w:szCs w:val="24"/>
          <w:rtl/>
        </w:rPr>
        <w:t>טאף</w:t>
      </w:r>
      <w:proofErr w:type="spellEnd"/>
      <w:r w:rsidRPr="006F569C">
        <w:rPr>
          <w:rFonts w:ascii="Arial" w:hAnsi="Arial" w:cs="David" w:hint="cs"/>
          <w:sz w:val="24"/>
          <w:szCs w:val="24"/>
          <w:rtl/>
        </w:rPr>
        <w:t xml:space="preserve"> צפוי לסיים את תפקידו עד</w:t>
      </w:r>
      <w:r w:rsidRPr="006F569C">
        <w:rPr>
          <w:rFonts w:ascii="Arial" w:hAnsi="Arial" w:cs="David"/>
          <w:sz w:val="24"/>
          <w:szCs w:val="24"/>
          <w:rtl/>
        </w:rPr>
        <w:t xml:space="preserve"> דצמבר 2013. המועד המדויק י</w:t>
      </w:r>
      <w:r w:rsidRPr="006F569C">
        <w:rPr>
          <w:rFonts w:ascii="Arial" w:hAnsi="Arial" w:cs="David" w:hint="cs"/>
          <w:sz w:val="24"/>
          <w:szCs w:val="24"/>
          <w:rtl/>
        </w:rPr>
        <w:t>י</w:t>
      </w:r>
      <w:r w:rsidRPr="006F569C">
        <w:rPr>
          <w:rFonts w:ascii="Arial" w:hAnsi="Arial" w:cs="David"/>
          <w:sz w:val="24"/>
          <w:szCs w:val="24"/>
          <w:rtl/>
        </w:rPr>
        <w:t>קבע</w:t>
      </w:r>
      <w:r w:rsidRPr="006F569C">
        <w:rPr>
          <w:rFonts w:ascii="Arial" w:hAnsi="Arial" w:cs="David" w:hint="cs"/>
          <w:sz w:val="24"/>
          <w:szCs w:val="24"/>
          <w:rtl/>
        </w:rPr>
        <w:t xml:space="preserve"> </w:t>
      </w:r>
      <w:r w:rsidRPr="006F569C">
        <w:rPr>
          <w:rFonts w:ascii="Arial" w:hAnsi="Arial" w:cs="David"/>
          <w:sz w:val="24"/>
          <w:szCs w:val="24"/>
          <w:rtl/>
        </w:rPr>
        <w:t xml:space="preserve">לאחר מינוי הנגיד החדש על מנת לאפשר המשך עבודה רציפה והעברה מסודרת ומלאה של תפקידו. </w:t>
      </w:r>
      <w:proofErr w:type="spellStart"/>
      <w:r w:rsidRPr="006F569C">
        <w:rPr>
          <w:rFonts w:ascii="Arial" w:hAnsi="Arial" w:cs="David" w:hint="cs"/>
          <w:sz w:val="24"/>
          <w:szCs w:val="24"/>
          <w:rtl/>
        </w:rPr>
        <w:t>טאף</w:t>
      </w:r>
      <w:proofErr w:type="spellEnd"/>
      <w:r w:rsidRPr="006F569C">
        <w:rPr>
          <w:rFonts w:ascii="Arial" w:hAnsi="Arial" w:cs="David" w:hint="cs"/>
          <w:sz w:val="24"/>
          <w:szCs w:val="24"/>
          <w:rtl/>
        </w:rPr>
        <w:t xml:space="preserve"> ציין במכתבו לנגיד, כי "אעשה כל שביכולתי עד לפרישה שלי ולאחריה לעזור לבנק ישראל בביצוע משימותיו, כפי שניסיתי לעשות בכל שנות העבודה שלי בבנק".</w:t>
      </w:r>
    </w:p>
    <w:p w:rsidR="00657AA4" w:rsidRPr="006F569C" w:rsidRDefault="00657AA4" w:rsidP="00657AA4">
      <w:pPr>
        <w:spacing w:line="360" w:lineRule="auto"/>
        <w:jc w:val="both"/>
        <w:rPr>
          <w:rFonts w:ascii="Arial" w:hAnsi="Arial" w:cs="David"/>
          <w:sz w:val="24"/>
          <w:szCs w:val="24"/>
          <w:rtl/>
        </w:rPr>
      </w:pPr>
      <w:proofErr w:type="spellStart"/>
      <w:r w:rsidRPr="006F569C">
        <w:rPr>
          <w:rFonts w:ascii="Arial" w:hAnsi="Arial" w:cs="David"/>
          <w:sz w:val="24"/>
          <w:szCs w:val="24"/>
          <w:rtl/>
        </w:rPr>
        <w:t>טאף</w:t>
      </w:r>
      <w:proofErr w:type="spellEnd"/>
      <w:r w:rsidRPr="006F569C">
        <w:rPr>
          <w:rFonts w:ascii="Arial" w:hAnsi="Arial" w:cs="David"/>
          <w:sz w:val="24"/>
          <w:szCs w:val="24"/>
          <w:rtl/>
        </w:rPr>
        <w:t xml:space="preserve"> החל את דרכו בבנק ישראל לפני כ-30 שנה, ובמשך כעשר שנים שימש </w:t>
      </w:r>
      <w:r w:rsidRPr="006F569C">
        <w:rPr>
          <w:rFonts w:ascii="Arial" w:hAnsi="Arial" w:cs="David" w:hint="cs"/>
          <w:sz w:val="24"/>
          <w:szCs w:val="24"/>
          <w:rtl/>
        </w:rPr>
        <w:t xml:space="preserve">גם </w:t>
      </w:r>
      <w:r w:rsidRPr="006F569C">
        <w:rPr>
          <w:rFonts w:ascii="Arial" w:hAnsi="Arial" w:cs="David"/>
          <w:sz w:val="24"/>
          <w:szCs w:val="24"/>
          <w:rtl/>
        </w:rPr>
        <w:t xml:space="preserve">כחבר </w:t>
      </w:r>
      <w:r w:rsidRPr="006F569C">
        <w:rPr>
          <w:rFonts w:ascii="Arial" w:hAnsi="Arial" w:cs="David" w:hint="cs"/>
          <w:sz w:val="24"/>
          <w:szCs w:val="24"/>
          <w:rtl/>
        </w:rPr>
        <w:t>הנהלת הבנק</w:t>
      </w:r>
      <w:r w:rsidRPr="006F569C">
        <w:rPr>
          <w:rFonts w:ascii="Arial" w:hAnsi="Arial" w:cs="David"/>
          <w:sz w:val="24"/>
          <w:szCs w:val="24"/>
          <w:rtl/>
        </w:rPr>
        <w:t>. לפני שמונה למנהל חטיבת השווקים ב- 2008, שימש במשך כשבע שנים מנהל מחלקת מטבע חוץ. במסגרת עיסוקיו בבנק ישראל הוא משמש גם</w:t>
      </w:r>
      <w:r w:rsidRPr="006F569C">
        <w:rPr>
          <w:rFonts w:ascii="Arial" w:hAnsi="Arial" w:cs="David" w:hint="cs"/>
          <w:sz w:val="24"/>
          <w:szCs w:val="24"/>
          <w:rtl/>
        </w:rPr>
        <w:t xml:space="preserve"> חבר המליאה של הרשות לניירות ערך</w:t>
      </w:r>
      <w:r w:rsidRPr="006F569C">
        <w:rPr>
          <w:rFonts w:ascii="Arial" w:hAnsi="Arial" w:cs="David"/>
          <w:sz w:val="24"/>
          <w:szCs w:val="24"/>
          <w:rtl/>
        </w:rPr>
        <w:t xml:space="preserve">. מאז 1994 משמש </w:t>
      </w:r>
      <w:proofErr w:type="spellStart"/>
      <w:r w:rsidRPr="006F569C">
        <w:rPr>
          <w:rFonts w:ascii="Arial" w:hAnsi="Arial" w:cs="David"/>
          <w:sz w:val="24"/>
          <w:szCs w:val="24"/>
          <w:rtl/>
        </w:rPr>
        <w:t>טאף</w:t>
      </w:r>
      <w:proofErr w:type="spellEnd"/>
      <w:r w:rsidRPr="006F569C">
        <w:rPr>
          <w:rFonts w:ascii="Arial" w:hAnsi="Arial" w:cs="David"/>
          <w:sz w:val="24"/>
          <w:szCs w:val="24"/>
          <w:rtl/>
        </w:rPr>
        <w:t xml:space="preserve"> כיועץ מומחה בקרן המטבע הבינלאומית, ובעבר כיהן </w:t>
      </w:r>
      <w:r w:rsidRPr="006F569C">
        <w:rPr>
          <w:rFonts w:ascii="Arial" w:hAnsi="Arial" w:cs="David" w:hint="cs"/>
          <w:sz w:val="24"/>
          <w:szCs w:val="24"/>
          <w:rtl/>
        </w:rPr>
        <w:t>כדירקטור בבורסה לניירות ערך בתל אביב ו</w:t>
      </w:r>
      <w:r w:rsidRPr="006F569C">
        <w:rPr>
          <w:rFonts w:ascii="Arial" w:hAnsi="Arial" w:cs="David"/>
          <w:sz w:val="24"/>
          <w:szCs w:val="24"/>
          <w:rtl/>
        </w:rPr>
        <w:t xml:space="preserve">כחבר בוועדת </w:t>
      </w:r>
      <w:proofErr w:type="spellStart"/>
      <w:r w:rsidRPr="006F569C">
        <w:rPr>
          <w:rFonts w:ascii="Arial" w:hAnsi="Arial" w:cs="David"/>
          <w:sz w:val="24"/>
          <w:szCs w:val="24"/>
          <w:rtl/>
        </w:rPr>
        <w:t>אריאב</w:t>
      </w:r>
      <w:proofErr w:type="spellEnd"/>
      <w:r w:rsidRPr="006F569C">
        <w:rPr>
          <w:rFonts w:ascii="Arial" w:hAnsi="Arial" w:cs="David"/>
          <w:sz w:val="24"/>
          <w:szCs w:val="24"/>
          <w:rtl/>
        </w:rPr>
        <w:t xml:space="preserve"> לפיתוח שוק ההון.  </w:t>
      </w:r>
    </w:p>
    <w:p w:rsidR="00657AA4" w:rsidRPr="006F569C" w:rsidRDefault="00657AA4" w:rsidP="00657AA4">
      <w:pPr>
        <w:spacing w:line="360" w:lineRule="auto"/>
        <w:jc w:val="both"/>
        <w:rPr>
          <w:rFonts w:ascii="Arial" w:hAnsi="Arial" w:cs="David" w:hint="cs"/>
          <w:sz w:val="24"/>
          <w:szCs w:val="24"/>
          <w:rtl/>
        </w:rPr>
      </w:pPr>
      <w:r w:rsidRPr="006F569C">
        <w:rPr>
          <w:rFonts w:ascii="Arial" w:eastAsia="Arial Unicode MS" w:hAnsi="Arial" w:cs="David"/>
          <w:b/>
          <w:bCs/>
          <w:sz w:val="24"/>
          <w:szCs w:val="24"/>
          <w:rtl/>
        </w:rPr>
        <w:t>נגיד בנק ישראל, פרופ' סטנלי פישר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, הודה לבארי </w:t>
      </w:r>
      <w:proofErr w:type="spellStart"/>
      <w:r w:rsidRPr="006F569C">
        <w:rPr>
          <w:rFonts w:ascii="Arial" w:eastAsia="Arial Unicode MS" w:hAnsi="Arial" w:cs="David"/>
          <w:sz w:val="24"/>
          <w:szCs w:val="24"/>
          <w:rtl/>
        </w:rPr>
        <w:t>טאף</w:t>
      </w:r>
      <w:proofErr w:type="spellEnd"/>
      <w:r w:rsidRPr="006F569C">
        <w:rPr>
          <w:rFonts w:ascii="Arial" w:eastAsia="Arial Unicode MS" w:hAnsi="Arial" w:cs="David"/>
          <w:sz w:val="24"/>
          <w:szCs w:val="24"/>
          <w:rtl/>
        </w:rPr>
        <w:t xml:space="preserve"> על שירותו הארוך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 xml:space="preserve"> והמסור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בבנק ישראל ועל תרומתו הגדולה למשק הישראלי. הנגיד: "בארי הוא מעמודי התווך של בנק ישראל ושותף מלא בהפיכתו של הבנק לגוף מודרני המתמודד בהצלחה רבה בשווקים הבינלאומיים.</w:t>
      </w:r>
      <w:r w:rsidRPr="006F569C">
        <w:rPr>
          <w:rFonts w:cs="David" w:hint="cs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בארי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מילא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תפקיד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מרכזי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בתכנון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וביצוע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תגובת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בנק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ישראל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למשבר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הפיננסי שהחל ב-2008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,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לרבות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proofErr w:type="spellStart"/>
      <w:r w:rsidRPr="006F569C">
        <w:rPr>
          <w:rFonts w:ascii="Arial" w:eastAsia="Arial Unicode MS" w:hAnsi="Arial" w:cs="David" w:hint="cs"/>
          <w:sz w:val="24"/>
          <w:szCs w:val="24"/>
          <w:rtl/>
        </w:rPr>
        <w:t>תוכנית</w:t>
      </w:r>
      <w:proofErr w:type="spellEnd"/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הגדלת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יתרות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proofErr w:type="spellStart"/>
      <w:r w:rsidRPr="006F569C">
        <w:rPr>
          <w:rFonts w:ascii="Arial" w:eastAsia="Arial Unicode MS" w:hAnsi="Arial" w:cs="David" w:hint="cs"/>
          <w:sz w:val="24"/>
          <w:szCs w:val="24"/>
          <w:rtl/>
        </w:rPr>
        <w:t>המט</w:t>
      </w:r>
      <w:r w:rsidRPr="006F569C">
        <w:rPr>
          <w:rFonts w:ascii="Arial" w:eastAsia="Arial Unicode MS" w:hAnsi="Arial" w:cs="David"/>
          <w:sz w:val="24"/>
          <w:szCs w:val="24"/>
          <w:rtl/>
        </w:rPr>
        <w:t>"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ח</w:t>
      </w:r>
      <w:proofErr w:type="spellEnd"/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וההתערבות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בשוק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proofErr w:type="spellStart"/>
      <w:r w:rsidRPr="006F569C">
        <w:rPr>
          <w:rFonts w:ascii="Arial" w:eastAsia="Arial Unicode MS" w:hAnsi="Arial" w:cs="David" w:hint="cs"/>
          <w:sz w:val="24"/>
          <w:szCs w:val="24"/>
          <w:rtl/>
        </w:rPr>
        <w:t>המט</w:t>
      </w:r>
      <w:r w:rsidRPr="006F569C">
        <w:rPr>
          <w:rFonts w:ascii="Arial" w:eastAsia="Arial Unicode MS" w:hAnsi="Arial" w:cs="David"/>
          <w:sz w:val="24"/>
          <w:szCs w:val="24"/>
          <w:rtl/>
        </w:rPr>
        <w:t>"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ח</w:t>
      </w:r>
      <w:proofErr w:type="spellEnd"/>
      <w:r w:rsidRPr="006F569C">
        <w:rPr>
          <w:rFonts w:ascii="Arial" w:eastAsia="Arial Unicode MS" w:hAnsi="Arial" w:cs="David"/>
          <w:sz w:val="24"/>
          <w:szCs w:val="24"/>
          <w:rtl/>
        </w:rPr>
        <w:t xml:space="preserve">, </w:t>
      </w:r>
      <w:proofErr w:type="spellStart"/>
      <w:r w:rsidRPr="006F569C">
        <w:rPr>
          <w:rFonts w:ascii="Arial" w:eastAsia="Arial Unicode MS" w:hAnsi="Arial" w:cs="David" w:hint="cs"/>
          <w:sz w:val="24"/>
          <w:szCs w:val="24"/>
          <w:rtl/>
        </w:rPr>
        <w:t>תוכנית</w:t>
      </w:r>
      <w:proofErr w:type="spellEnd"/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רכישת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אג</w:t>
      </w:r>
      <w:r w:rsidRPr="006F569C">
        <w:rPr>
          <w:rFonts w:ascii="Arial" w:eastAsia="Arial Unicode MS" w:hAnsi="Arial" w:cs="David"/>
          <w:sz w:val="24"/>
          <w:szCs w:val="24"/>
          <w:rtl/>
        </w:rPr>
        <w:t>"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ח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ממשלתיות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והזרמת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נזילות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למערכת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הבנקאית.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כולנו אסירי תודה על תרומתו </w:t>
      </w:r>
      <w:r w:rsidRPr="00667060">
        <w:rPr>
          <w:rFonts w:ascii="Arial" w:eastAsia="Arial Unicode MS" w:hAnsi="Arial" w:cs="David" w:hint="cs"/>
          <w:sz w:val="24"/>
          <w:szCs w:val="24"/>
          <w:rtl/>
        </w:rPr>
        <w:t>החשובה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ל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 xml:space="preserve">פיתוח שוק </w:t>
      </w:r>
      <w:proofErr w:type="spellStart"/>
      <w:r w:rsidRPr="006F569C">
        <w:rPr>
          <w:rFonts w:ascii="Arial" w:eastAsia="Arial Unicode MS" w:hAnsi="Arial" w:cs="David" w:hint="cs"/>
          <w:sz w:val="24"/>
          <w:szCs w:val="24"/>
          <w:rtl/>
        </w:rPr>
        <w:t>המט"ח</w:t>
      </w:r>
      <w:proofErr w:type="spellEnd"/>
      <w:r w:rsidRPr="006F569C">
        <w:rPr>
          <w:rFonts w:ascii="Arial" w:eastAsia="Arial Unicode MS" w:hAnsi="Arial" w:cs="David" w:hint="cs"/>
          <w:sz w:val="24"/>
          <w:szCs w:val="24"/>
          <w:rtl/>
        </w:rPr>
        <w:t xml:space="preserve"> בישראל ולגיבוש מדיניות שער החליפין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, כמו גם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 xml:space="preserve">על 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תרומתו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 xml:space="preserve">לעיצוב 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המדיניות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המוניטארי</w:t>
      </w:r>
      <w:r w:rsidRPr="006F569C">
        <w:rPr>
          <w:rFonts w:ascii="Arial" w:eastAsia="Arial Unicode MS" w:hAnsi="Arial" w:cs="David" w:hint="eastAsia"/>
          <w:sz w:val="24"/>
          <w:szCs w:val="24"/>
          <w:rtl/>
        </w:rPr>
        <w:t>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באמצעות השתתפותו הפעילה כחבר בוועדה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המוניטארי</w:t>
      </w:r>
      <w:r w:rsidRPr="006F569C">
        <w:rPr>
          <w:rFonts w:ascii="Arial" w:eastAsia="Arial Unicode MS" w:hAnsi="Arial" w:cs="David" w:hint="eastAsia"/>
          <w:sz w:val="24"/>
          <w:szCs w:val="24"/>
          <w:rtl/>
        </w:rPr>
        <w:t>ת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של בנק ישראל</w:t>
      </w:r>
      <w:r>
        <w:rPr>
          <w:rFonts w:ascii="Arial" w:eastAsia="Arial Unicode MS" w:hAnsi="Arial" w:cs="David" w:hint="cs"/>
          <w:sz w:val="24"/>
          <w:szCs w:val="24"/>
          <w:rtl/>
        </w:rPr>
        <w:t>,</w:t>
      </w:r>
      <w:r w:rsidRPr="006F569C">
        <w:rPr>
          <w:rFonts w:ascii="Arial" w:eastAsia="Arial Unicode MS" w:hAnsi="Arial" w:cs="David"/>
          <w:sz w:val="24"/>
          <w:szCs w:val="24"/>
          <w:rtl/>
        </w:rPr>
        <w:t xml:space="preserve"> מאז </w:t>
      </w:r>
      <w:r w:rsidRPr="006F569C">
        <w:rPr>
          <w:rFonts w:ascii="Arial" w:eastAsia="Arial Unicode MS" w:hAnsi="Arial" w:cs="David" w:hint="cs"/>
          <w:sz w:val="24"/>
          <w:szCs w:val="24"/>
          <w:rtl/>
        </w:rPr>
        <w:t>שהוקמה ב-2011</w:t>
      </w:r>
      <w:r>
        <w:rPr>
          <w:rFonts w:ascii="Arial" w:eastAsia="Arial Unicode MS" w:hAnsi="Arial" w:cs="David" w:hint="cs"/>
          <w:sz w:val="24"/>
          <w:szCs w:val="24"/>
          <w:rtl/>
        </w:rPr>
        <w:t>".</w:t>
      </w:r>
    </w:p>
    <w:p w:rsidR="00657AA4" w:rsidRPr="006F569C" w:rsidRDefault="00657AA4" w:rsidP="00657AA4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6F569C">
        <w:rPr>
          <w:rFonts w:ascii="Arial" w:hAnsi="Arial" w:cs="David"/>
          <w:sz w:val="24"/>
          <w:szCs w:val="24"/>
          <w:rtl/>
        </w:rPr>
        <w:t xml:space="preserve">בארי </w:t>
      </w:r>
      <w:proofErr w:type="spellStart"/>
      <w:r w:rsidRPr="006F569C">
        <w:rPr>
          <w:rFonts w:ascii="Arial" w:hAnsi="Arial" w:cs="David"/>
          <w:sz w:val="24"/>
          <w:szCs w:val="24"/>
          <w:rtl/>
        </w:rPr>
        <w:t>טאף</w:t>
      </w:r>
      <w:proofErr w:type="spellEnd"/>
      <w:r w:rsidRPr="006F569C">
        <w:rPr>
          <w:rFonts w:ascii="Arial" w:hAnsi="Arial" w:cs="David"/>
          <w:sz w:val="24"/>
          <w:szCs w:val="24"/>
          <w:rtl/>
        </w:rPr>
        <w:t xml:space="preserve">, בעל תואר שני בהצטיינות </w:t>
      </w:r>
      <w:proofErr w:type="spellStart"/>
      <w:r w:rsidRPr="006F569C">
        <w:rPr>
          <w:rFonts w:ascii="Arial" w:hAnsi="Arial" w:cs="David"/>
          <w:sz w:val="24"/>
          <w:szCs w:val="24"/>
          <w:rtl/>
        </w:rPr>
        <w:t>במינהל</w:t>
      </w:r>
      <w:proofErr w:type="spellEnd"/>
      <w:r w:rsidRPr="006F569C">
        <w:rPr>
          <w:rFonts w:ascii="Arial" w:hAnsi="Arial" w:cs="David"/>
          <w:sz w:val="24"/>
          <w:szCs w:val="24"/>
          <w:rtl/>
        </w:rPr>
        <w:t xml:space="preserve"> עסקים מהאוניברסיטה העברית, הוביל שורה של הישגים במהלך שנות עבודתו בבנק, ובהם הכנסת השקל למערכת התשלומים הבינלאומית </w:t>
      </w:r>
      <w:r w:rsidRPr="006F569C">
        <w:rPr>
          <w:rFonts w:ascii="Times New Roman" w:hAnsi="Times New Roman" w:cs="Times New Roman"/>
        </w:rPr>
        <w:t>CLS</w:t>
      </w:r>
      <w:r w:rsidRPr="006F569C">
        <w:rPr>
          <w:rFonts w:ascii="Arial" w:hAnsi="Arial" w:cs="David"/>
          <w:sz w:val="24"/>
          <w:szCs w:val="24"/>
          <w:rtl/>
        </w:rPr>
        <w:t>, הקמת חטיבת השווקים במסגרת הרה ארגון בבנק, הקמת נציגות בנק ישראל בניו-יורק, שיפור והכנסת שיטות מתקדמות בניהול תיק היתרות והכללת מטבעות ונכסים חדשים בתיק.</w:t>
      </w:r>
    </w:p>
    <w:p w:rsidR="00657AA4" w:rsidRDefault="00657AA4"/>
    <w:sectPr w:rsidR="00657AA4" w:rsidSect="00317E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A4"/>
    <w:rsid w:val="00317EA2"/>
    <w:rsid w:val="00657AA4"/>
    <w:rsid w:val="008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A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57A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semiHidden/>
    <w:rsid w:val="00657A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57A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A4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57A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כותרת עליונה תו"/>
    <w:basedOn w:val="a0"/>
    <w:link w:val="a3"/>
    <w:semiHidden/>
    <w:rsid w:val="00657AA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5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57A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02511C-1EEF-4F3D-B307-5BB12458D009}"/>
</file>

<file path=customXml/itemProps2.xml><?xml version="1.0" encoding="utf-8"?>
<ds:datastoreItem xmlns:ds="http://schemas.openxmlformats.org/officeDocument/2006/customXml" ds:itemID="{7915D1D4-C54A-4BB3-A41E-4171211FFC69}"/>
</file>

<file path=customXml/itemProps3.xml><?xml version="1.0" encoding="utf-8"?>
<ds:datastoreItem xmlns:ds="http://schemas.openxmlformats.org/officeDocument/2006/customXml" ds:itemID="{775C2A8C-D6FF-4EF0-9E95-148DD478F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1564</Characters>
  <Application>Microsoft Office Word</Application>
  <DocSecurity>0</DocSecurity>
  <Lines>13</Lines>
  <Paragraphs>3</Paragraphs>
  <ScaleCrop>false</ScaleCrop>
  <Company>BOI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Rickey Achdut Dovrut BOI</dc:creator>
  <cp:lastModifiedBy>Rickey Achdut Dovrut BOI</cp:lastModifiedBy>
  <cp:revision>1</cp:revision>
  <dcterms:created xsi:type="dcterms:W3CDTF">2013-05-12T09:25:00Z</dcterms:created>
  <dcterms:modified xsi:type="dcterms:W3CDTF">2013-05-12T09:26:00Z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