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9D" w:rsidRDefault="000A679D"/>
    <w:tbl>
      <w:tblPr>
        <w:tblpPr w:leftFromText="180" w:rightFromText="180" w:vertAnchor="text" w:horzAnchor="margin" w:tblpY="-344"/>
        <w:bidiVisual/>
        <w:tblW w:w="8520" w:type="dxa"/>
        <w:tblLayout w:type="fixed"/>
        <w:tblLook w:val="04A0" w:firstRow="1" w:lastRow="0" w:firstColumn="1" w:lastColumn="0" w:noHBand="0" w:noVBand="1"/>
      </w:tblPr>
      <w:tblGrid>
        <w:gridCol w:w="2840"/>
        <w:gridCol w:w="2596"/>
        <w:gridCol w:w="3084"/>
      </w:tblGrid>
      <w:tr w:rsidR="000A679D" w:rsidRPr="00E90541" w:rsidTr="00692730">
        <w:trPr>
          <w:trHeight w:val="1560"/>
          <w:tblHeader/>
        </w:trPr>
        <w:tc>
          <w:tcPr>
            <w:tcW w:w="2840" w:type="dxa"/>
            <w:vAlign w:val="center"/>
            <w:hideMark/>
          </w:tcPr>
          <w:p w:rsidR="000A679D" w:rsidRDefault="000A679D" w:rsidP="00692730">
            <w:pPr>
              <w:spacing w:after="0" w:line="360" w:lineRule="auto"/>
              <w:jc w:val="center"/>
              <w:rPr>
                <w:rFonts w:ascii="David" w:eastAsia="Times New Roman" w:hAnsi="David" w:cs="David"/>
                <w:b/>
                <w:bCs/>
                <w:sz w:val="24"/>
                <w:szCs w:val="24"/>
                <w:rtl/>
                <w:lang w:eastAsia="he-IL"/>
              </w:rPr>
            </w:pPr>
            <w:r w:rsidRPr="00E90541">
              <w:rPr>
                <w:rFonts w:ascii="David" w:eastAsia="Times New Roman" w:hAnsi="David" w:cs="David"/>
                <w:b/>
                <w:bCs/>
                <w:sz w:val="24"/>
                <w:szCs w:val="24"/>
                <w:rtl/>
                <w:lang w:eastAsia="he-IL"/>
              </w:rPr>
              <w:t>בנק ישראל</w:t>
            </w:r>
          </w:p>
          <w:p w:rsidR="000A679D" w:rsidRPr="00E90541" w:rsidRDefault="000A679D" w:rsidP="00692730">
            <w:pPr>
              <w:spacing w:after="0" w:line="360" w:lineRule="auto"/>
              <w:jc w:val="center"/>
              <w:rPr>
                <w:rFonts w:ascii="David" w:eastAsia="Times New Roman" w:hAnsi="David" w:cs="David"/>
                <w:b/>
                <w:bCs/>
                <w:sz w:val="24"/>
                <w:szCs w:val="24"/>
                <w:lang w:eastAsia="he-IL"/>
              </w:rPr>
            </w:pPr>
          </w:p>
          <w:p w:rsidR="000A679D" w:rsidRPr="00E90541" w:rsidRDefault="000A679D" w:rsidP="00692730">
            <w:pPr>
              <w:spacing w:after="0" w:line="360" w:lineRule="auto"/>
              <w:ind w:right="-101"/>
              <w:jc w:val="center"/>
              <w:rPr>
                <w:rFonts w:ascii="David" w:eastAsia="Times New Roman" w:hAnsi="David" w:cs="David"/>
                <w:sz w:val="24"/>
                <w:szCs w:val="24"/>
                <w:lang w:eastAsia="he-IL"/>
              </w:rPr>
            </w:pPr>
            <w:r>
              <w:rPr>
                <w:rFonts w:ascii="David" w:hAnsi="David" w:cs="David"/>
                <w:sz w:val="24"/>
                <w:szCs w:val="24"/>
                <w:rtl/>
              </w:rPr>
              <w:t>דוברות והסברה כלכלית</w:t>
            </w:r>
          </w:p>
        </w:tc>
        <w:tc>
          <w:tcPr>
            <w:tcW w:w="2596" w:type="dxa"/>
            <w:hideMark/>
          </w:tcPr>
          <w:p w:rsidR="000A679D" w:rsidRPr="00E90541" w:rsidRDefault="000A679D" w:rsidP="00692730">
            <w:pPr>
              <w:spacing w:after="0" w:line="276" w:lineRule="auto"/>
              <w:jc w:val="center"/>
              <w:rPr>
                <w:rFonts w:ascii="David" w:eastAsia="Times New Roman" w:hAnsi="David" w:cs="David"/>
                <w:sz w:val="24"/>
                <w:szCs w:val="24"/>
                <w:lang w:eastAsia="he-IL"/>
              </w:rPr>
            </w:pPr>
            <w:r w:rsidRPr="00E90541">
              <w:rPr>
                <w:rFonts w:ascii="David" w:eastAsia="Times New Roman" w:hAnsi="David" w:cs="David"/>
                <w:noProof/>
                <w:sz w:val="24"/>
                <w:szCs w:val="24"/>
              </w:rPr>
              <w:drawing>
                <wp:inline distT="0" distB="0" distL="0" distR="0" wp14:anchorId="0DE5B057" wp14:editId="3FAAA3CA">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0A679D" w:rsidRPr="00E90541" w:rsidRDefault="000A679D" w:rsidP="00692730">
            <w:pPr>
              <w:spacing w:after="0" w:line="480" w:lineRule="auto"/>
              <w:jc w:val="right"/>
              <w:rPr>
                <w:rFonts w:ascii="David" w:eastAsia="Times New Roman" w:hAnsi="David" w:cs="David"/>
                <w:sz w:val="24"/>
                <w:szCs w:val="24"/>
                <w:lang w:eastAsia="he-IL"/>
              </w:rPr>
            </w:pPr>
            <w:r w:rsidRPr="00E90541">
              <w:rPr>
                <w:rFonts w:ascii="David" w:eastAsia="Times New Roman" w:hAnsi="David" w:cs="David"/>
                <w:sz w:val="24"/>
                <w:szCs w:val="24"/>
                <w:rtl/>
                <w:lang w:eastAsia="he-IL"/>
              </w:rPr>
              <w:t>‏ירושלים,</w:t>
            </w:r>
            <w:r w:rsidRPr="00E90541">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כ"ג</w:t>
            </w:r>
            <w:r w:rsidRPr="00E90541">
              <w:rPr>
                <w:rFonts w:ascii="David" w:eastAsia="Times New Roman" w:hAnsi="David" w:cs="David"/>
                <w:sz w:val="24"/>
                <w:szCs w:val="24"/>
                <w:rtl/>
                <w:lang w:eastAsia="he-IL"/>
              </w:rPr>
              <w:t xml:space="preserve"> </w:t>
            </w:r>
            <w:r w:rsidRPr="00E90541">
              <w:rPr>
                <w:rFonts w:ascii="David" w:eastAsia="Times New Roman" w:hAnsi="David" w:cs="David" w:hint="cs"/>
                <w:sz w:val="24"/>
                <w:szCs w:val="24"/>
                <w:rtl/>
                <w:lang w:eastAsia="he-IL"/>
              </w:rPr>
              <w:t>ב</w:t>
            </w:r>
            <w:r w:rsidRPr="00E90541">
              <w:rPr>
                <w:rFonts w:ascii="David" w:eastAsia="Times New Roman" w:hAnsi="David" w:cs="David"/>
                <w:sz w:val="24"/>
                <w:szCs w:val="24"/>
                <w:rtl/>
                <w:lang w:eastAsia="he-IL"/>
              </w:rPr>
              <w:t>תשרי, תשפ"ג</w:t>
            </w:r>
          </w:p>
          <w:p w:rsidR="000A679D" w:rsidRPr="00E90541" w:rsidRDefault="000A679D" w:rsidP="00692730">
            <w:pPr>
              <w:spacing w:after="0" w:line="480" w:lineRule="auto"/>
              <w:jc w:val="right"/>
              <w:rPr>
                <w:rFonts w:ascii="David" w:eastAsia="Times New Roman" w:hAnsi="David" w:cs="David"/>
                <w:sz w:val="24"/>
                <w:szCs w:val="24"/>
                <w:lang w:eastAsia="he-IL"/>
              </w:rPr>
            </w:pPr>
            <w:r w:rsidRPr="00E90541">
              <w:rPr>
                <w:rFonts w:ascii="David" w:eastAsia="Times New Roman" w:hAnsi="David" w:cs="David"/>
                <w:sz w:val="24"/>
                <w:szCs w:val="24"/>
                <w:rtl/>
                <w:lang w:eastAsia="he-IL"/>
              </w:rPr>
              <w:t>‏‏</w:t>
            </w:r>
            <w:r>
              <w:rPr>
                <w:rFonts w:ascii="David" w:eastAsia="Times New Roman" w:hAnsi="David" w:cs="David" w:hint="cs"/>
                <w:sz w:val="24"/>
                <w:szCs w:val="24"/>
                <w:rtl/>
                <w:lang w:eastAsia="he-IL"/>
              </w:rPr>
              <w:t>18</w:t>
            </w:r>
            <w:r w:rsidRPr="00E90541">
              <w:rPr>
                <w:rFonts w:ascii="David" w:eastAsia="Times New Roman" w:hAnsi="David" w:cs="David"/>
                <w:sz w:val="24"/>
                <w:szCs w:val="24"/>
                <w:rtl/>
                <w:lang w:eastAsia="he-IL"/>
              </w:rPr>
              <w:t xml:space="preserve"> ב</w:t>
            </w:r>
            <w:r w:rsidRPr="00E90541">
              <w:rPr>
                <w:rFonts w:ascii="David" w:eastAsia="Times New Roman" w:hAnsi="David" w:cs="David" w:hint="cs"/>
                <w:sz w:val="24"/>
                <w:szCs w:val="24"/>
                <w:rtl/>
                <w:lang w:eastAsia="he-IL"/>
              </w:rPr>
              <w:t>אוקטוב</w:t>
            </w:r>
            <w:r w:rsidRPr="00E90541">
              <w:rPr>
                <w:rFonts w:ascii="David" w:eastAsia="Times New Roman" w:hAnsi="David" w:cs="David"/>
                <w:sz w:val="24"/>
                <w:szCs w:val="24"/>
                <w:rtl/>
                <w:lang w:eastAsia="he-IL"/>
              </w:rPr>
              <w:t>ר 2022</w:t>
            </w:r>
          </w:p>
        </w:tc>
      </w:tr>
    </w:tbl>
    <w:p w:rsidR="000A679D" w:rsidRDefault="000A679D" w:rsidP="000A679D">
      <w:pPr>
        <w:spacing w:line="360" w:lineRule="auto"/>
        <w:jc w:val="both"/>
        <w:rPr>
          <w:rFonts w:ascii="David" w:hAnsi="David" w:cs="David"/>
          <w:rtl/>
        </w:rPr>
      </w:pPr>
    </w:p>
    <w:p w:rsidR="000A679D" w:rsidRPr="00494B3B" w:rsidRDefault="000A679D" w:rsidP="00494B3B">
      <w:pPr>
        <w:spacing w:before="240" w:line="360" w:lineRule="auto"/>
        <w:ind w:right="-102"/>
        <w:rPr>
          <w:rFonts w:ascii="David" w:hAnsi="David" w:cs="David"/>
          <w:b/>
          <w:bCs/>
          <w:sz w:val="24"/>
          <w:szCs w:val="24"/>
        </w:rPr>
      </w:pPr>
      <w:r w:rsidRPr="00494B3B">
        <w:rPr>
          <w:rFonts w:ascii="David" w:hAnsi="David" w:cs="David"/>
          <w:sz w:val="24"/>
          <w:szCs w:val="24"/>
          <w:rtl/>
        </w:rPr>
        <w:t>הודעה לעיתונות:</w:t>
      </w:r>
    </w:p>
    <w:p w:rsidR="00494B3B" w:rsidRPr="00494B3B" w:rsidRDefault="00494B3B" w:rsidP="00494B3B">
      <w:pPr>
        <w:spacing w:line="360" w:lineRule="auto"/>
        <w:jc w:val="center"/>
        <w:rPr>
          <w:rFonts w:ascii="David" w:hAnsi="David" w:cs="David"/>
          <w:b/>
          <w:bCs/>
          <w:sz w:val="24"/>
          <w:szCs w:val="24"/>
          <w:rtl/>
        </w:rPr>
      </w:pPr>
      <w:r w:rsidRPr="00494B3B">
        <w:rPr>
          <w:rFonts w:ascii="David" w:hAnsi="David" w:cs="David"/>
          <w:b/>
          <w:bCs/>
          <w:sz w:val="24"/>
          <w:szCs w:val="24"/>
          <w:rtl/>
        </w:rPr>
        <w:t xml:space="preserve">עמדת בנק ישראל בעניין הפרדת חברת </w:t>
      </w:r>
      <w:proofErr w:type="spellStart"/>
      <w:r w:rsidRPr="00494B3B">
        <w:rPr>
          <w:rFonts w:ascii="David" w:hAnsi="David" w:cs="David"/>
          <w:b/>
          <w:bCs/>
          <w:sz w:val="24"/>
          <w:szCs w:val="24"/>
          <w:rtl/>
        </w:rPr>
        <w:t>כ.א.ל</w:t>
      </w:r>
      <w:proofErr w:type="spellEnd"/>
      <w:r w:rsidRPr="00494B3B">
        <w:rPr>
          <w:rFonts w:ascii="David" w:hAnsi="David" w:cs="David"/>
          <w:b/>
          <w:bCs/>
          <w:sz w:val="24"/>
          <w:szCs w:val="24"/>
          <w:rtl/>
        </w:rPr>
        <w:t xml:space="preserve"> מבנק דיסקונט</w:t>
      </w:r>
    </w:p>
    <w:p w:rsidR="00494B3B" w:rsidRPr="00494B3B" w:rsidRDefault="00494B3B" w:rsidP="00494B3B">
      <w:pPr>
        <w:spacing w:line="360" w:lineRule="auto"/>
        <w:rPr>
          <w:rFonts w:ascii="David" w:hAnsi="David" w:cs="David"/>
          <w:sz w:val="24"/>
          <w:szCs w:val="24"/>
          <w:rtl/>
        </w:rPr>
      </w:pPr>
      <w:r w:rsidRPr="00494B3B">
        <w:rPr>
          <w:rFonts w:ascii="David" w:hAnsi="David" w:cs="David"/>
          <w:sz w:val="24"/>
          <w:szCs w:val="24"/>
          <w:rtl/>
        </w:rPr>
        <w:t xml:space="preserve">ב- 10.06.21 הוקמה ועדת היגוי בבנק ישראל שמטרתה לבחון את סוגיית הפרדת כאל מדיסקונט ולהמליץ לנגיד בנוגע לעמדה של בנק ישראל בסוגיה. </w:t>
      </w:r>
    </w:p>
    <w:p w:rsidR="00494B3B" w:rsidRPr="00494B3B" w:rsidRDefault="00494B3B" w:rsidP="00494B3B">
      <w:pPr>
        <w:spacing w:line="360" w:lineRule="auto"/>
        <w:rPr>
          <w:rFonts w:ascii="David" w:hAnsi="David" w:cs="David"/>
          <w:sz w:val="24"/>
          <w:szCs w:val="24"/>
          <w:rtl/>
        </w:rPr>
      </w:pPr>
      <w:r w:rsidRPr="00494B3B">
        <w:rPr>
          <w:rFonts w:ascii="David" w:hAnsi="David" w:cs="David"/>
          <w:sz w:val="24"/>
          <w:szCs w:val="24"/>
          <w:rtl/>
        </w:rPr>
        <w:t xml:space="preserve">חברים בוועדת ההיגוי: הפרופ' מישל סטרבצ'ינסקי, מנהל חטיבת המחקר, המשמש גם כיו"ר משותף של הוועדה לבחינת התחרות בשוק האשראי; מר יאיר אבידן, המפקח על הבנקים; ומר עודד סלומי, מנהל מחלקת תשלומים וסליקה. </w:t>
      </w:r>
    </w:p>
    <w:p w:rsidR="00494B3B" w:rsidRPr="00494B3B" w:rsidRDefault="00494B3B" w:rsidP="00494B3B">
      <w:pPr>
        <w:spacing w:line="360" w:lineRule="auto"/>
        <w:rPr>
          <w:rFonts w:ascii="David" w:hAnsi="David" w:cs="David"/>
          <w:sz w:val="24"/>
          <w:szCs w:val="24"/>
          <w:rtl/>
        </w:rPr>
      </w:pPr>
      <w:r w:rsidRPr="00494B3B">
        <w:rPr>
          <w:rFonts w:ascii="David" w:hAnsi="David" w:cs="David"/>
          <w:sz w:val="24"/>
          <w:szCs w:val="24"/>
          <w:rtl/>
        </w:rPr>
        <w:t xml:space="preserve">ועדת ההיגוי בחנה את הסוגיה באמצעות צוות עבודה פנימי בבנק.  </w:t>
      </w:r>
    </w:p>
    <w:p w:rsidR="00494B3B" w:rsidRPr="00494B3B" w:rsidRDefault="00494B3B" w:rsidP="00494B3B">
      <w:pPr>
        <w:spacing w:line="360" w:lineRule="auto"/>
        <w:rPr>
          <w:rFonts w:ascii="David" w:hAnsi="David" w:cs="David"/>
          <w:sz w:val="24"/>
          <w:szCs w:val="24"/>
          <w:rtl/>
        </w:rPr>
      </w:pPr>
      <w:r w:rsidRPr="00494B3B">
        <w:rPr>
          <w:rFonts w:ascii="David" w:hAnsi="David" w:cs="David"/>
          <w:sz w:val="24"/>
          <w:szCs w:val="24"/>
          <w:rtl/>
        </w:rPr>
        <w:t xml:space="preserve">במסגרת העבודה נעשה, בין היתר, שימוש בבסיסי נתונים רבים ונרחבים, יושמו מתודולוגיות אקונומטריות שונות ועוד. </w:t>
      </w:r>
    </w:p>
    <w:p w:rsidR="00494B3B" w:rsidRPr="0079275F" w:rsidRDefault="00494B3B" w:rsidP="00494B3B">
      <w:pPr>
        <w:spacing w:line="360" w:lineRule="auto"/>
        <w:rPr>
          <w:rFonts w:ascii="David" w:hAnsi="David" w:cs="David"/>
          <w:b/>
          <w:bCs/>
          <w:sz w:val="24"/>
          <w:szCs w:val="24"/>
          <w:rtl/>
        </w:rPr>
      </w:pPr>
      <w:r w:rsidRPr="00494B3B">
        <w:rPr>
          <w:rFonts w:ascii="David" w:hAnsi="David" w:cs="David"/>
          <w:sz w:val="24"/>
          <w:szCs w:val="24"/>
          <w:rtl/>
        </w:rPr>
        <w:t xml:space="preserve">הניתוח העלה ממצאים רבים, חלקם תומכים בהפרדת כאל וחלקם פחות. לאחר שקלול כלל הממצאים, לרבות אלו הנוגעים לחלק מתוצאות ההפרדות שכבר בוצעו ולהשפעת קיומו של מגרש משחקים לא אחיד שעה ששתי חכ"אות כבר הופרדו, </w:t>
      </w:r>
      <w:bookmarkStart w:id="0" w:name="_GoBack"/>
      <w:r w:rsidRPr="0079275F">
        <w:rPr>
          <w:rFonts w:ascii="David" w:hAnsi="David" w:cs="David"/>
          <w:b/>
          <w:bCs/>
          <w:sz w:val="24"/>
          <w:szCs w:val="24"/>
          <w:rtl/>
        </w:rPr>
        <w:t>עמדת בנק ישראל הינה כי יש להשלים את הליך ההפרדה ולבטל את החרגת דיסקונט מהרפורמה (על ידי שינוי הסף בחוק לבנק בעל היקף פעילות רחב).</w:t>
      </w:r>
    </w:p>
    <w:bookmarkEnd w:id="0"/>
    <w:p w:rsidR="00BA26A8" w:rsidRPr="00494B3B" w:rsidRDefault="00494B3B" w:rsidP="00494B3B">
      <w:pPr>
        <w:spacing w:line="360" w:lineRule="auto"/>
        <w:rPr>
          <w:rFonts w:ascii="David" w:hAnsi="David" w:cs="David"/>
        </w:rPr>
      </w:pPr>
      <w:r w:rsidRPr="00494B3B">
        <w:rPr>
          <w:rFonts w:ascii="David" w:hAnsi="David" w:cs="David"/>
          <w:sz w:val="24"/>
          <w:szCs w:val="24"/>
          <w:rtl/>
        </w:rPr>
        <w:t>מצורף להודעה זו מכתבו המלא של פרופ׳ סטרבצ’ינסקי שנשלח לחברי</w:t>
      </w:r>
      <w:r w:rsidRPr="00494B3B">
        <w:rPr>
          <w:rFonts w:ascii="David" w:hAnsi="David" w:cs="David"/>
          <w:rtl/>
        </w:rPr>
        <w:t xml:space="preserve"> הוועדה בנושא זה.</w:t>
      </w:r>
    </w:p>
    <w:sectPr w:rsidR="00BA26A8" w:rsidRPr="00494B3B" w:rsidSect="00E553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5D" w:rsidRDefault="00E96D5D" w:rsidP="00892553">
      <w:pPr>
        <w:spacing w:after="0" w:line="240" w:lineRule="auto"/>
      </w:pPr>
      <w:r>
        <w:separator/>
      </w:r>
    </w:p>
  </w:endnote>
  <w:endnote w:type="continuationSeparator" w:id="0">
    <w:p w:rsidR="00E96D5D" w:rsidRDefault="00E96D5D" w:rsidP="0089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3" w:rsidRDefault="008925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3" w:rsidRDefault="008925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3" w:rsidRDefault="008925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5D" w:rsidRDefault="00E96D5D" w:rsidP="00892553">
      <w:pPr>
        <w:spacing w:after="0" w:line="240" w:lineRule="auto"/>
      </w:pPr>
      <w:r>
        <w:separator/>
      </w:r>
    </w:p>
  </w:footnote>
  <w:footnote w:type="continuationSeparator" w:id="0">
    <w:p w:rsidR="00E96D5D" w:rsidRDefault="00E96D5D" w:rsidP="0089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3" w:rsidRDefault="008925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3" w:rsidRDefault="008925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53" w:rsidRDefault="008925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BF"/>
    <w:rsid w:val="000A679D"/>
    <w:rsid w:val="000C7C73"/>
    <w:rsid w:val="00124B07"/>
    <w:rsid w:val="001314C5"/>
    <w:rsid w:val="0013425B"/>
    <w:rsid w:val="00154733"/>
    <w:rsid w:val="0018141F"/>
    <w:rsid w:val="001815FD"/>
    <w:rsid w:val="001F1F21"/>
    <w:rsid w:val="001F7D01"/>
    <w:rsid w:val="00245574"/>
    <w:rsid w:val="002B029F"/>
    <w:rsid w:val="002B3DEA"/>
    <w:rsid w:val="003148C4"/>
    <w:rsid w:val="003B0C32"/>
    <w:rsid w:val="00467AFD"/>
    <w:rsid w:val="00494B3B"/>
    <w:rsid w:val="004B2E27"/>
    <w:rsid w:val="004B578E"/>
    <w:rsid w:val="004B7E5F"/>
    <w:rsid w:val="004F2664"/>
    <w:rsid w:val="00537DE1"/>
    <w:rsid w:val="005813AC"/>
    <w:rsid w:val="005B5B0F"/>
    <w:rsid w:val="00615A4C"/>
    <w:rsid w:val="006B49EF"/>
    <w:rsid w:val="00762018"/>
    <w:rsid w:val="0079275F"/>
    <w:rsid w:val="0079570B"/>
    <w:rsid w:val="007A53CE"/>
    <w:rsid w:val="007B42D3"/>
    <w:rsid w:val="007E14C5"/>
    <w:rsid w:val="008330F4"/>
    <w:rsid w:val="008563F7"/>
    <w:rsid w:val="00860E1A"/>
    <w:rsid w:val="00887F9E"/>
    <w:rsid w:val="00892553"/>
    <w:rsid w:val="008C7D05"/>
    <w:rsid w:val="00934A8B"/>
    <w:rsid w:val="00A23D88"/>
    <w:rsid w:val="00A670F4"/>
    <w:rsid w:val="00A82C59"/>
    <w:rsid w:val="00A96B61"/>
    <w:rsid w:val="00AC6DA5"/>
    <w:rsid w:val="00AD0E4F"/>
    <w:rsid w:val="00B05410"/>
    <w:rsid w:val="00B32FE1"/>
    <w:rsid w:val="00B87A51"/>
    <w:rsid w:val="00B93525"/>
    <w:rsid w:val="00BA26A8"/>
    <w:rsid w:val="00C054E3"/>
    <w:rsid w:val="00C80FBF"/>
    <w:rsid w:val="00CD46B8"/>
    <w:rsid w:val="00CF2164"/>
    <w:rsid w:val="00CF28B5"/>
    <w:rsid w:val="00D15886"/>
    <w:rsid w:val="00D9268A"/>
    <w:rsid w:val="00E17705"/>
    <w:rsid w:val="00E271D6"/>
    <w:rsid w:val="00E4318C"/>
    <w:rsid w:val="00E55323"/>
    <w:rsid w:val="00E572B5"/>
    <w:rsid w:val="00E85E77"/>
    <w:rsid w:val="00E86F64"/>
    <w:rsid w:val="00E96D5D"/>
    <w:rsid w:val="00F00C6A"/>
    <w:rsid w:val="00F2052C"/>
    <w:rsid w:val="00F23F78"/>
    <w:rsid w:val="00F5534B"/>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53"/>
    <w:pPr>
      <w:tabs>
        <w:tab w:val="center" w:pos="4153"/>
        <w:tab w:val="right" w:pos="8306"/>
      </w:tabs>
      <w:spacing w:after="0" w:line="240" w:lineRule="auto"/>
    </w:pPr>
  </w:style>
  <w:style w:type="character" w:customStyle="1" w:styleId="a4">
    <w:name w:val="כותרת עליונה תו"/>
    <w:basedOn w:val="a0"/>
    <w:link w:val="a3"/>
    <w:uiPriority w:val="99"/>
    <w:rsid w:val="00892553"/>
  </w:style>
  <w:style w:type="paragraph" w:styleId="a5">
    <w:name w:val="footer"/>
    <w:basedOn w:val="a"/>
    <w:link w:val="a6"/>
    <w:uiPriority w:val="99"/>
    <w:unhideWhenUsed/>
    <w:rsid w:val="00892553"/>
    <w:pPr>
      <w:tabs>
        <w:tab w:val="center" w:pos="4153"/>
        <w:tab w:val="right" w:pos="8306"/>
      </w:tabs>
      <w:spacing w:after="0" w:line="240" w:lineRule="auto"/>
    </w:pPr>
  </w:style>
  <w:style w:type="character" w:customStyle="1" w:styleId="a6">
    <w:name w:val="כותרת תחתונה תו"/>
    <w:basedOn w:val="a0"/>
    <w:link w:val="a5"/>
    <w:uiPriority w:val="99"/>
    <w:rsid w:val="0089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7643E64-2C00-493C-9F8A-71D65AC8C52C}"/>
</file>

<file path=customXml/itemProps2.xml><?xml version="1.0" encoding="utf-8"?>
<ds:datastoreItem xmlns:ds="http://schemas.openxmlformats.org/officeDocument/2006/customXml" ds:itemID="{9BEA400B-BC76-4102-8C94-8595303574C1}"/>
</file>

<file path=customXml/itemProps3.xml><?xml version="1.0" encoding="utf-8"?>
<ds:datastoreItem xmlns:ds="http://schemas.openxmlformats.org/officeDocument/2006/customXml" ds:itemID="{8523E9EB-313D-4D2E-8744-602FF381F375}"/>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877</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2022-10-18T07:38:00Z</dcterms:created>
  <dcterms:modified xsi:type="dcterms:W3CDTF">2022-10-18T07:48:00Z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