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FF216F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FF216F" w:rsidRDefault="00BB4D0D" w:rsidP="00AE40EC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16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FF216F" w:rsidRDefault="00BB4D0D" w:rsidP="00AE40EC">
            <w:pPr>
              <w:bidi/>
              <w:spacing w:line="360" w:lineRule="auto"/>
              <w:ind w:right="-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FF216F" w:rsidRDefault="00BB4D0D" w:rsidP="00AE40EC">
            <w:pPr>
              <w:bidi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16F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DCA7FA0" wp14:editId="4C8EF936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FF216F" w:rsidRDefault="00BB4D0D" w:rsidP="00365E04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‏ירושלים, </w:t>
            </w:r>
            <w:proofErr w:type="spellStart"/>
            <w:r w:rsidR="00513779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יט</w:t>
            </w:r>
            <w:proofErr w:type="spellEnd"/>
            <w:r w:rsidR="00F55A2F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' </w:t>
            </w:r>
            <w:r w:rsidR="002F1784">
              <w:rPr>
                <w:rFonts w:asciiTheme="minorHAnsi" w:hAnsiTheme="minorHAnsi" w:cstheme="minorHAnsi" w:hint="cs"/>
                <w:sz w:val="24"/>
                <w:szCs w:val="24"/>
                <w:rtl/>
              </w:rPr>
              <w:t>ב</w:t>
            </w:r>
            <w:r w:rsidR="00365E04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אלול</w:t>
            </w:r>
            <w:r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, </w:t>
            </w:r>
            <w:proofErr w:type="spellStart"/>
            <w:r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התשפ"</w:t>
            </w:r>
            <w:r w:rsidR="00B761A8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ד</w:t>
            </w:r>
            <w:proofErr w:type="spellEnd"/>
          </w:p>
          <w:p w:rsidR="00BB4D0D" w:rsidRPr="00FF216F" w:rsidRDefault="00BB4D0D" w:rsidP="00365E04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‏‏</w:t>
            </w:r>
            <w:r w:rsidR="00A26840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2</w:t>
            </w:r>
            <w:r w:rsidR="00365E04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2</w:t>
            </w:r>
            <w:r w:rsidR="00F55A2F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ב</w:t>
            </w:r>
            <w:r w:rsidR="00365E04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ספטמבר</w:t>
            </w:r>
            <w:r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A26840" w:rsidRPr="00FF216F">
              <w:rPr>
                <w:rFonts w:asciiTheme="minorHAnsi" w:hAnsiTheme="minorHAnsi" w:cstheme="minorHAnsi"/>
                <w:sz w:val="24"/>
                <w:szCs w:val="24"/>
                <w:rtl/>
              </w:rPr>
              <w:t>2024</w:t>
            </w:r>
          </w:p>
        </w:tc>
      </w:tr>
    </w:tbl>
    <w:p w:rsidR="00BB4D0D" w:rsidRPr="00FF216F" w:rsidRDefault="00BB4D0D" w:rsidP="00BB4D0D">
      <w:pPr>
        <w:bidi/>
        <w:spacing w:before="240" w:line="360" w:lineRule="auto"/>
        <w:ind w:right="-102"/>
        <w:rPr>
          <w:rFonts w:asciiTheme="minorHAnsi" w:hAnsiTheme="minorHAnsi" w:cstheme="minorHAnsi"/>
          <w:sz w:val="24"/>
          <w:szCs w:val="24"/>
          <w:rtl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>הודעה לעיתונות:</w:t>
      </w:r>
    </w:p>
    <w:p w:rsidR="009E07BE" w:rsidRPr="00FF216F" w:rsidRDefault="009E07BE" w:rsidP="009E07BE">
      <w:pPr>
        <w:bidi/>
        <w:spacing w:line="360" w:lineRule="auto"/>
        <w:ind w:right="-101"/>
        <w:rPr>
          <w:rFonts w:asciiTheme="minorHAnsi" w:hAnsiTheme="minorHAnsi" w:cstheme="minorHAnsi"/>
          <w:sz w:val="24"/>
          <w:szCs w:val="24"/>
          <w:rtl/>
        </w:rPr>
      </w:pPr>
    </w:p>
    <w:p w:rsidR="00C9322A" w:rsidRPr="00FF216F" w:rsidRDefault="00C9322A" w:rsidP="00365E04">
      <w:pPr>
        <w:pStyle w:val="af4"/>
        <w:rPr>
          <w:rFonts w:asciiTheme="minorHAnsi" w:hAnsiTheme="minorHAnsi" w:cstheme="minorHAnsi"/>
          <w:rtl/>
        </w:rPr>
      </w:pPr>
      <w:r w:rsidRPr="00FF216F">
        <w:rPr>
          <w:rFonts w:asciiTheme="minorHAnsi" w:hAnsiTheme="minorHAnsi" w:cstheme="minorHAnsi"/>
          <w:rtl/>
        </w:rPr>
        <w:t xml:space="preserve">התפתחות החוב </w:t>
      </w:r>
      <w:r w:rsidR="00802DF3" w:rsidRPr="00FF216F">
        <w:rPr>
          <w:rFonts w:asciiTheme="minorHAnsi" w:hAnsiTheme="minorHAnsi" w:cstheme="minorHAnsi"/>
          <w:rtl/>
        </w:rPr>
        <w:t xml:space="preserve">של המגזר הפרטי </w:t>
      </w:r>
      <w:r w:rsidR="0077544B" w:rsidRPr="00FF216F">
        <w:rPr>
          <w:rFonts w:asciiTheme="minorHAnsi" w:hAnsiTheme="minorHAnsi" w:cstheme="minorHAnsi"/>
          <w:rtl/>
        </w:rPr>
        <w:t>הלא</w:t>
      </w:r>
      <w:r w:rsidR="00E44E3D" w:rsidRPr="00FF216F">
        <w:rPr>
          <w:rFonts w:asciiTheme="minorHAnsi" w:hAnsiTheme="minorHAnsi" w:cstheme="minorHAnsi"/>
          <w:rtl/>
        </w:rPr>
        <w:t>-</w:t>
      </w:r>
      <w:r w:rsidR="0077544B" w:rsidRPr="00FF216F">
        <w:rPr>
          <w:rFonts w:asciiTheme="minorHAnsi" w:hAnsiTheme="minorHAnsi" w:cstheme="minorHAnsi"/>
          <w:rtl/>
        </w:rPr>
        <w:t xml:space="preserve">פיננסי </w:t>
      </w:r>
      <w:r w:rsidR="00FC2095" w:rsidRPr="00FF216F">
        <w:rPr>
          <w:rFonts w:asciiTheme="minorHAnsi" w:hAnsiTheme="minorHAnsi" w:cstheme="minorHAnsi"/>
          <w:rtl/>
        </w:rPr>
        <w:t xml:space="preserve">ברביע </w:t>
      </w:r>
      <w:r w:rsidR="00CC0283" w:rsidRPr="00FF216F">
        <w:rPr>
          <w:rFonts w:asciiTheme="minorHAnsi" w:hAnsiTheme="minorHAnsi" w:cstheme="minorHAnsi"/>
          <w:rtl/>
        </w:rPr>
        <w:t>ה</w:t>
      </w:r>
      <w:r w:rsidR="00365E04" w:rsidRPr="00FF216F">
        <w:rPr>
          <w:rFonts w:asciiTheme="minorHAnsi" w:hAnsiTheme="minorHAnsi" w:cstheme="minorHAnsi"/>
          <w:rtl/>
        </w:rPr>
        <w:t>שני</w:t>
      </w:r>
      <w:r w:rsidR="003F728C" w:rsidRPr="00FF216F">
        <w:rPr>
          <w:rFonts w:asciiTheme="minorHAnsi" w:hAnsiTheme="minorHAnsi" w:cstheme="minorHAnsi"/>
          <w:rtl/>
        </w:rPr>
        <w:t xml:space="preserve"> </w:t>
      </w:r>
      <w:r w:rsidR="00802DF3" w:rsidRPr="00FF216F">
        <w:rPr>
          <w:rFonts w:asciiTheme="minorHAnsi" w:hAnsiTheme="minorHAnsi" w:cstheme="minorHAnsi"/>
          <w:rtl/>
        </w:rPr>
        <w:t>של</w:t>
      </w:r>
      <w:r w:rsidR="001C5C40" w:rsidRPr="00FF216F">
        <w:rPr>
          <w:rFonts w:asciiTheme="minorHAnsi" w:hAnsiTheme="minorHAnsi" w:cstheme="minorHAnsi"/>
          <w:rtl/>
        </w:rPr>
        <w:t xml:space="preserve"> </w:t>
      </w:r>
      <w:r w:rsidR="005361DC" w:rsidRPr="00FF216F">
        <w:rPr>
          <w:rFonts w:asciiTheme="minorHAnsi" w:hAnsiTheme="minorHAnsi" w:cstheme="minorHAnsi"/>
          <w:rtl/>
        </w:rPr>
        <w:t>2024</w:t>
      </w:r>
    </w:p>
    <w:p w:rsidR="00A92E0A" w:rsidRPr="00FF216F" w:rsidRDefault="00A92E0A" w:rsidP="001F0A9C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  <w:rtl/>
        </w:rPr>
      </w:pPr>
    </w:p>
    <w:p w:rsidR="00D05B15" w:rsidRPr="00FF216F" w:rsidRDefault="00D05B15" w:rsidP="00800ED0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>להלן תמצית ההתפתחויות בנתוני החוב של</w:t>
      </w:r>
      <w:r w:rsidR="005361DC" w:rsidRPr="00FF216F">
        <w:rPr>
          <w:rFonts w:asciiTheme="minorHAnsi" w:hAnsiTheme="minorHAnsi" w:cstheme="minorHAnsi"/>
          <w:sz w:val="24"/>
          <w:szCs w:val="24"/>
          <w:rtl/>
        </w:rPr>
        <w:t xml:space="preserve"> המגזר הפרטי הלא-פיננסי </w:t>
      </w:r>
      <w:r w:rsidR="00E44C3B" w:rsidRPr="00FF216F">
        <w:rPr>
          <w:rFonts w:asciiTheme="minorHAnsi" w:hAnsiTheme="minorHAnsi" w:cstheme="minorHAnsi"/>
          <w:sz w:val="24"/>
          <w:szCs w:val="24"/>
          <w:rtl/>
        </w:rPr>
        <w:t xml:space="preserve">ברביע </w:t>
      </w:r>
      <w:r w:rsidR="00800ED0" w:rsidRPr="00FF216F">
        <w:rPr>
          <w:rFonts w:asciiTheme="minorHAnsi" w:hAnsiTheme="minorHAnsi" w:cstheme="minorHAnsi"/>
          <w:sz w:val="24"/>
          <w:szCs w:val="24"/>
          <w:rtl/>
        </w:rPr>
        <w:t>השני</w:t>
      </w:r>
      <w:r w:rsidR="001D5779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sz w:val="24"/>
          <w:szCs w:val="24"/>
          <w:rtl/>
        </w:rPr>
        <w:t>של השנה:</w:t>
      </w:r>
    </w:p>
    <w:p w:rsidR="00052923" w:rsidRPr="00FF216F" w:rsidRDefault="00EA3D7F" w:rsidP="00880E20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>ברביע השני</w:t>
      </w:r>
      <w:r w:rsidR="00934D15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E6726" w:rsidRPr="00FF216F">
        <w:rPr>
          <w:rFonts w:asciiTheme="minorHAnsi" w:hAnsiTheme="minorHAnsi" w:cstheme="minorHAnsi"/>
          <w:sz w:val="24"/>
          <w:szCs w:val="24"/>
          <w:rtl/>
        </w:rPr>
        <w:t>של השנה</w:t>
      </w:r>
      <w:r w:rsidR="00CD4BDD" w:rsidRPr="00FF216F">
        <w:rPr>
          <w:rFonts w:asciiTheme="minorHAnsi" w:hAnsiTheme="minorHAnsi" w:cstheme="minorHAnsi"/>
          <w:sz w:val="24"/>
          <w:szCs w:val="24"/>
          <w:rtl/>
        </w:rPr>
        <w:t>,</w:t>
      </w:r>
      <w:r w:rsidR="006E6726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052923" w:rsidRPr="00FF216F">
        <w:rPr>
          <w:rFonts w:asciiTheme="minorHAnsi" w:hAnsiTheme="minorHAnsi" w:cstheme="minorHAnsi"/>
          <w:sz w:val="24"/>
          <w:szCs w:val="24"/>
          <w:rtl/>
        </w:rPr>
        <w:t xml:space="preserve">יתרת החוב של </w:t>
      </w:r>
      <w:r w:rsidR="00052923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המגזר הפרטי הלא-פיננסי</w:t>
      </w:r>
      <w:r w:rsidR="00052923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sz w:val="24"/>
          <w:szCs w:val="24"/>
          <w:rtl/>
        </w:rPr>
        <w:t>גדלה</w:t>
      </w:r>
      <w:r w:rsidR="00FB03E1" w:rsidRPr="00FF216F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6C7A06" w:rsidRPr="00FF216F">
        <w:rPr>
          <w:rFonts w:asciiTheme="minorHAnsi" w:hAnsiTheme="minorHAnsi" w:cstheme="minorHAnsi"/>
          <w:sz w:val="24"/>
          <w:szCs w:val="24"/>
          <w:rtl/>
        </w:rPr>
        <w:t xml:space="preserve">הן </w:t>
      </w:r>
      <w:r w:rsidR="006C7A06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בחוב העסקי</w:t>
      </w:r>
      <w:r w:rsidR="006C7A06" w:rsidRPr="00FF216F">
        <w:rPr>
          <w:rFonts w:asciiTheme="minorHAnsi" w:hAnsiTheme="minorHAnsi" w:cstheme="minorHAnsi"/>
          <w:sz w:val="24"/>
          <w:szCs w:val="24"/>
          <w:rtl/>
        </w:rPr>
        <w:t xml:space="preserve"> והן בחוב של </w:t>
      </w:r>
      <w:r w:rsidR="006C7A06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משקי הבית</w:t>
      </w:r>
      <w:r w:rsidR="006C7A06" w:rsidRPr="00FF216F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Pr="00FF216F">
        <w:rPr>
          <w:rFonts w:asciiTheme="minorHAnsi" w:hAnsiTheme="minorHAnsi" w:cstheme="minorHAnsi"/>
          <w:sz w:val="24"/>
          <w:szCs w:val="24"/>
          <w:rtl/>
        </w:rPr>
        <w:t>בשיעור מתון של כ-0.9%</w:t>
      </w:r>
      <w:r w:rsidR="006C7A06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sz w:val="24"/>
          <w:szCs w:val="24"/>
          <w:rtl/>
        </w:rPr>
        <w:t>ובכך נמשכה ההאטה ב</w:t>
      </w:r>
      <w:r w:rsidR="009211DC" w:rsidRPr="00FF216F">
        <w:rPr>
          <w:rFonts w:asciiTheme="minorHAnsi" w:hAnsiTheme="minorHAnsi" w:cstheme="minorHAnsi"/>
          <w:sz w:val="24"/>
          <w:szCs w:val="24"/>
          <w:rtl/>
        </w:rPr>
        <w:t>קצב</w:t>
      </w:r>
      <w:r w:rsidR="00FB03E1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2034FF" w:rsidRPr="00FF216F">
        <w:rPr>
          <w:rFonts w:asciiTheme="minorHAnsi" w:hAnsiTheme="minorHAnsi" w:cstheme="minorHAnsi"/>
          <w:sz w:val="24"/>
          <w:szCs w:val="24"/>
          <w:rtl/>
        </w:rPr>
        <w:t>ה</w:t>
      </w:r>
      <w:r w:rsidR="006C1D55" w:rsidRPr="00FF216F">
        <w:rPr>
          <w:rFonts w:asciiTheme="minorHAnsi" w:hAnsiTheme="minorHAnsi" w:cstheme="minorHAnsi"/>
          <w:sz w:val="24"/>
          <w:szCs w:val="24"/>
          <w:rtl/>
        </w:rPr>
        <w:t xml:space="preserve">גידול </w:t>
      </w:r>
      <w:r w:rsidR="00880E20" w:rsidRPr="00FF216F">
        <w:rPr>
          <w:rFonts w:asciiTheme="minorHAnsi" w:hAnsiTheme="minorHAnsi" w:cstheme="minorHAnsi"/>
          <w:sz w:val="24"/>
          <w:szCs w:val="24"/>
          <w:rtl/>
        </w:rPr>
        <w:t xml:space="preserve">השנתי </w:t>
      </w:r>
      <w:r w:rsidR="006C1D55" w:rsidRPr="00FF216F">
        <w:rPr>
          <w:rFonts w:asciiTheme="minorHAnsi" w:hAnsiTheme="minorHAnsi" w:cstheme="minorHAnsi"/>
          <w:sz w:val="24"/>
          <w:szCs w:val="24"/>
          <w:rtl/>
        </w:rPr>
        <w:t xml:space="preserve">של יתרת החוב </w:t>
      </w:r>
      <w:r w:rsidR="00780CEE" w:rsidRPr="00FF216F">
        <w:rPr>
          <w:rFonts w:asciiTheme="minorHAnsi" w:hAnsiTheme="minorHAnsi" w:cstheme="minorHAnsi"/>
          <w:sz w:val="24"/>
          <w:szCs w:val="24"/>
          <w:rtl/>
        </w:rPr>
        <w:t>שהחלה המחצית השנייה של שנת 2022.</w:t>
      </w:r>
      <w:r w:rsidR="00FB03E1" w:rsidRPr="00FF216F">
        <w:rPr>
          <w:rFonts w:asciiTheme="minorHAnsi" w:hAnsiTheme="minorHAnsi" w:cstheme="minorHAnsi"/>
          <w:sz w:val="24"/>
          <w:szCs w:val="24"/>
          <w:rtl/>
        </w:rPr>
        <w:t xml:space="preserve">  </w:t>
      </w:r>
    </w:p>
    <w:p w:rsidR="006B609F" w:rsidRPr="00FF216F" w:rsidRDefault="006C7A06" w:rsidP="00CD5378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יתרת 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החוב של המגזר העסקי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342DC4" w:rsidRPr="00FF216F">
        <w:rPr>
          <w:rFonts w:asciiTheme="minorHAnsi" w:hAnsiTheme="minorHAnsi" w:cstheme="minorHAnsi"/>
          <w:sz w:val="24"/>
          <w:szCs w:val="24"/>
          <w:rtl/>
        </w:rPr>
        <w:t xml:space="preserve">גדלה ברביע זה </w:t>
      </w:r>
      <w:r w:rsidRPr="00FF216F">
        <w:rPr>
          <w:rFonts w:asciiTheme="minorHAnsi" w:hAnsiTheme="minorHAnsi" w:cstheme="minorHAnsi"/>
          <w:sz w:val="24"/>
          <w:szCs w:val="24"/>
          <w:rtl/>
        </w:rPr>
        <w:t>בשיעור של כ-</w:t>
      </w:r>
      <w:r w:rsidR="00D87406" w:rsidRPr="00FF216F">
        <w:rPr>
          <w:rFonts w:asciiTheme="minorHAnsi" w:hAnsiTheme="minorHAnsi" w:cstheme="minorHAnsi"/>
          <w:sz w:val="24"/>
          <w:szCs w:val="24"/>
          <w:rtl/>
        </w:rPr>
        <w:t>0.5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% 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>(כ-</w:t>
      </w:r>
      <w:r w:rsidR="00880E20" w:rsidRPr="00FF216F">
        <w:rPr>
          <w:rFonts w:asciiTheme="minorHAnsi" w:hAnsiTheme="minorHAnsi" w:cstheme="minorHAnsi"/>
          <w:sz w:val="24"/>
          <w:szCs w:val="24"/>
          <w:rtl/>
        </w:rPr>
        <w:t>7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 מיליארדי ש"ח) 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לכ-1.3 טריליונים, </w:t>
      </w:r>
      <w:r w:rsidR="00052923" w:rsidRPr="00FF216F">
        <w:rPr>
          <w:rFonts w:asciiTheme="minorHAnsi" w:hAnsiTheme="minorHAnsi" w:cstheme="minorHAnsi"/>
          <w:sz w:val="24"/>
          <w:szCs w:val="24"/>
          <w:rtl/>
        </w:rPr>
        <w:t xml:space="preserve">בעיקר כתוצאה </w:t>
      </w:r>
      <w:r w:rsidR="00201C46" w:rsidRPr="00FF216F">
        <w:rPr>
          <w:rFonts w:asciiTheme="minorHAnsi" w:hAnsiTheme="minorHAnsi" w:cstheme="minorHAnsi"/>
          <w:sz w:val="24"/>
          <w:szCs w:val="24"/>
          <w:rtl/>
        </w:rPr>
        <w:t>מ</w:t>
      </w:r>
      <w:r w:rsidR="00D87406" w:rsidRPr="00FF216F">
        <w:rPr>
          <w:rFonts w:asciiTheme="minorHAnsi" w:hAnsiTheme="minorHAnsi" w:cstheme="minorHAnsi"/>
          <w:sz w:val="24"/>
          <w:szCs w:val="24"/>
          <w:rtl/>
        </w:rPr>
        <w:t>פיחות בשקל מול הדולר ועלייה במדד המחירים לצרכן</w:t>
      </w:r>
      <w:r w:rsidR="00CD5378" w:rsidRPr="00FF216F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9D7C8B" w:rsidRPr="00FF216F">
        <w:rPr>
          <w:rFonts w:asciiTheme="minorHAnsi" w:hAnsiTheme="minorHAnsi" w:cstheme="minorHAnsi"/>
          <w:sz w:val="24"/>
          <w:szCs w:val="24"/>
          <w:rtl/>
        </w:rPr>
        <w:t xml:space="preserve">לעלייה ביתרה תרמו גם </w:t>
      </w:r>
      <w:r w:rsidR="00D87406" w:rsidRPr="00FF216F">
        <w:rPr>
          <w:rFonts w:asciiTheme="minorHAnsi" w:hAnsiTheme="minorHAnsi" w:cstheme="minorHAnsi"/>
          <w:sz w:val="24"/>
          <w:szCs w:val="24"/>
          <w:rtl/>
        </w:rPr>
        <w:t xml:space="preserve">גיוסי חוב נטו </w:t>
      </w:r>
      <w:r w:rsidR="00CD5378" w:rsidRPr="00FF216F">
        <w:rPr>
          <w:rFonts w:asciiTheme="minorHAnsi" w:hAnsiTheme="minorHAnsi" w:cstheme="minorHAnsi"/>
          <w:sz w:val="24"/>
          <w:szCs w:val="24"/>
          <w:rtl/>
        </w:rPr>
        <w:t xml:space="preserve">בהיקף נמוך </w:t>
      </w:r>
      <w:r w:rsidR="00D87406" w:rsidRPr="00FF216F">
        <w:rPr>
          <w:rFonts w:asciiTheme="minorHAnsi" w:hAnsiTheme="minorHAnsi" w:cstheme="minorHAnsi"/>
          <w:sz w:val="24"/>
          <w:szCs w:val="24"/>
          <w:rtl/>
        </w:rPr>
        <w:t>באפיק ההלוואות הבנקאיות, בעיקר למגזר העסקים הגדולים, וב</w:t>
      </w:r>
      <w:r w:rsidR="009D7C8B" w:rsidRPr="00FF216F">
        <w:rPr>
          <w:rFonts w:asciiTheme="minorHAnsi" w:hAnsiTheme="minorHAnsi" w:cstheme="minorHAnsi"/>
          <w:sz w:val="24"/>
          <w:szCs w:val="24"/>
          <w:rtl/>
        </w:rPr>
        <w:t>אפיק ה</w:t>
      </w:r>
      <w:r w:rsidR="00D87406" w:rsidRPr="00FF216F">
        <w:rPr>
          <w:rFonts w:asciiTheme="minorHAnsi" w:hAnsiTheme="minorHAnsi" w:cstheme="minorHAnsi"/>
          <w:sz w:val="24"/>
          <w:szCs w:val="24"/>
          <w:rtl/>
        </w:rPr>
        <w:t xml:space="preserve">הלוואות הישירות מהגופים </w:t>
      </w:r>
      <w:r w:rsidR="009D7C8B" w:rsidRPr="00FF216F">
        <w:rPr>
          <w:rFonts w:asciiTheme="minorHAnsi" w:hAnsiTheme="minorHAnsi" w:cstheme="minorHAnsi"/>
          <w:sz w:val="24"/>
          <w:szCs w:val="24"/>
          <w:rtl/>
        </w:rPr>
        <w:t xml:space="preserve">המוסדיים; </w:t>
      </w:r>
      <w:r w:rsidR="00482D72" w:rsidRPr="00FF216F">
        <w:rPr>
          <w:rFonts w:asciiTheme="minorHAnsi" w:hAnsiTheme="minorHAnsi" w:cstheme="minorHAnsi"/>
          <w:sz w:val="24"/>
          <w:szCs w:val="24"/>
          <w:rtl/>
        </w:rPr>
        <w:t xml:space="preserve">השפעות אלו קוזזו בחלקן מפירעונות נטו באפיק </w:t>
      </w:r>
      <w:proofErr w:type="spellStart"/>
      <w:r w:rsidR="00482D72" w:rsidRPr="00FF216F">
        <w:rPr>
          <w:rFonts w:asciiTheme="minorHAnsi" w:hAnsiTheme="minorHAnsi" w:cstheme="minorHAnsi"/>
          <w:sz w:val="24"/>
          <w:szCs w:val="24"/>
          <w:rtl/>
        </w:rPr>
        <w:t>האג"ח</w:t>
      </w:r>
      <w:proofErr w:type="spellEnd"/>
      <w:r w:rsidR="00482D72" w:rsidRPr="00FF216F">
        <w:rPr>
          <w:rFonts w:asciiTheme="minorHAnsi" w:hAnsiTheme="minorHAnsi" w:cstheme="minorHAnsi"/>
          <w:sz w:val="24"/>
          <w:szCs w:val="24"/>
          <w:rtl/>
        </w:rPr>
        <w:t xml:space="preserve"> הסחירות בארץ ובחוב שגויס בחו"ל. </w:t>
      </w:r>
    </w:p>
    <w:p w:rsidR="00482D72" w:rsidRPr="00FF216F" w:rsidRDefault="00482D72" w:rsidP="00CD5378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הנפקות אג"ח של 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המגזר העסקי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491392" w:rsidRPr="00FF216F">
        <w:rPr>
          <w:rFonts w:asciiTheme="minorHAnsi" w:hAnsiTheme="minorHAnsi" w:cstheme="minorHAnsi"/>
          <w:sz w:val="24"/>
          <w:szCs w:val="24"/>
          <w:rtl/>
        </w:rPr>
        <w:t xml:space="preserve">בארץ </w:t>
      </w:r>
      <w:r w:rsidRPr="00FF216F">
        <w:rPr>
          <w:rFonts w:asciiTheme="minorHAnsi" w:hAnsiTheme="minorHAnsi" w:cstheme="minorHAnsi"/>
          <w:sz w:val="24"/>
          <w:szCs w:val="24"/>
          <w:rtl/>
        </w:rPr>
        <w:t>הסתכמו ברביע זה בשווי של כ-9 מיליארדי ש"ח, נמוך משמעותית מממוצע הגיוסים הרבעוני של ארבעת הרביעים הקודמים</w:t>
      </w:r>
      <w:r w:rsidR="00CD5378" w:rsidRPr="00FF216F">
        <w:rPr>
          <w:rFonts w:asciiTheme="minorHAnsi" w:hAnsiTheme="minorHAnsi" w:cstheme="minorHAnsi"/>
          <w:sz w:val="24"/>
          <w:szCs w:val="24"/>
          <w:rtl/>
        </w:rPr>
        <w:t xml:space="preserve">; </w:t>
      </w:r>
      <w:r w:rsidRPr="00FF216F">
        <w:rPr>
          <w:rFonts w:asciiTheme="minorHAnsi" w:hAnsiTheme="minorHAnsi" w:cstheme="minorHAnsi"/>
          <w:sz w:val="24"/>
          <w:szCs w:val="24"/>
          <w:rtl/>
        </w:rPr>
        <w:t>כשני שליש מהן בוצעו על ידי חברות מענף הנדל"ן והבינוי, ענף שממשיך להוביל בגיוסים בדומה לשנים הקודמות.</w:t>
      </w:r>
    </w:p>
    <w:p w:rsidR="00342DC4" w:rsidRPr="00FF216F" w:rsidRDefault="00491392" w:rsidP="005E03D1">
      <w:pPr>
        <w:pStyle w:val="a9"/>
        <w:numPr>
          <w:ilvl w:val="0"/>
          <w:numId w:val="20"/>
        </w:numPr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גם 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יתרת החוב </w:t>
      </w:r>
      <w:r w:rsidR="00C5492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של משקי הבית 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המשיכה </w:t>
      </w:r>
      <w:r w:rsidR="005E03D1" w:rsidRPr="00FF216F">
        <w:rPr>
          <w:rFonts w:asciiTheme="minorHAnsi" w:hAnsiTheme="minorHAnsi" w:cstheme="minorHAnsi"/>
          <w:sz w:val="24"/>
          <w:szCs w:val="24"/>
          <w:rtl/>
        </w:rPr>
        <w:t xml:space="preserve">לגדול 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ברביע זה </w:t>
      </w:r>
      <w:r w:rsidR="005E03D1" w:rsidRPr="00FF216F">
        <w:rPr>
          <w:rFonts w:asciiTheme="minorHAnsi" w:hAnsiTheme="minorHAnsi" w:cstheme="minorHAnsi"/>
          <w:sz w:val="24"/>
          <w:szCs w:val="24"/>
          <w:rtl/>
        </w:rPr>
        <w:t xml:space="preserve">לכ-812 מיליארדי ש"ח </w:t>
      </w:r>
      <w:r w:rsidR="00342DC4" w:rsidRPr="00FF216F">
        <w:rPr>
          <w:rFonts w:asciiTheme="minorHAnsi" w:hAnsiTheme="minorHAnsi" w:cstheme="minorHAnsi"/>
          <w:sz w:val="24"/>
          <w:szCs w:val="24"/>
          <w:rtl/>
        </w:rPr>
        <w:t xml:space="preserve">בעיקר 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כתוצאה מעלייה </w:t>
      </w:r>
      <w:r w:rsidR="00C5492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ביתרת החוב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5492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לדיור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sz w:val="24"/>
          <w:szCs w:val="24"/>
          <w:rtl/>
        </w:rPr>
        <w:t>(כ-10</w:t>
      </w:r>
      <w:r w:rsidR="005E03D1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sz w:val="24"/>
          <w:szCs w:val="24"/>
          <w:rtl/>
        </w:rPr>
        <w:t>מיליארדי</w:t>
      </w:r>
      <w:r w:rsidR="005E03D1" w:rsidRPr="00FF216F">
        <w:rPr>
          <w:rFonts w:asciiTheme="minorHAnsi" w:hAnsiTheme="minorHAnsi" w:cstheme="minorHAnsi"/>
          <w:sz w:val="24"/>
          <w:szCs w:val="24"/>
          <w:rtl/>
        </w:rPr>
        <w:t>ם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, 2%) 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>שמקורה בה</w:t>
      </w:r>
      <w:r w:rsidR="00342DC4" w:rsidRPr="00FF216F">
        <w:rPr>
          <w:rFonts w:asciiTheme="minorHAnsi" w:hAnsiTheme="minorHAnsi" w:cstheme="minorHAnsi"/>
          <w:sz w:val="24"/>
          <w:szCs w:val="24"/>
          <w:rtl/>
        </w:rPr>
        <w:t xml:space="preserve">תאוששות 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>בנטילת משכנתאות חדשות מהבנקים</w:t>
      </w:r>
      <w:r w:rsidR="003A0061" w:rsidRPr="00FF216F">
        <w:rPr>
          <w:rFonts w:asciiTheme="minorHAnsi" w:hAnsiTheme="minorHAnsi" w:cstheme="minorHAnsi"/>
          <w:sz w:val="24"/>
          <w:szCs w:val="24"/>
          <w:rtl/>
        </w:rPr>
        <w:t>;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5492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יתרת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5492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החוב לא-לדיור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5E03D1" w:rsidRPr="00FF216F">
        <w:rPr>
          <w:rFonts w:asciiTheme="minorHAnsi" w:hAnsiTheme="minorHAnsi" w:cstheme="minorHAnsi"/>
          <w:sz w:val="24"/>
          <w:szCs w:val="24"/>
          <w:rtl/>
        </w:rPr>
        <w:t>גדלה אף היא (כ-2 מיליארדי ש"ח, 0.7%) כאשר הגידול בה התרכז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5927B2" w:rsidRPr="00FF216F">
        <w:rPr>
          <w:rFonts w:asciiTheme="minorHAnsi" w:hAnsiTheme="minorHAnsi" w:cstheme="minorHAnsi"/>
          <w:sz w:val="24"/>
          <w:szCs w:val="24"/>
          <w:rtl/>
        </w:rPr>
        <w:t>ביתרת ה</w:t>
      </w:r>
      <w:r w:rsidR="00C54924" w:rsidRPr="00FF216F">
        <w:rPr>
          <w:rFonts w:asciiTheme="minorHAnsi" w:hAnsiTheme="minorHAnsi" w:cstheme="minorHAnsi"/>
          <w:sz w:val="24"/>
          <w:szCs w:val="24"/>
          <w:rtl/>
        </w:rPr>
        <w:t xml:space="preserve">חוב לבנקים. </w:t>
      </w:r>
    </w:p>
    <w:p w:rsidR="003A2FA2" w:rsidRPr="00FF216F" w:rsidRDefault="003A2FA2" w:rsidP="00C54924">
      <w:pPr>
        <w:bidi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rtl/>
        </w:rPr>
      </w:pPr>
    </w:p>
    <w:p w:rsidR="00FF4A03" w:rsidRPr="00FF216F" w:rsidRDefault="00FF4A03" w:rsidP="00FF4A03">
      <w:pPr>
        <w:pStyle w:val="a9"/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</w:p>
    <w:p w:rsidR="009F574F" w:rsidRPr="00FF216F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F216F">
        <w:rPr>
          <w:rStyle w:val="10"/>
          <w:rFonts w:asciiTheme="minorHAnsi" w:hAnsiTheme="minorHAnsi" w:cstheme="minorHAnsi"/>
          <w:rtl/>
        </w:rPr>
        <w:t>החוב של המגזר העסקי</w:t>
      </w:r>
      <w:r w:rsidR="001E78A9" w:rsidRPr="00FF216F">
        <w:rPr>
          <w:rStyle w:val="10"/>
          <w:rFonts w:asciiTheme="minorHAnsi" w:hAnsiTheme="minorHAnsi" w:cstheme="minorHAnsi"/>
          <w:rtl/>
        </w:rPr>
        <w:t xml:space="preserve"> הלא-פיננסי</w:t>
      </w:r>
      <w:r w:rsidR="00474B96" w:rsidRPr="00FF216F">
        <w:rPr>
          <w:rStyle w:val="af1"/>
          <w:rFonts w:asciiTheme="minorHAnsi" w:hAnsiTheme="minorHAnsi" w:cstheme="minorHAnsi"/>
          <w:b/>
          <w:bCs/>
          <w:sz w:val="24"/>
          <w:szCs w:val="24"/>
          <w:rtl/>
        </w:rPr>
        <w:footnoteReference w:id="1"/>
      </w:r>
      <w:r w:rsidR="0028327B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</w:p>
    <w:p w:rsidR="009D64F7" w:rsidRPr="00FF216F" w:rsidRDefault="009D64F7" w:rsidP="009D64F7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מהחטיבה למידע ולסטטיסטיקה נמסר, כי ברביע השני של שנת 2024 נמשכה ההאטה ביתרת 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החוב של המגזר העסקי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שהחלה במחצית השנייה של 2022, והיא גדלה ברביע זה </w:t>
      </w:r>
      <w:r w:rsidRPr="00FF216F">
        <w:rPr>
          <w:rFonts w:asciiTheme="minorHAnsi" w:hAnsiTheme="minorHAnsi" w:cstheme="minorHAnsi"/>
          <w:sz w:val="24"/>
          <w:szCs w:val="24"/>
          <w:rtl/>
        </w:rPr>
        <w:lastRenderedPageBreak/>
        <w:t xml:space="preserve">בהיקף של כ-7 מיליארדי ש"ח (0.5%), נמוך משמעותית מזה שנרשם ברביע הקודם, לרמה של כ-1.3 טריליונים. </w:t>
      </w:r>
    </w:p>
    <w:p w:rsidR="00B76018" w:rsidRPr="00FF216F" w:rsidRDefault="007E3BC5" w:rsidP="006635BB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>ה</w:t>
      </w:r>
      <w:r w:rsidR="00B76018" w:rsidRPr="00FF216F">
        <w:rPr>
          <w:rFonts w:asciiTheme="minorHAnsi" w:hAnsiTheme="minorHAnsi" w:cstheme="minorHAnsi"/>
          <w:sz w:val="24"/>
          <w:szCs w:val="24"/>
          <w:rtl/>
        </w:rPr>
        <w:t xml:space="preserve">עלייה </w:t>
      </w:r>
      <w:r w:rsidR="00E21C13" w:rsidRPr="00FF216F">
        <w:rPr>
          <w:rFonts w:asciiTheme="minorHAnsi" w:hAnsiTheme="minorHAnsi" w:cstheme="minorHAnsi"/>
          <w:sz w:val="24"/>
          <w:szCs w:val="24"/>
          <w:rtl/>
        </w:rPr>
        <w:t xml:space="preserve">ביתרת החוב </w:t>
      </w:r>
      <w:r w:rsidR="00B44740" w:rsidRPr="00FF216F">
        <w:rPr>
          <w:rFonts w:asciiTheme="minorHAnsi" w:hAnsiTheme="minorHAnsi" w:cstheme="minorHAnsi"/>
          <w:sz w:val="24"/>
          <w:szCs w:val="24"/>
          <w:rtl/>
        </w:rPr>
        <w:t xml:space="preserve">ברביע זה </w:t>
      </w:r>
      <w:r w:rsidR="00E21C13" w:rsidRPr="00FF216F">
        <w:rPr>
          <w:rFonts w:asciiTheme="minorHAnsi" w:hAnsiTheme="minorHAnsi" w:cstheme="minorHAnsi"/>
          <w:sz w:val="24"/>
          <w:szCs w:val="24"/>
          <w:rtl/>
        </w:rPr>
        <w:t xml:space="preserve">נבעה </w:t>
      </w:r>
      <w:r w:rsidR="00F66EB5" w:rsidRPr="00FF216F">
        <w:rPr>
          <w:rFonts w:asciiTheme="minorHAnsi" w:hAnsiTheme="minorHAnsi" w:cstheme="minorHAnsi"/>
          <w:sz w:val="24"/>
          <w:szCs w:val="24"/>
          <w:rtl/>
        </w:rPr>
        <w:t xml:space="preserve">ברובה </w:t>
      </w:r>
      <w:r w:rsidR="00BB1C9E" w:rsidRPr="00FF216F">
        <w:rPr>
          <w:rFonts w:asciiTheme="minorHAnsi" w:hAnsiTheme="minorHAnsi" w:cstheme="minorHAnsi"/>
          <w:sz w:val="24"/>
          <w:szCs w:val="24"/>
          <w:rtl/>
        </w:rPr>
        <w:t>מפיחות של כ-2.1% בשקל מול הדולר ועלייה של כ-1.6% במדד המחירים לצרכן</w:t>
      </w:r>
      <w:r w:rsidR="00BB1C9E" w:rsidRPr="00FF216F">
        <w:rPr>
          <w:rStyle w:val="af1"/>
          <w:rFonts w:asciiTheme="minorHAnsi" w:hAnsiTheme="minorHAnsi" w:cstheme="minorHAnsi"/>
          <w:rtl/>
        </w:rPr>
        <w:footnoteReference w:id="2"/>
      </w:r>
      <w:r w:rsidR="00BB1C9E" w:rsidRPr="00FF216F">
        <w:rPr>
          <w:rFonts w:asciiTheme="minorHAnsi" w:hAnsiTheme="minorHAnsi" w:cstheme="minorHAnsi"/>
          <w:sz w:val="24"/>
          <w:szCs w:val="24"/>
          <w:rtl/>
        </w:rPr>
        <w:t xml:space="preserve"> שהגדילו את השווי של החוב הנקוב מט"ח, הצמוד לו והצמוד-מדד</w:t>
      </w:r>
      <w:r w:rsidR="0092302A" w:rsidRPr="00FF216F">
        <w:rPr>
          <w:rFonts w:asciiTheme="minorHAnsi" w:hAnsiTheme="minorHAnsi" w:cstheme="minorHAnsi"/>
          <w:sz w:val="24"/>
          <w:szCs w:val="24"/>
          <w:rtl/>
        </w:rPr>
        <w:t>.</w:t>
      </w:r>
      <w:r w:rsidR="00BB1C9E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F66EB5" w:rsidRPr="00FF216F">
        <w:rPr>
          <w:rFonts w:asciiTheme="minorHAnsi" w:hAnsiTheme="minorHAnsi" w:cstheme="minorHAnsi"/>
          <w:sz w:val="24"/>
          <w:szCs w:val="24"/>
          <w:rtl/>
        </w:rPr>
        <w:t xml:space="preserve">תרמו לעלייה ביתרה </w:t>
      </w:r>
      <w:r w:rsidR="00B76018" w:rsidRPr="00FF216F">
        <w:rPr>
          <w:rFonts w:asciiTheme="minorHAnsi" w:hAnsiTheme="minorHAnsi" w:cstheme="minorHAnsi"/>
          <w:sz w:val="24"/>
          <w:szCs w:val="24"/>
          <w:rtl/>
        </w:rPr>
        <w:t xml:space="preserve">גיוסי חוב נטו </w:t>
      </w:r>
      <w:r w:rsidR="00CD5378" w:rsidRPr="00FF216F">
        <w:rPr>
          <w:rFonts w:asciiTheme="minorHAnsi" w:hAnsiTheme="minorHAnsi" w:cstheme="minorHAnsi"/>
          <w:sz w:val="24"/>
          <w:szCs w:val="24"/>
          <w:rtl/>
        </w:rPr>
        <w:t xml:space="preserve">בהיקף נמוך </w:t>
      </w:r>
      <w:r w:rsidR="00720EA1" w:rsidRPr="00FF216F">
        <w:rPr>
          <w:rFonts w:asciiTheme="minorHAnsi" w:hAnsiTheme="minorHAnsi" w:cstheme="minorHAnsi"/>
          <w:sz w:val="24"/>
          <w:szCs w:val="24"/>
          <w:rtl/>
        </w:rPr>
        <w:t>באפיק ההלוואות הבנקאיות</w:t>
      </w:r>
      <w:r w:rsidR="00BB6561" w:rsidRPr="00FF216F">
        <w:rPr>
          <w:rFonts w:asciiTheme="minorHAnsi" w:hAnsiTheme="minorHAnsi" w:cstheme="minorHAnsi"/>
          <w:sz w:val="24"/>
          <w:szCs w:val="24"/>
          <w:rtl/>
        </w:rPr>
        <w:t>, בעיקר למגזר העסקים הגדולים,</w:t>
      </w:r>
      <w:r w:rsidR="00ED128A" w:rsidRPr="00FF216F">
        <w:rPr>
          <w:rFonts w:asciiTheme="minorHAnsi" w:hAnsiTheme="minorHAnsi" w:cstheme="minorHAnsi"/>
          <w:sz w:val="24"/>
          <w:szCs w:val="24"/>
          <w:rtl/>
        </w:rPr>
        <w:t xml:space="preserve"> ו</w:t>
      </w:r>
      <w:r w:rsidR="00F66EB5" w:rsidRPr="00FF216F">
        <w:rPr>
          <w:rFonts w:asciiTheme="minorHAnsi" w:hAnsiTheme="minorHAnsi" w:cstheme="minorHAnsi"/>
          <w:sz w:val="24"/>
          <w:szCs w:val="24"/>
          <w:rtl/>
        </w:rPr>
        <w:t>ב</w:t>
      </w:r>
      <w:r w:rsidR="00ED128A" w:rsidRPr="00FF216F">
        <w:rPr>
          <w:rFonts w:asciiTheme="minorHAnsi" w:hAnsiTheme="minorHAnsi" w:cstheme="minorHAnsi"/>
          <w:sz w:val="24"/>
          <w:szCs w:val="24"/>
          <w:rtl/>
        </w:rPr>
        <w:t xml:space="preserve">הלוואות הישירות מהגופים המוסדיים; </w:t>
      </w:r>
      <w:r w:rsidR="009D7C8B" w:rsidRPr="00FF216F">
        <w:rPr>
          <w:rFonts w:asciiTheme="minorHAnsi" w:hAnsiTheme="minorHAnsi" w:cstheme="minorHAnsi"/>
          <w:sz w:val="24"/>
          <w:szCs w:val="24"/>
          <w:rtl/>
        </w:rPr>
        <w:t>השפעות</w:t>
      </w:r>
      <w:r w:rsidR="00ED128A" w:rsidRPr="00FF216F">
        <w:rPr>
          <w:rFonts w:asciiTheme="minorHAnsi" w:hAnsiTheme="minorHAnsi" w:cstheme="minorHAnsi"/>
          <w:sz w:val="24"/>
          <w:szCs w:val="24"/>
          <w:rtl/>
        </w:rPr>
        <w:t xml:space="preserve"> אלו קוזזו בחלקן מפירעונות נטו</w:t>
      </w:r>
      <w:r w:rsidR="00B76018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D128A" w:rsidRPr="00FF216F">
        <w:rPr>
          <w:rFonts w:asciiTheme="minorHAnsi" w:hAnsiTheme="minorHAnsi" w:cstheme="minorHAnsi"/>
          <w:sz w:val="24"/>
          <w:szCs w:val="24"/>
          <w:rtl/>
        </w:rPr>
        <w:t xml:space="preserve">באפיק </w:t>
      </w:r>
      <w:proofErr w:type="spellStart"/>
      <w:r w:rsidR="00ED128A" w:rsidRPr="00FF216F">
        <w:rPr>
          <w:rFonts w:asciiTheme="minorHAnsi" w:hAnsiTheme="minorHAnsi" w:cstheme="minorHAnsi"/>
          <w:sz w:val="24"/>
          <w:szCs w:val="24"/>
          <w:rtl/>
        </w:rPr>
        <w:t>האג"</w:t>
      </w:r>
      <w:r w:rsidR="00BB6561" w:rsidRPr="00FF216F">
        <w:rPr>
          <w:rFonts w:asciiTheme="minorHAnsi" w:hAnsiTheme="minorHAnsi" w:cstheme="minorHAnsi"/>
          <w:sz w:val="24"/>
          <w:szCs w:val="24"/>
          <w:rtl/>
        </w:rPr>
        <w:t>ח</w:t>
      </w:r>
      <w:proofErr w:type="spellEnd"/>
      <w:r w:rsidR="00BB6561" w:rsidRPr="00FF216F">
        <w:rPr>
          <w:rFonts w:asciiTheme="minorHAnsi" w:hAnsiTheme="minorHAnsi" w:cstheme="minorHAnsi"/>
          <w:sz w:val="24"/>
          <w:szCs w:val="24"/>
          <w:rtl/>
        </w:rPr>
        <w:t xml:space="preserve"> הסחירות בארץ ו</w:t>
      </w:r>
      <w:r w:rsidR="00ED128A" w:rsidRPr="00FF216F">
        <w:rPr>
          <w:rFonts w:asciiTheme="minorHAnsi" w:hAnsiTheme="minorHAnsi" w:cstheme="minorHAnsi"/>
          <w:sz w:val="24"/>
          <w:szCs w:val="24"/>
          <w:rtl/>
        </w:rPr>
        <w:t>ב</w:t>
      </w:r>
      <w:r w:rsidR="009D7C8B" w:rsidRPr="00FF216F">
        <w:rPr>
          <w:rFonts w:asciiTheme="minorHAnsi" w:hAnsiTheme="minorHAnsi" w:cstheme="minorHAnsi"/>
          <w:sz w:val="24"/>
          <w:szCs w:val="24"/>
          <w:rtl/>
        </w:rPr>
        <w:t>חוב שגויס בחו"ל (אג"ח והלוואות)</w:t>
      </w:r>
      <w:r w:rsidR="006635BB" w:rsidRPr="00FF216F">
        <w:rPr>
          <w:rFonts w:asciiTheme="minorHAnsi" w:hAnsiTheme="minorHAnsi" w:cstheme="minorHAnsi"/>
          <w:sz w:val="24"/>
          <w:szCs w:val="24"/>
          <w:rtl/>
        </w:rPr>
        <w:t>.</w:t>
      </w:r>
      <w:r w:rsidR="00ED128A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B76018" w:rsidRPr="00FF216F">
        <w:rPr>
          <w:rFonts w:asciiTheme="minorHAnsi" w:hAnsiTheme="minorHAnsi" w:cstheme="minorHAnsi"/>
          <w:sz w:val="24"/>
          <w:szCs w:val="24"/>
          <w:rtl/>
        </w:rPr>
        <w:t>(איור</w:t>
      </w:r>
      <w:r w:rsidR="00596E1D" w:rsidRPr="00FF216F">
        <w:rPr>
          <w:rFonts w:asciiTheme="minorHAnsi" w:hAnsiTheme="minorHAnsi" w:cstheme="minorHAnsi"/>
          <w:sz w:val="24"/>
          <w:szCs w:val="24"/>
          <w:rtl/>
        </w:rPr>
        <w:t xml:space="preserve"> 1</w:t>
      </w:r>
      <w:r w:rsidR="00B76018" w:rsidRPr="00FF216F">
        <w:rPr>
          <w:rFonts w:asciiTheme="minorHAnsi" w:hAnsiTheme="minorHAnsi" w:cstheme="minorHAnsi"/>
          <w:sz w:val="24"/>
          <w:szCs w:val="24"/>
          <w:rtl/>
        </w:rPr>
        <w:t>).</w:t>
      </w:r>
    </w:p>
    <w:p w:rsidR="00457394" w:rsidRPr="00FF216F" w:rsidRDefault="00DD77B1" w:rsidP="00F66EB5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שיעור הגידול השנתי של יתרת החוב </w:t>
      </w:r>
      <w:r w:rsidR="00813293" w:rsidRPr="00FF216F">
        <w:rPr>
          <w:rFonts w:asciiTheme="minorHAnsi" w:hAnsiTheme="minorHAnsi" w:cstheme="minorHAnsi"/>
          <w:sz w:val="24"/>
          <w:szCs w:val="24"/>
          <w:rtl/>
        </w:rPr>
        <w:t xml:space="preserve">למלווים החוץ-בנקאים </w:t>
      </w:r>
      <w:r w:rsidR="00FC6105" w:rsidRPr="00FF216F">
        <w:rPr>
          <w:rFonts w:asciiTheme="minorHAnsi" w:hAnsiTheme="minorHAnsi" w:cstheme="minorHAnsi"/>
          <w:sz w:val="24"/>
          <w:szCs w:val="24"/>
          <w:rtl/>
        </w:rPr>
        <w:t xml:space="preserve">ירד ברביע זה </w:t>
      </w:r>
      <w:r w:rsidR="00F66EB5" w:rsidRPr="00FF216F">
        <w:rPr>
          <w:rFonts w:asciiTheme="minorHAnsi" w:hAnsiTheme="minorHAnsi" w:cstheme="minorHAnsi"/>
          <w:sz w:val="24"/>
          <w:szCs w:val="24"/>
          <w:rtl/>
        </w:rPr>
        <w:t xml:space="preserve">ועמד על </w:t>
      </w:r>
      <w:r w:rsidR="00813293" w:rsidRPr="00FF216F">
        <w:rPr>
          <w:rFonts w:asciiTheme="minorHAnsi" w:hAnsiTheme="minorHAnsi" w:cstheme="minorHAnsi"/>
          <w:sz w:val="24"/>
          <w:szCs w:val="24"/>
          <w:rtl/>
        </w:rPr>
        <w:t>כ-</w:t>
      </w:r>
      <w:r w:rsidR="00FC6105" w:rsidRPr="00FF216F">
        <w:rPr>
          <w:rFonts w:asciiTheme="minorHAnsi" w:hAnsiTheme="minorHAnsi" w:cstheme="minorHAnsi"/>
          <w:sz w:val="24"/>
          <w:szCs w:val="24"/>
          <w:rtl/>
        </w:rPr>
        <w:t>1</w:t>
      </w:r>
      <w:r w:rsidR="00813293" w:rsidRPr="00FF216F">
        <w:rPr>
          <w:rFonts w:asciiTheme="minorHAnsi" w:hAnsiTheme="minorHAnsi" w:cstheme="minorHAnsi"/>
          <w:sz w:val="24"/>
          <w:szCs w:val="24"/>
          <w:rtl/>
        </w:rPr>
        <w:t xml:space="preserve">% לעומת </w:t>
      </w:r>
      <w:r w:rsidR="00E615A1" w:rsidRPr="00FF216F">
        <w:rPr>
          <w:rFonts w:asciiTheme="minorHAnsi" w:hAnsiTheme="minorHAnsi" w:cstheme="minorHAnsi"/>
          <w:sz w:val="24"/>
          <w:szCs w:val="24"/>
          <w:rtl/>
        </w:rPr>
        <w:t xml:space="preserve">שיעור </w:t>
      </w:r>
      <w:r w:rsidR="00FC6105" w:rsidRPr="00FF216F">
        <w:rPr>
          <w:rFonts w:asciiTheme="minorHAnsi" w:hAnsiTheme="minorHAnsi" w:cstheme="minorHAnsi"/>
          <w:sz w:val="24"/>
          <w:szCs w:val="24"/>
          <w:rtl/>
        </w:rPr>
        <w:t xml:space="preserve">של כ-4% ברביע הקודם; </w:t>
      </w:r>
      <w:r w:rsidR="00813293" w:rsidRPr="00FF216F">
        <w:rPr>
          <w:rFonts w:asciiTheme="minorHAnsi" w:hAnsiTheme="minorHAnsi" w:cstheme="minorHAnsi"/>
          <w:sz w:val="24"/>
          <w:szCs w:val="24"/>
          <w:rtl/>
        </w:rPr>
        <w:t xml:space="preserve">שיעור הגידול השנתי בחוב 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לבנקים המשיך לרדת </w:t>
      </w:r>
      <w:r w:rsidR="00A36053" w:rsidRPr="00FF216F">
        <w:rPr>
          <w:rFonts w:asciiTheme="minorHAnsi" w:hAnsiTheme="minorHAnsi" w:cstheme="minorHAnsi"/>
          <w:sz w:val="24"/>
          <w:szCs w:val="24"/>
          <w:rtl/>
        </w:rPr>
        <w:t xml:space="preserve">גם ברביע זה </w:t>
      </w:r>
      <w:r w:rsidRPr="00FF216F">
        <w:rPr>
          <w:rFonts w:asciiTheme="minorHAnsi" w:hAnsiTheme="minorHAnsi" w:cstheme="minorHAnsi"/>
          <w:sz w:val="24"/>
          <w:szCs w:val="24"/>
          <w:rtl/>
        </w:rPr>
        <w:t>בהמשך לירידה שהחלה במחצית השנייה של 2022, אך נותר עדיין חיובי (כ</w:t>
      </w:r>
      <w:r w:rsidR="0013147B" w:rsidRPr="00FF216F">
        <w:rPr>
          <w:rFonts w:asciiTheme="minorHAnsi" w:hAnsiTheme="minorHAnsi" w:cstheme="minorHAnsi"/>
          <w:sz w:val="24"/>
          <w:szCs w:val="24"/>
          <w:rtl/>
        </w:rPr>
        <w:t>-</w:t>
      </w:r>
      <w:r w:rsidRPr="00FF216F">
        <w:rPr>
          <w:rFonts w:asciiTheme="minorHAnsi" w:hAnsiTheme="minorHAnsi" w:cstheme="minorHAnsi"/>
          <w:sz w:val="24"/>
          <w:szCs w:val="24"/>
          <w:rtl/>
        </w:rPr>
        <w:t>5</w:t>
      </w:r>
      <w:r w:rsidR="0013147B" w:rsidRPr="00FF216F">
        <w:rPr>
          <w:rFonts w:asciiTheme="minorHAnsi" w:hAnsiTheme="minorHAnsi" w:cstheme="minorHAnsi"/>
          <w:sz w:val="24"/>
          <w:szCs w:val="24"/>
          <w:rtl/>
        </w:rPr>
        <w:t>%)</w:t>
      </w:r>
      <w:r w:rsidR="00061F4B" w:rsidRPr="00FF216F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7D7745" w:rsidRPr="00FF216F">
        <w:rPr>
          <w:rFonts w:asciiTheme="minorHAnsi" w:hAnsiTheme="minorHAnsi" w:cstheme="minorHAnsi"/>
          <w:sz w:val="24"/>
          <w:szCs w:val="24"/>
          <w:rtl/>
        </w:rPr>
        <w:t>נציין כי</w:t>
      </w:r>
      <w:r w:rsidR="0013147B" w:rsidRPr="00FF216F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7A4728" w:rsidRPr="00FF216F">
        <w:rPr>
          <w:rFonts w:asciiTheme="minorHAnsi" w:hAnsiTheme="minorHAnsi" w:cstheme="minorHAnsi"/>
          <w:sz w:val="24"/>
          <w:szCs w:val="24"/>
          <w:rtl/>
        </w:rPr>
        <w:t>ב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חמש השנים </w:t>
      </w:r>
      <w:r w:rsidR="007A4728" w:rsidRPr="00FF216F">
        <w:rPr>
          <w:rFonts w:asciiTheme="minorHAnsi" w:hAnsiTheme="minorHAnsi" w:cstheme="minorHAnsi"/>
          <w:sz w:val="24"/>
          <w:szCs w:val="24"/>
          <w:rtl/>
        </w:rPr>
        <w:t>האחרונות קצב הגידול השנתי ביתרת החוב לבנקים גבוה מקצב הגידול השנתי ביתרת החוב למלווים חוץ-בנקאים.</w:t>
      </w:r>
      <w:r w:rsidR="00596E1D" w:rsidRPr="00FF216F">
        <w:rPr>
          <w:rFonts w:asciiTheme="minorHAnsi" w:hAnsiTheme="minorHAnsi" w:cstheme="minorHAnsi"/>
          <w:sz w:val="24"/>
          <w:szCs w:val="24"/>
          <w:rtl/>
        </w:rPr>
        <w:t xml:space="preserve"> (איור 2). </w:t>
      </w:r>
    </w:p>
    <w:p w:rsidR="00693EF0" w:rsidRPr="00FF216F" w:rsidRDefault="00C55E2C" w:rsidP="00FA7598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ברביע </w:t>
      </w:r>
      <w:r w:rsidR="007A5854" w:rsidRPr="00FF216F">
        <w:rPr>
          <w:rFonts w:asciiTheme="minorHAnsi" w:hAnsiTheme="minorHAnsi" w:cstheme="minorHAnsi"/>
          <w:sz w:val="24"/>
          <w:szCs w:val="24"/>
          <w:rtl/>
        </w:rPr>
        <w:t>ה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>שני</w:t>
      </w:r>
      <w:r w:rsidR="00F067EF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335BB" w:rsidRPr="00FF216F">
        <w:rPr>
          <w:rFonts w:asciiTheme="minorHAnsi" w:hAnsiTheme="minorHAnsi" w:cstheme="minorHAnsi"/>
          <w:sz w:val="24"/>
          <w:szCs w:val="24"/>
          <w:rtl/>
        </w:rPr>
        <w:t xml:space="preserve">של השנה </w:t>
      </w:r>
      <w:r w:rsidR="004C43DC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הנפיק המגזר העסקי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אג"ח בשווי של כ-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>9</w:t>
      </w:r>
      <w:r w:rsidR="00804AEF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2A51F1" w:rsidRPr="00FF216F">
        <w:rPr>
          <w:rFonts w:asciiTheme="minorHAnsi" w:hAnsiTheme="minorHAnsi" w:cstheme="minorHAnsi"/>
          <w:sz w:val="24"/>
          <w:szCs w:val="24"/>
          <w:rtl/>
        </w:rPr>
        <w:t>מיליארדי ש"ח</w:t>
      </w:r>
      <w:r w:rsidR="00F067EF" w:rsidRPr="00FF216F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>נמוך משמעותית</w:t>
      </w:r>
      <w:r w:rsidR="00A705F9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32510F" w:rsidRPr="00FF216F">
        <w:rPr>
          <w:rFonts w:asciiTheme="minorHAnsi" w:hAnsiTheme="minorHAnsi" w:cstheme="minorHAnsi"/>
          <w:sz w:val="24"/>
          <w:szCs w:val="24"/>
          <w:rtl/>
        </w:rPr>
        <w:t>מ</w:t>
      </w:r>
      <w:r w:rsidR="00474B96" w:rsidRPr="00FF216F">
        <w:rPr>
          <w:rFonts w:asciiTheme="minorHAnsi" w:hAnsiTheme="minorHAnsi" w:cstheme="minorHAnsi"/>
          <w:sz w:val="24"/>
          <w:szCs w:val="24"/>
          <w:rtl/>
        </w:rPr>
        <w:t>מ</w:t>
      </w:r>
      <w:r w:rsidR="00804AEF" w:rsidRPr="00FF216F">
        <w:rPr>
          <w:rFonts w:asciiTheme="minorHAnsi" w:hAnsiTheme="minorHAnsi" w:cstheme="minorHAnsi"/>
          <w:sz w:val="24"/>
          <w:szCs w:val="24"/>
          <w:rtl/>
        </w:rPr>
        <w:t xml:space="preserve">מוצע הגיוסים </w:t>
      </w:r>
      <w:r w:rsidR="00644325" w:rsidRPr="00FF216F">
        <w:rPr>
          <w:rFonts w:asciiTheme="minorHAnsi" w:hAnsiTheme="minorHAnsi" w:cstheme="minorHAnsi"/>
          <w:sz w:val="24"/>
          <w:szCs w:val="24"/>
          <w:rtl/>
        </w:rPr>
        <w:t xml:space="preserve">הרבעוני </w:t>
      </w:r>
      <w:r w:rsidR="0032510F" w:rsidRPr="00FF216F">
        <w:rPr>
          <w:rFonts w:asciiTheme="minorHAnsi" w:hAnsiTheme="minorHAnsi" w:cstheme="minorHAnsi"/>
          <w:sz w:val="24"/>
          <w:szCs w:val="24"/>
          <w:rtl/>
        </w:rPr>
        <w:t xml:space="preserve">של ארבעת הרביעים </w:t>
      </w:r>
      <w:r w:rsidR="0050090B" w:rsidRPr="00FF216F">
        <w:rPr>
          <w:rFonts w:asciiTheme="minorHAnsi" w:hAnsiTheme="minorHAnsi" w:cstheme="minorHAnsi"/>
          <w:sz w:val="24"/>
          <w:szCs w:val="24"/>
          <w:rtl/>
        </w:rPr>
        <w:t xml:space="preserve">הקודמים </w:t>
      </w:r>
      <w:r w:rsidR="0032510F" w:rsidRPr="00FF216F">
        <w:rPr>
          <w:rFonts w:asciiTheme="minorHAnsi" w:hAnsiTheme="minorHAnsi" w:cstheme="minorHAnsi"/>
          <w:sz w:val="24"/>
          <w:szCs w:val="24"/>
          <w:rtl/>
        </w:rPr>
        <w:t>(כ-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>14</w:t>
      </w:r>
      <w:r w:rsidR="0032510F" w:rsidRPr="00FF216F">
        <w:rPr>
          <w:rFonts w:asciiTheme="minorHAnsi" w:hAnsiTheme="minorHAnsi" w:cstheme="minorHAnsi"/>
          <w:sz w:val="24"/>
          <w:szCs w:val="24"/>
          <w:rtl/>
        </w:rPr>
        <w:t xml:space="preserve"> מיליארדים בממוצע לרביע). </w:t>
      </w:r>
      <w:r w:rsidR="00693EF0" w:rsidRPr="00FF216F">
        <w:rPr>
          <w:rFonts w:asciiTheme="minorHAnsi" w:hAnsiTheme="minorHAnsi" w:cstheme="minorHAnsi"/>
          <w:sz w:val="24"/>
          <w:szCs w:val="24"/>
          <w:rtl/>
        </w:rPr>
        <w:t>כ</w:t>
      </w:r>
      <w:r w:rsidR="00A705F9" w:rsidRPr="00FF216F">
        <w:rPr>
          <w:rFonts w:asciiTheme="minorHAnsi" w:hAnsiTheme="minorHAnsi" w:cstheme="minorHAnsi"/>
          <w:sz w:val="24"/>
          <w:szCs w:val="24"/>
          <w:rtl/>
        </w:rPr>
        <w:t>-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>6</w:t>
      </w:r>
      <w:r w:rsidR="00D95924" w:rsidRPr="00FF216F">
        <w:rPr>
          <w:rFonts w:asciiTheme="minorHAnsi" w:hAnsiTheme="minorHAnsi" w:cstheme="minorHAnsi"/>
          <w:sz w:val="24"/>
          <w:szCs w:val="24"/>
          <w:rtl/>
        </w:rPr>
        <w:t>3</w:t>
      </w:r>
      <w:r w:rsidR="00A705F9" w:rsidRPr="00FF216F">
        <w:rPr>
          <w:rFonts w:asciiTheme="minorHAnsi" w:hAnsiTheme="minorHAnsi" w:cstheme="minorHAnsi"/>
          <w:sz w:val="24"/>
          <w:szCs w:val="24"/>
          <w:rtl/>
        </w:rPr>
        <w:t xml:space="preserve">% </w:t>
      </w:r>
      <w:r w:rsidR="00693EF0" w:rsidRPr="00FF216F">
        <w:rPr>
          <w:rFonts w:asciiTheme="minorHAnsi" w:hAnsiTheme="minorHAnsi" w:cstheme="minorHAnsi"/>
          <w:sz w:val="24"/>
          <w:szCs w:val="24"/>
          <w:rtl/>
        </w:rPr>
        <w:t>מההנפקות ברביע זה בוצעו על ידי חברות מענף הנדל"ן והבינוי</w:t>
      </w:r>
      <w:r w:rsidR="007F21C2" w:rsidRPr="00FF216F">
        <w:rPr>
          <w:rFonts w:asciiTheme="minorHAnsi" w:hAnsiTheme="minorHAnsi" w:cstheme="minorHAnsi"/>
          <w:sz w:val="24"/>
          <w:szCs w:val="24"/>
          <w:rtl/>
        </w:rPr>
        <w:t xml:space="preserve">, ענף </w:t>
      </w:r>
      <w:r w:rsidR="00A705F9" w:rsidRPr="00FF216F">
        <w:rPr>
          <w:rFonts w:asciiTheme="minorHAnsi" w:hAnsiTheme="minorHAnsi" w:cstheme="minorHAnsi"/>
          <w:sz w:val="24"/>
          <w:szCs w:val="24"/>
          <w:rtl/>
        </w:rPr>
        <w:t>שממשיך להוביל בגיוסים בדומה לשנים הקודמות</w:t>
      </w:r>
      <w:r w:rsidR="00693EF0" w:rsidRPr="00FF216F">
        <w:rPr>
          <w:rFonts w:asciiTheme="minorHAnsi" w:hAnsiTheme="minorHAnsi" w:cstheme="minorHAnsi"/>
          <w:sz w:val="24"/>
          <w:szCs w:val="24"/>
          <w:rtl/>
        </w:rPr>
        <w:t>.</w:t>
      </w:r>
      <w:r w:rsidR="00B93F60" w:rsidRPr="00FF216F">
        <w:rPr>
          <w:rFonts w:asciiTheme="minorHAnsi" w:hAnsiTheme="minorHAnsi" w:cstheme="minorHAnsi"/>
          <w:sz w:val="24"/>
          <w:szCs w:val="24"/>
          <w:rtl/>
        </w:rPr>
        <w:t xml:space="preserve"> (איור 3).</w:t>
      </w:r>
    </w:p>
    <w:p w:rsidR="002A51F1" w:rsidRPr="00FF216F" w:rsidRDefault="00813293" w:rsidP="00880E20">
      <w:pPr>
        <w:pStyle w:val="a9"/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גם </w:t>
      </w:r>
      <w:r w:rsidR="002B4634" w:rsidRPr="00FF216F">
        <w:rPr>
          <w:rFonts w:asciiTheme="minorHAnsi" w:hAnsiTheme="minorHAnsi" w:cstheme="minorHAnsi"/>
          <w:sz w:val="24"/>
          <w:szCs w:val="24"/>
          <w:rtl/>
        </w:rPr>
        <w:t>בחודש</w:t>
      </w:r>
      <w:r w:rsidR="00880E20" w:rsidRPr="00FF216F">
        <w:rPr>
          <w:rFonts w:asciiTheme="minorHAnsi" w:hAnsiTheme="minorHAnsi" w:cstheme="minorHAnsi"/>
          <w:sz w:val="24"/>
          <w:szCs w:val="24"/>
          <w:rtl/>
        </w:rPr>
        <w:t>ים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 xml:space="preserve"> יולי</w:t>
      </w:r>
      <w:r w:rsidR="00880E20" w:rsidRPr="00FF216F">
        <w:rPr>
          <w:rFonts w:asciiTheme="minorHAnsi" w:hAnsiTheme="minorHAnsi" w:cstheme="minorHAnsi"/>
          <w:sz w:val="24"/>
          <w:szCs w:val="24"/>
          <w:rtl/>
        </w:rPr>
        <w:t>-אוגוסט</w:t>
      </w:r>
      <w:r w:rsidR="00693EF0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F067EF" w:rsidRPr="00FF216F">
        <w:rPr>
          <w:rFonts w:asciiTheme="minorHAnsi" w:hAnsiTheme="minorHAnsi" w:cstheme="minorHAnsi"/>
          <w:sz w:val="24"/>
          <w:szCs w:val="24"/>
          <w:rtl/>
        </w:rPr>
        <w:t>2024</w:t>
      </w:r>
      <w:r w:rsidR="00C55E2C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חברות מענף הנדל"ן והבינוי </w:t>
      </w:r>
      <w:r w:rsidR="00CD2485" w:rsidRPr="00FF216F">
        <w:rPr>
          <w:rFonts w:asciiTheme="minorHAnsi" w:hAnsiTheme="minorHAnsi" w:cstheme="minorHAnsi"/>
          <w:sz w:val="24"/>
          <w:szCs w:val="24"/>
          <w:rtl/>
        </w:rPr>
        <w:t xml:space="preserve">המשיכו </w:t>
      </w:r>
      <w:r w:rsidRPr="00FF216F">
        <w:rPr>
          <w:rFonts w:asciiTheme="minorHAnsi" w:hAnsiTheme="minorHAnsi" w:cstheme="minorHAnsi"/>
          <w:sz w:val="24"/>
          <w:szCs w:val="24"/>
          <w:rtl/>
        </w:rPr>
        <w:t>להוביל בגיוסים - כ-</w:t>
      </w:r>
      <w:r w:rsidR="00880E20" w:rsidRPr="00FF216F">
        <w:rPr>
          <w:rFonts w:asciiTheme="minorHAnsi" w:hAnsiTheme="minorHAnsi" w:cstheme="minorHAnsi"/>
          <w:sz w:val="24"/>
          <w:szCs w:val="24"/>
          <w:rtl/>
        </w:rPr>
        <w:t>63%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מ</w:t>
      </w:r>
      <w:r w:rsidR="00CD2485" w:rsidRPr="00FF216F">
        <w:rPr>
          <w:rFonts w:asciiTheme="minorHAnsi" w:hAnsiTheme="minorHAnsi" w:cstheme="minorHAnsi"/>
          <w:sz w:val="24"/>
          <w:szCs w:val="24"/>
          <w:rtl/>
        </w:rPr>
        <w:t xml:space="preserve">סך 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גיוסים </w:t>
      </w:r>
      <w:r w:rsidR="00CD2485" w:rsidRPr="00FF216F">
        <w:rPr>
          <w:rFonts w:asciiTheme="minorHAnsi" w:hAnsiTheme="minorHAnsi" w:cstheme="minorHAnsi"/>
          <w:sz w:val="24"/>
          <w:szCs w:val="24"/>
          <w:rtl/>
        </w:rPr>
        <w:t>של כ-</w:t>
      </w:r>
      <w:r w:rsidR="00880E20" w:rsidRPr="00FF216F">
        <w:rPr>
          <w:rFonts w:asciiTheme="minorHAnsi" w:hAnsiTheme="minorHAnsi" w:cstheme="minorHAnsi"/>
          <w:sz w:val="24"/>
          <w:szCs w:val="24"/>
          <w:rtl/>
        </w:rPr>
        <w:t>11</w:t>
      </w:r>
      <w:r w:rsidR="00CD2485" w:rsidRPr="00FF216F">
        <w:rPr>
          <w:rFonts w:asciiTheme="minorHAnsi" w:hAnsiTheme="minorHAnsi" w:cstheme="minorHAnsi"/>
          <w:sz w:val="24"/>
          <w:szCs w:val="24"/>
          <w:rtl/>
        </w:rPr>
        <w:t xml:space="preserve"> מיליארדי ש"ח</w:t>
      </w:r>
      <w:r w:rsidR="004A41A6" w:rsidRPr="00FF216F">
        <w:rPr>
          <w:rFonts w:asciiTheme="minorHAnsi" w:hAnsiTheme="minorHAnsi" w:cstheme="minorHAnsi"/>
          <w:sz w:val="24"/>
          <w:szCs w:val="24"/>
          <w:rtl/>
        </w:rPr>
        <w:t xml:space="preserve"> בחודש</w:t>
      </w:r>
      <w:r w:rsidR="00880E20" w:rsidRPr="00FF216F">
        <w:rPr>
          <w:rFonts w:asciiTheme="minorHAnsi" w:hAnsiTheme="minorHAnsi" w:cstheme="minorHAnsi"/>
          <w:sz w:val="24"/>
          <w:szCs w:val="24"/>
          <w:rtl/>
        </w:rPr>
        <w:t>ים אלה</w:t>
      </w:r>
      <w:r w:rsidR="00CD2485" w:rsidRPr="00FF216F">
        <w:rPr>
          <w:rFonts w:asciiTheme="minorHAnsi" w:hAnsiTheme="minorHAnsi" w:cstheme="minorHAnsi"/>
          <w:sz w:val="24"/>
          <w:szCs w:val="24"/>
          <w:rtl/>
        </w:rPr>
        <w:t>, בוצעו על ידן</w:t>
      </w:r>
      <w:r w:rsidRPr="00FF216F">
        <w:rPr>
          <w:rFonts w:asciiTheme="minorHAnsi" w:hAnsiTheme="minorHAnsi" w:cstheme="minorHAnsi"/>
          <w:sz w:val="24"/>
          <w:szCs w:val="24"/>
          <w:rtl/>
        </w:rPr>
        <w:t>.</w:t>
      </w:r>
      <w:r w:rsidR="007C7975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E44E3D" w:rsidRPr="00FF216F" w:rsidRDefault="00A877F1" w:rsidP="000B64F2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>ברביע ה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>שני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של השנה</w:t>
      </w:r>
      <w:r w:rsidR="004146D6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985B7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</w:t>
      </w:r>
      <w:r w:rsidR="0041681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מרווח</w:t>
      </w:r>
      <w:r w:rsidR="00884ED4" w:rsidRPr="00FF216F">
        <w:rPr>
          <w:rStyle w:val="af1"/>
          <w:rFonts w:asciiTheme="minorHAnsi" w:hAnsiTheme="minorHAnsi" w:cstheme="minorHAnsi"/>
          <w:b/>
          <w:bCs/>
          <w:sz w:val="24"/>
          <w:szCs w:val="24"/>
          <w:rtl/>
        </w:rPr>
        <w:footnoteReference w:id="3"/>
      </w:r>
      <w:r w:rsidR="00884ED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41681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בין תשואת </w:t>
      </w:r>
      <w:proofErr w:type="spellStart"/>
      <w:r w:rsidR="00BD457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האג"ח</w:t>
      </w:r>
      <w:proofErr w:type="spellEnd"/>
      <w:r w:rsidR="00BD457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proofErr w:type="spellStart"/>
      <w:r w:rsidR="00BD457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הקונצרניות</w:t>
      </w:r>
      <w:proofErr w:type="spellEnd"/>
      <w:r w:rsidR="00BD457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הכלולות במדד</w:t>
      </w:r>
      <w:r w:rsidR="00985B7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האג"ח</w:t>
      </w:r>
      <w:proofErr w:type="spellEnd"/>
      <w:r w:rsidR="00985B74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הממשלתיות </w:t>
      </w:r>
      <w:r w:rsidR="00DA4279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הצמודות</w:t>
      </w:r>
      <w:r w:rsidR="00DA4279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4146D6" w:rsidRPr="00FF216F">
        <w:rPr>
          <w:rFonts w:asciiTheme="minorHAnsi" w:hAnsiTheme="minorHAnsi" w:cstheme="minorHAnsi"/>
          <w:sz w:val="24"/>
          <w:szCs w:val="24"/>
          <w:rtl/>
        </w:rPr>
        <w:t>ה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צטמצם 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 xml:space="preserve">מעט </w:t>
      </w:r>
      <w:r w:rsidRPr="00FF216F">
        <w:rPr>
          <w:rFonts w:asciiTheme="minorHAnsi" w:hAnsiTheme="minorHAnsi" w:cstheme="minorHAnsi"/>
          <w:sz w:val="24"/>
          <w:szCs w:val="24"/>
          <w:rtl/>
        </w:rPr>
        <w:t>לכ-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>1.15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נק' אחוז; 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 xml:space="preserve">עם זאת </w:t>
      </w:r>
      <w:r w:rsidR="000B64F2" w:rsidRPr="00FF216F">
        <w:rPr>
          <w:rFonts w:asciiTheme="minorHAnsi" w:hAnsiTheme="minorHAnsi" w:cstheme="minorHAnsi"/>
          <w:sz w:val="24"/>
          <w:szCs w:val="24"/>
          <w:rtl/>
        </w:rPr>
        <w:t>החל מחודש יוני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2024 מרווח זה </w:t>
      </w:r>
      <w:r w:rsidR="008856C1" w:rsidRPr="00FF216F">
        <w:rPr>
          <w:rFonts w:asciiTheme="minorHAnsi" w:hAnsiTheme="minorHAnsi" w:cstheme="minorHAnsi"/>
          <w:sz w:val="24"/>
          <w:szCs w:val="24"/>
          <w:rtl/>
        </w:rPr>
        <w:t>התרחב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BB1C9E" w:rsidRPr="00FF216F">
        <w:rPr>
          <w:rFonts w:asciiTheme="minorHAnsi" w:hAnsiTheme="minorHAnsi" w:cstheme="minorHAnsi"/>
          <w:sz w:val="24"/>
          <w:szCs w:val="24"/>
          <w:rtl/>
        </w:rPr>
        <w:t xml:space="preserve">לראשונה מאוקטובר 2023 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 xml:space="preserve">ועל רקע מלחמת 'חרבות ברזל', </w:t>
      </w:r>
      <w:r w:rsidRPr="00FF216F">
        <w:rPr>
          <w:rFonts w:asciiTheme="minorHAnsi" w:hAnsiTheme="minorHAnsi" w:cstheme="minorHAnsi"/>
          <w:sz w:val="24"/>
          <w:szCs w:val="24"/>
          <w:rtl/>
        </w:rPr>
        <w:t>עד לרמה של כ-1.</w:t>
      </w:r>
      <w:r w:rsidR="00FA7598" w:rsidRPr="00FF216F">
        <w:rPr>
          <w:rFonts w:asciiTheme="minorHAnsi" w:hAnsiTheme="minorHAnsi" w:cstheme="minorHAnsi"/>
          <w:sz w:val="24"/>
          <w:szCs w:val="24"/>
          <w:rtl/>
        </w:rPr>
        <w:t>21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נק' האחוז</w:t>
      </w:r>
      <w:r w:rsidR="000B64F2" w:rsidRPr="00FF216F">
        <w:rPr>
          <w:rFonts w:asciiTheme="minorHAnsi" w:hAnsiTheme="minorHAnsi" w:cstheme="minorHAnsi"/>
          <w:sz w:val="24"/>
          <w:szCs w:val="24"/>
          <w:rtl/>
        </w:rPr>
        <w:t xml:space="preserve"> בחודש אוגוסט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070391" w:rsidRPr="00FF216F">
        <w:rPr>
          <w:rFonts w:asciiTheme="minorHAnsi" w:hAnsiTheme="minorHAnsi" w:cstheme="minorHAnsi"/>
          <w:sz w:val="24"/>
          <w:szCs w:val="24"/>
          <w:rtl/>
        </w:rPr>
        <w:t>(איור 4)</w:t>
      </w:r>
      <w:r w:rsidR="008E0911" w:rsidRPr="00FF216F">
        <w:rPr>
          <w:rFonts w:asciiTheme="minorHAnsi" w:hAnsiTheme="minorHAnsi" w:cstheme="minorHAnsi"/>
          <w:sz w:val="24"/>
          <w:szCs w:val="24"/>
          <w:rtl/>
        </w:rPr>
        <w:t>.</w:t>
      </w:r>
    </w:p>
    <w:p w:rsidR="002F1784" w:rsidRDefault="002F1784" w:rsidP="00DC2431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rtl/>
        </w:rPr>
      </w:pPr>
    </w:p>
    <w:p w:rsidR="002F1784" w:rsidRDefault="002F1784" w:rsidP="002F1784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rtl/>
        </w:rPr>
      </w:pPr>
    </w:p>
    <w:p w:rsidR="002F1784" w:rsidRDefault="002F1784" w:rsidP="002F1784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rtl/>
        </w:rPr>
      </w:pPr>
    </w:p>
    <w:p w:rsidR="002F1784" w:rsidRDefault="002F1784" w:rsidP="002F1784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rtl/>
        </w:rPr>
      </w:pPr>
    </w:p>
    <w:p w:rsidR="002F1784" w:rsidRDefault="002F1784" w:rsidP="002F1784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rtl/>
        </w:rPr>
      </w:pPr>
    </w:p>
    <w:p w:rsidR="002F1784" w:rsidRDefault="002F1784" w:rsidP="002F1784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rtl/>
        </w:rPr>
      </w:pPr>
    </w:p>
    <w:p w:rsidR="002F1784" w:rsidRDefault="002F1784" w:rsidP="002F1784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rtl/>
        </w:rPr>
      </w:pPr>
    </w:p>
    <w:p w:rsidR="00F21AEA" w:rsidRPr="00FF216F" w:rsidRDefault="00AC3E61" w:rsidP="002F1784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rtl/>
        </w:rPr>
      </w:pPr>
      <w:bookmarkStart w:id="0" w:name="_GoBack"/>
      <w:bookmarkEnd w:id="0"/>
      <w:r w:rsidRPr="00FF216F">
        <w:rPr>
          <w:rFonts w:asciiTheme="minorHAnsi" w:hAnsiTheme="minorHAnsi" w:cstheme="minorHAnsi"/>
          <w:b/>
          <w:bCs/>
          <w:rtl/>
        </w:rPr>
        <w:lastRenderedPageBreak/>
        <w:t>לוח 1: התפלגות החוב של המגזר העסקי</w:t>
      </w:r>
      <w:r w:rsidR="001E78A9" w:rsidRPr="00FF216F">
        <w:rPr>
          <w:rFonts w:asciiTheme="minorHAnsi" w:hAnsiTheme="minorHAnsi" w:cstheme="minorHAnsi"/>
          <w:b/>
          <w:bCs/>
          <w:rtl/>
        </w:rPr>
        <w:t xml:space="preserve"> הלא-פיננסי</w:t>
      </w:r>
      <w:r w:rsidR="0012175B" w:rsidRPr="00FF216F">
        <w:rPr>
          <w:rFonts w:asciiTheme="minorHAnsi" w:hAnsiTheme="minorHAnsi" w:cstheme="minorHAnsi"/>
          <w:sz w:val="22"/>
          <w:szCs w:val="22"/>
          <w:vertAlign w:val="superscript"/>
          <w:rtl/>
        </w:rPr>
        <w:t>1</w:t>
      </w:r>
      <w:r w:rsidR="00303DA6" w:rsidRPr="00FF216F">
        <w:rPr>
          <w:rFonts w:asciiTheme="minorHAnsi" w:hAnsiTheme="minorHAnsi" w:cstheme="minorHAnsi"/>
          <w:sz w:val="22"/>
          <w:szCs w:val="22"/>
          <w:vertAlign w:val="superscript"/>
          <w:rtl/>
        </w:rPr>
        <w:t xml:space="preserve"> </w:t>
      </w:r>
    </w:p>
    <w:p w:rsidR="002A60C4" w:rsidRPr="00FF216F" w:rsidRDefault="00880E20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rtl/>
        </w:rPr>
      </w:pPr>
      <w:r w:rsidRPr="00FF216F">
        <w:rPr>
          <w:rFonts w:asciiTheme="minorHAnsi" w:hAnsiTheme="minorHAnsi" w:cstheme="minorHAnsi"/>
          <w:noProof/>
          <w:rtl/>
        </w:rPr>
        <w:drawing>
          <wp:inline distT="0" distB="0" distL="0" distR="0">
            <wp:extent cx="5278120" cy="2774825"/>
            <wp:effectExtent l="0" t="0" r="0" b="6985"/>
            <wp:docPr id="1" name="תמונה 1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B" w:rsidRPr="00FF216F" w:rsidRDefault="00061F4B" w:rsidP="000C1DB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rtl/>
        </w:rPr>
      </w:pPr>
    </w:p>
    <w:p w:rsidR="00362735" w:rsidRPr="00FF216F" w:rsidRDefault="00362735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F216F">
        <w:rPr>
          <w:rFonts w:asciiTheme="minorHAnsi" w:hAnsiTheme="minorHAnsi" w:cstheme="minorHAnsi"/>
          <w:b/>
          <w:bCs/>
          <w:rtl/>
        </w:rPr>
        <w:br w:type="page"/>
      </w:r>
    </w:p>
    <w:p w:rsidR="00AC3E61" w:rsidRPr="00FF216F" w:rsidRDefault="00AC3E61" w:rsidP="005119D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FF216F">
        <w:rPr>
          <w:rFonts w:asciiTheme="minorHAnsi" w:hAnsiTheme="minorHAnsi" w:cstheme="minorHAnsi"/>
          <w:b/>
          <w:bCs/>
          <w:rtl/>
        </w:rPr>
        <w:lastRenderedPageBreak/>
        <w:t xml:space="preserve">איור 1: </w:t>
      </w:r>
      <w:r w:rsidR="00AD3F98" w:rsidRPr="00FF216F">
        <w:rPr>
          <w:rFonts w:asciiTheme="minorHAnsi" w:hAnsiTheme="minorHAnsi" w:cstheme="minorHAnsi"/>
          <w:b/>
          <w:bCs/>
          <w:rtl/>
        </w:rPr>
        <w:t xml:space="preserve">אומדן </w:t>
      </w:r>
      <w:r w:rsidR="00374BF3" w:rsidRPr="00FF216F">
        <w:rPr>
          <w:rFonts w:asciiTheme="minorHAnsi" w:hAnsiTheme="minorHAnsi" w:cstheme="minorHAnsi"/>
          <w:b/>
          <w:bCs/>
          <w:rtl/>
        </w:rPr>
        <w:t>לתנועות של סך ה</w:t>
      </w:r>
      <w:r w:rsidR="00AD3F98" w:rsidRPr="00FF216F">
        <w:rPr>
          <w:rFonts w:asciiTheme="minorHAnsi" w:hAnsiTheme="minorHAnsi" w:cstheme="minorHAnsi"/>
          <w:b/>
          <w:bCs/>
          <w:rtl/>
        </w:rPr>
        <w:t>חוב של</w:t>
      </w:r>
      <w:r w:rsidRPr="00FF216F">
        <w:rPr>
          <w:rFonts w:asciiTheme="minorHAnsi" w:hAnsiTheme="minorHAnsi" w:cstheme="minorHAnsi"/>
          <w:b/>
          <w:bCs/>
          <w:rtl/>
        </w:rPr>
        <w:t xml:space="preserve"> </w:t>
      </w:r>
      <w:r w:rsidR="0004490E" w:rsidRPr="00FF216F">
        <w:rPr>
          <w:rFonts w:asciiTheme="minorHAnsi" w:hAnsiTheme="minorHAnsi" w:cstheme="minorHAnsi"/>
          <w:b/>
          <w:bCs/>
          <w:rtl/>
        </w:rPr>
        <w:t>המגזר</w:t>
      </w:r>
      <w:r w:rsidR="00AD3F98" w:rsidRPr="00FF216F">
        <w:rPr>
          <w:rFonts w:asciiTheme="minorHAnsi" w:hAnsiTheme="minorHAnsi" w:cstheme="minorHAnsi"/>
          <w:b/>
          <w:bCs/>
          <w:rtl/>
        </w:rPr>
        <w:t xml:space="preserve"> העסקי </w:t>
      </w:r>
      <w:r w:rsidR="001E78A9" w:rsidRPr="00FF216F">
        <w:rPr>
          <w:rFonts w:asciiTheme="minorHAnsi" w:hAnsiTheme="minorHAnsi" w:cstheme="minorHAnsi"/>
          <w:b/>
          <w:bCs/>
          <w:rtl/>
        </w:rPr>
        <w:t>הלא-פיננסי</w:t>
      </w:r>
    </w:p>
    <w:p w:rsidR="002A60C4" w:rsidRPr="00FF216F" w:rsidRDefault="00880E20" w:rsidP="00AC3E61">
      <w:pPr>
        <w:pStyle w:val="a9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F216F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13C5B0EA">
            <wp:extent cx="5261610" cy="2719070"/>
            <wp:effectExtent l="0" t="0" r="0" b="5080"/>
            <wp:docPr id="3" name="תמונה 3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A03" w:rsidRPr="00FF216F" w:rsidRDefault="00FF4A03" w:rsidP="00FF4A03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675551" w:rsidRPr="00FF216F" w:rsidRDefault="00675551" w:rsidP="00FF4A03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הלא-פיננסי</w:t>
      </w:r>
    </w:p>
    <w:p w:rsidR="00675551" w:rsidRPr="00FF216F" w:rsidRDefault="00880E20" w:rsidP="0067555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F216F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0A5829B3">
            <wp:extent cx="5261610" cy="2542540"/>
            <wp:effectExtent l="0" t="0" r="0" b="0"/>
            <wp:docPr id="4" name="תמונה 4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EED" w:rsidRPr="00FF216F" w:rsidRDefault="00BD2EED" w:rsidP="00BD2EED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FF216F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FF216F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FF216F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FF216F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FF216F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FF216F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FF216F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FF216F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FF216F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FF216F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FF216F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FF216F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AC3E61" w:rsidRPr="00FF216F" w:rsidRDefault="00AC3E61" w:rsidP="00BD2EED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איור </w:t>
      </w:r>
      <w:r w:rsidR="00070391" w:rsidRPr="00FF216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: </w:t>
      </w:r>
      <w:r w:rsidR="00D602E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</w:p>
    <w:p w:rsidR="00F83505" w:rsidRPr="00FF216F" w:rsidRDefault="009A5183" w:rsidP="001F1E1B">
      <w:pPr>
        <w:pStyle w:val="a9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F216F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2175E5FF">
            <wp:extent cx="5218430" cy="2962910"/>
            <wp:effectExtent l="0" t="0" r="1270" b="8890"/>
            <wp:docPr id="5" name="תמונה 5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A03" w:rsidRPr="00FF216F" w:rsidRDefault="00FF4A03" w:rsidP="00FF4A03">
      <w:pPr>
        <w:pStyle w:val="a9"/>
        <w:bidi/>
        <w:spacing w:line="360" w:lineRule="auto"/>
        <w:ind w:left="360" w:right="-101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522BB0" w:rsidRPr="00FF216F" w:rsidRDefault="00522BB0" w:rsidP="00FF4A03">
      <w:pPr>
        <w:pStyle w:val="a9"/>
        <w:bidi/>
        <w:spacing w:line="360" w:lineRule="auto"/>
        <w:ind w:left="360" w:right="-101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איור </w:t>
      </w:r>
      <w:r w:rsidR="00070391" w:rsidRPr="00FF216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: המרווח בין אג"ח חברות צמוד</w:t>
      </w:r>
      <w:r w:rsidR="0041681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ות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(תל בונד 60) לאג"ח ממשלתי</w:t>
      </w:r>
      <w:r w:rsidR="0041681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ות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צמוד</w:t>
      </w:r>
      <w:r w:rsidR="00416818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ות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br/>
        <w:t>(ממוצע חודשי)</w:t>
      </w:r>
    </w:p>
    <w:p w:rsidR="00522BB0" w:rsidRPr="00FF216F" w:rsidRDefault="00362735" w:rsidP="00522BB0">
      <w:pPr>
        <w:pStyle w:val="a9"/>
        <w:bidi/>
        <w:spacing w:line="360" w:lineRule="auto"/>
        <w:ind w:left="-52" w:right="-101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F216F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1B2C9F34">
            <wp:extent cx="5316220" cy="2743200"/>
            <wp:effectExtent l="0" t="0" r="0" b="0"/>
            <wp:docPr id="13" name="תמונה 13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FF216F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:rsidR="009F574F" w:rsidRPr="00FF216F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Theme="minorHAnsi" w:hAnsiTheme="minorHAnsi" w:cstheme="minorHAnsi"/>
        </w:rPr>
      </w:pPr>
      <w:r w:rsidRPr="00FF216F">
        <w:rPr>
          <w:rStyle w:val="10"/>
          <w:rFonts w:asciiTheme="minorHAnsi" w:hAnsiTheme="minorHAnsi" w:cstheme="minorHAnsi"/>
          <w:rtl/>
        </w:rPr>
        <w:t>החוב של משקי הבית</w:t>
      </w:r>
    </w:p>
    <w:p w:rsidR="00647C7D" w:rsidRPr="00FF216F" w:rsidRDefault="000B43AC" w:rsidP="00BF7581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>ברביע ה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>שני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של שנת </w:t>
      </w:r>
      <w:r w:rsidR="00226D37" w:rsidRPr="00FF216F">
        <w:rPr>
          <w:rFonts w:asciiTheme="minorHAnsi" w:hAnsiTheme="minorHAnsi" w:cstheme="minorHAnsi"/>
          <w:sz w:val="24"/>
          <w:szCs w:val="24"/>
          <w:rtl/>
        </w:rPr>
        <w:t>2024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יתרת החוב של משקי הבית</w:t>
      </w:r>
      <w:r w:rsidR="00C45BF6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>המשיכה לגדול</w:t>
      </w:r>
      <w:r w:rsidR="00647C7D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B16095" w:rsidRPr="00FF216F">
        <w:rPr>
          <w:rFonts w:asciiTheme="minorHAnsi" w:hAnsiTheme="minorHAnsi" w:cstheme="minorHAnsi"/>
          <w:sz w:val="24"/>
          <w:szCs w:val="24"/>
          <w:rtl/>
        </w:rPr>
        <w:t>בכ-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>12 מיליארדי ש"ח (2%</w:t>
      </w:r>
      <w:r w:rsidR="0059006A" w:rsidRPr="00FF216F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>ל</w:t>
      </w:r>
      <w:r w:rsidR="00120538" w:rsidRPr="00FF216F">
        <w:rPr>
          <w:rFonts w:asciiTheme="minorHAnsi" w:hAnsiTheme="minorHAnsi" w:cstheme="minorHAnsi"/>
          <w:sz w:val="24"/>
          <w:szCs w:val="24"/>
          <w:rtl/>
        </w:rPr>
        <w:t>כ-</w:t>
      </w:r>
      <w:r w:rsidR="006C1BE6" w:rsidRPr="00FF216F">
        <w:rPr>
          <w:rFonts w:asciiTheme="minorHAnsi" w:hAnsiTheme="minorHAnsi" w:cstheme="minorHAnsi"/>
          <w:sz w:val="24"/>
          <w:szCs w:val="24"/>
          <w:rtl/>
        </w:rPr>
        <w:t>812</w:t>
      </w:r>
      <w:r w:rsidR="00226D37" w:rsidRPr="00FF216F">
        <w:rPr>
          <w:rFonts w:asciiTheme="minorHAnsi" w:hAnsiTheme="minorHAnsi" w:cstheme="minorHAnsi"/>
          <w:sz w:val="24"/>
          <w:szCs w:val="24"/>
          <w:rtl/>
        </w:rPr>
        <w:t xml:space="preserve"> מיליארדי</w:t>
      </w:r>
      <w:r w:rsidR="00E778A1" w:rsidRPr="00FF216F">
        <w:rPr>
          <w:rFonts w:asciiTheme="minorHAnsi" w:hAnsiTheme="minorHAnsi" w:cstheme="minorHAnsi"/>
          <w:sz w:val="24"/>
          <w:szCs w:val="24"/>
          <w:rtl/>
        </w:rPr>
        <w:t>ם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 xml:space="preserve">: </w:t>
      </w:r>
      <w:r w:rsidR="00BF7581" w:rsidRPr="00FF216F">
        <w:rPr>
          <w:rFonts w:asciiTheme="minorHAnsi" w:hAnsiTheme="minorHAnsi" w:cstheme="minorHAnsi"/>
          <w:sz w:val="24"/>
          <w:szCs w:val="24"/>
          <w:rtl/>
        </w:rPr>
        <w:t>עיקר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 xml:space="preserve"> העלייה </w:t>
      </w:r>
      <w:r w:rsidR="00BF7581" w:rsidRPr="00FF216F">
        <w:rPr>
          <w:rFonts w:asciiTheme="minorHAnsi" w:hAnsiTheme="minorHAnsi" w:cstheme="minorHAnsi"/>
          <w:sz w:val="24"/>
          <w:szCs w:val="24"/>
          <w:rtl/>
        </w:rPr>
        <w:t>נבעה</w:t>
      </w:r>
      <w:r w:rsidR="00BF7581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647C7D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ביתרת החוב לדיור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 xml:space="preserve">, ברובה לבנקים, 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lastRenderedPageBreak/>
        <w:t xml:space="preserve">שגדלה ברביע זה בשיעור גבוה מזה של הרביע הקודם - כ- 2% לעומת 1%; </w:t>
      </w:r>
      <w:r w:rsidR="00647C7D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יתרת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47C7D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החוב לא-לדיור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00ED0" w:rsidRPr="00FF216F">
        <w:rPr>
          <w:rFonts w:asciiTheme="minorHAnsi" w:hAnsiTheme="minorHAnsi" w:cstheme="minorHAnsi"/>
          <w:sz w:val="24"/>
          <w:szCs w:val="24"/>
          <w:rtl/>
        </w:rPr>
        <w:t>גדלה ב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>כ-2 מיליארדי ש"ח</w:t>
      </w:r>
      <w:r w:rsidR="00800ED0" w:rsidRPr="00FF216F">
        <w:rPr>
          <w:rFonts w:asciiTheme="minorHAnsi" w:hAnsiTheme="minorHAnsi" w:cstheme="minorHAnsi"/>
          <w:sz w:val="24"/>
          <w:szCs w:val="24"/>
          <w:rtl/>
        </w:rPr>
        <w:t xml:space="preserve"> (0.7%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>) לכ-229 מיליארדים, וגם בה הגידול התרכז ביתרת החוב לבנקים</w:t>
      </w:r>
      <w:r w:rsidR="001F0C50" w:rsidRPr="00FF216F">
        <w:rPr>
          <w:rFonts w:asciiTheme="minorHAnsi" w:hAnsiTheme="minorHAnsi" w:cstheme="minorHAnsi"/>
          <w:sz w:val="24"/>
          <w:szCs w:val="24"/>
          <w:rtl/>
        </w:rPr>
        <w:t xml:space="preserve"> המהווה כ-72% מסך החוב לא-לדיור</w:t>
      </w:r>
      <w:r w:rsidR="00647C7D" w:rsidRPr="00FF216F">
        <w:rPr>
          <w:rFonts w:asciiTheme="minorHAnsi" w:hAnsiTheme="minorHAnsi" w:cstheme="minorHAnsi"/>
          <w:sz w:val="24"/>
          <w:szCs w:val="24"/>
          <w:rtl/>
        </w:rPr>
        <w:t xml:space="preserve">. </w:t>
      </w:r>
    </w:p>
    <w:p w:rsidR="002E4976" w:rsidRPr="00FF216F" w:rsidRDefault="009E5740" w:rsidP="009E5740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שיעור הגידול השנתי </w:t>
      </w:r>
      <w:r w:rsidR="001919A9" w:rsidRPr="00FF216F">
        <w:rPr>
          <w:rFonts w:asciiTheme="minorHAnsi" w:hAnsiTheme="minorHAnsi" w:cstheme="minorHAnsi"/>
          <w:sz w:val="24"/>
          <w:szCs w:val="24"/>
          <w:rtl/>
        </w:rPr>
        <w:t>ב</w:t>
      </w:r>
      <w:r w:rsidR="00A475D6" w:rsidRPr="00FF216F">
        <w:rPr>
          <w:rFonts w:asciiTheme="minorHAnsi" w:hAnsiTheme="minorHAnsi" w:cstheme="minorHAnsi"/>
          <w:sz w:val="24"/>
          <w:szCs w:val="24"/>
          <w:rtl/>
        </w:rPr>
        <w:t xml:space="preserve">יתרת החוב לדיור </w:t>
      </w:r>
      <w:r w:rsidR="001919A9" w:rsidRPr="00FF216F">
        <w:rPr>
          <w:rFonts w:asciiTheme="minorHAnsi" w:hAnsiTheme="minorHAnsi" w:cstheme="minorHAnsi"/>
          <w:sz w:val="24"/>
          <w:szCs w:val="24"/>
          <w:rtl/>
        </w:rPr>
        <w:t>גדל ברביע זה לכ-5%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1919A9" w:rsidRPr="00FF216F">
        <w:rPr>
          <w:rFonts w:asciiTheme="minorHAnsi" w:hAnsiTheme="minorHAnsi" w:cstheme="minorHAnsi"/>
          <w:sz w:val="24"/>
          <w:szCs w:val="24"/>
          <w:rtl/>
        </w:rPr>
        <w:t xml:space="preserve">שיעור הגידול השנתי ביתרת החוב לא לדיור </w:t>
      </w:r>
      <w:r w:rsidRPr="00FF216F">
        <w:rPr>
          <w:rFonts w:asciiTheme="minorHAnsi" w:hAnsiTheme="minorHAnsi" w:cstheme="minorHAnsi"/>
          <w:sz w:val="24"/>
          <w:szCs w:val="24"/>
          <w:rtl/>
        </w:rPr>
        <w:t>גדל גם הוא, אך נותר שלילי ו</w:t>
      </w:r>
      <w:r w:rsidR="001919A9" w:rsidRPr="00FF216F">
        <w:rPr>
          <w:rFonts w:asciiTheme="minorHAnsi" w:hAnsiTheme="minorHAnsi" w:cstheme="minorHAnsi"/>
          <w:sz w:val="24"/>
          <w:szCs w:val="24"/>
          <w:rtl/>
        </w:rPr>
        <w:t xml:space="preserve">עמד 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בסוף הרביע </w:t>
      </w:r>
      <w:r w:rsidR="001919A9" w:rsidRPr="00FF216F">
        <w:rPr>
          <w:rFonts w:asciiTheme="minorHAnsi" w:hAnsiTheme="minorHAnsi" w:cstheme="minorHAnsi"/>
          <w:sz w:val="24"/>
          <w:szCs w:val="24"/>
          <w:rtl/>
        </w:rPr>
        <w:t xml:space="preserve">על </w:t>
      </w:r>
      <w:r w:rsidR="00B95AD4" w:rsidRPr="00FF216F">
        <w:rPr>
          <w:rFonts w:asciiTheme="minorHAnsi" w:hAnsiTheme="minorHAnsi" w:cstheme="minorHAnsi"/>
          <w:sz w:val="24"/>
          <w:szCs w:val="24"/>
          <w:rtl/>
        </w:rPr>
        <w:t>כ-1%</w:t>
      </w:r>
      <w:r w:rsidR="001919A9" w:rsidRPr="00FF216F">
        <w:rPr>
          <w:rFonts w:asciiTheme="minorHAnsi" w:hAnsiTheme="minorHAnsi" w:cstheme="minorHAnsi"/>
          <w:sz w:val="24"/>
          <w:szCs w:val="24"/>
          <w:rtl/>
        </w:rPr>
        <w:t>-</w:t>
      </w:r>
      <w:r w:rsidR="00B95AD4" w:rsidRPr="00FF216F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2E4976" w:rsidRPr="00FF216F">
        <w:rPr>
          <w:rFonts w:asciiTheme="minorHAnsi" w:hAnsiTheme="minorHAnsi" w:cstheme="minorHAnsi"/>
          <w:sz w:val="24"/>
          <w:szCs w:val="24"/>
          <w:rtl/>
        </w:rPr>
        <w:t xml:space="preserve">(איור 5). </w:t>
      </w:r>
    </w:p>
    <w:p w:rsidR="00CC4BC2" w:rsidRPr="00FF216F" w:rsidRDefault="00CC4BC2" w:rsidP="00CC4BC2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>ה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>עלייה בחוב לדיור היא תוצאה של ה</w:t>
      </w:r>
      <w:r w:rsidRPr="00FF216F">
        <w:rPr>
          <w:rFonts w:asciiTheme="minorHAnsi" w:hAnsiTheme="minorHAnsi" w:cstheme="minorHAnsi"/>
          <w:sz w:val="24"/>
          <w:szCs w:val="24"/>
          <w:rtl/>
        </w:rPr>
        <w:t>תאוששות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 xml:space="preserve"> בנטילת משכנתאות חדשות מהבנקים</w:t>
      </w:r>
      <w:r w:rsidR="00800ED0" w:rsidRPr="00FF216F">
        <w:rPr>
          <w:rFonts w:asciiTheme="minorHAnsi" w:hAnsiTheme="minorHAnsi" w:cstheme="minorHAnsi"/>
          <w:sz w:val="24"/>
          <w:szCs w:val="24"/>
          <w:rtl/>
        </w:rPr>
        <w:t>, שהחלה ב</w:t>
      </w:r>
      <w:r w:rsidRPr="00FF216F">
        <w:rPr>
          <w:rFonts w:asciiTheme="minorHAnsi" w:hAnsiTheme="minorHAnsi" w:cstheme="minorHAnsi"/>
          <w:sz w:val="24"/>
          <w:szCs w:val="24"/>
          <w:rtl/>
        </w:rPr>
        <w:t>סוף שנת 2023,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 xml:space="preserve"> וה</w:t>
      </w:r>
      <w:r w:rsidR="00061F4B" w:rsidRPr="00FF216F">
        <w:rPr>
          <w:rFonts w:asciiTheme="minorHAnsi" w:hAnsiTheme="minorHAnsi" w:cstheme="minorHAnsi"/>
          <w:sz w:val="24"/>
          <w:szCs w:val="24"/>
          <w:rtl/>
        </w:rPr>
        <w:t>ן הסתכמו ב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>רביע ה</w:t>
      </w:r>
      <w:r w:rsidRPr="00FF216F">
        <w:rPr>
          <w:rFonts w:asciiTheme="minorHAnsi" w:hAnsiTheme="minorHAnsi" w:cstheme="minorHAnsi"/>
          <w:sz w:val="24"/>
          <w:szCs w:val="24"/>
          <w:rtl/>
        </w:rPr>
        <w:t>שני</w:t>
      </w:r>
      <w:r w:rsidR="00B65129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>של השנה</w:t>
      </w:r>
      <w:r w:rsidR="00B65129" w:rsidRPr="00FF216F">
        <w:rPr>
          <w:rFonts w:asciiTheme="minorHAnsi" w:hAnsiTheme="minorHAnsi" w:cstheme="minorHAnsi"/>
          <w:sz w:val="24"/>
          <w:szCs w:val="24"/>
          <w:rtl/>
        </w:rPr>
        <w:t>, לאחר ניכוי עונתיות</w:t>
      </w:r>
      <w:r w:rsidR="00777D74" w:rsidRPr="00FF216F">
        <w:rPr>
          <w:rFonts w:asciiTheme="minorHAnsi" w:hAnsiTheme="minorHAnsi" w:cstheme="minorHAnsi"/>
          <w:sz w:val="24"/>
          <w:szCs w:val="24"/>
          <w:rtl/>
        </w:rPr>
        <w:t>,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בכ-21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 xml:space="preserve"> מיליארדי ש"ח, </w:t>
      </w:r>
      <w:r w:rsidRPr="00FF216F">
        <w:rPr>
          <w:rFonts w:asciiTheme="minorHAnsi" w:hAnsiTheme="minorHAnsi" w:cstheme="minorHAnsi"/>
          <w:sz w:val="24"/>
          <w:szCs w:val="24"/>
          <w:rtl/>
        </w:rPr>
        <w:t>גבוה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 xml:space="preserve"> מהתקופה המקבילה אשתקד (כ-</w:t>
      </w:r>
      <w:r w:rsidRPr="00FF216F">
        <w:rPr>
          <w:rFonts w:asciiTheme="minorHAnsi" w:hAnsiTheme="minorHAnsi" w:cstheme="minorHAnsi"/>
          <w:sz w:val="24"/>
          <w:szCs w:val="24"/>
          <w:rtl/>
        </w:rPr>
        <w:t>17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 xml:space="preserve"> מיליארדים).</w:t>
      </w:r>
      <w:r w:rsidR="00B65129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6B0BAE" w:rsidRPr="00FF216F" w:rsidRDefault="00B65129" w:rsidP="00CC4BC2">
      <w:pPr>
        <w:pStyle w:val="a9"/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>בחודש</w:t>
      </w:r>
      <w:r w:rsidR="00CC4BC2" w:rsidRPr="00FF216F">
        <w:rPr>
          <w:rFonts w:asciiTheme="minorHAnsi" w:hAnsiTheme="minorHAnsi" w:cstheme="minorHAnsi"/>
          <w:sz w:val="24"/>
          <w:szCs w:val="24"/>
          <w:rtl/>
        </w:rPr>
        <w:t>ים יולי-אוגוסט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 xml:space="preserve"> 2024</w:t>
      </w:r>
      <w:r w:rsidR="00503C23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F216F">
        <w:rPr>
          <w:rFonts w:asciiTheme="minorHAnsi" w:hAnsiTheme="minorHAnsi" w:cstheme="minorHAnsi"/>
          <w:sz w:val="24"/>
          <w:szCs w:val="24"/>
          <w:rtl/>
        </w:rPr>
        <w:t>נ</w:t>
      </w:r>
      <w:r w:rsidR="00CC4BC2" w:rsidRPr="00FF216F">
        <w:rPr>
          <w:rFonts w:asciiTheme="minorHAnsi" w:hAnsiTheme="minorHAnsi" w:cstheme="minorHAnsi"/>
          <w:sz w:val="24"/>
          <w:szCs w:val="24"/>
          <w:rtl/>
        </w:rPr>
        <w:t>משכה העלייה,</w:t>
      </w:r>
      <w:r w:rsidRPr="00FF216F">
        <w:rPr>
          <w:rFonts w:asciiTheme="minorHAnsi" w:hAnsiTheme="minorHAnsi" w:cstheme="minorHAnsi"/>
          <w:sz w:val="24"/>
          <w:szCs w:val="24"/>
          <w:rtl/>
        </w:rPr>
        <w:t xml:space="preserve"> עונתית ברובה, בנטילת משכנתאות חדשות </w:t>
      </w:r>
      <w:r w:rsidR="001165EA" w:rsidRPr="00FF216F">
        <w:rPr>
          <w:rFonts w:asciiTheme="minorHAnsi" w:hAnsiTheme="minorHAnsi" w:cstheme="minorHAnsi"/>
          <w:sz w:val="24"/>
          <w:szCs w:val="24"/>
          <w:rtl/>
        </w:rPr>
        <w:t>ו</w:t>
      </w:r>
      <w:r w:rsidR="00E41E96" w:rsidRPr="00FF216F">
        <w:rPr>
          <w:rFonts w:asciiTheme="minorHAnsi" w:hAnsiTheme="minorHAnsi" w:cstheme="minorHAnsi"/>
          <w:sz w:val="24"/>
          <w:szCs w:val="24"/>
          <w:rtl/>
        </w:rPr>
        <w:t>הן הסתכמו</w:t>
      </w:r>
      <w:r w:rsidR="00393F9C" w:rsidRPr="00FF216F">
        <w:rPr>
          <w:rFonts w:asciiTheme="minorHAnsi" w:hAnsiTheme="minorHAnsi" w:cstheme="minorHAnsi"/>
          <w:sz w:val="24"/>
          <w:szCs w:val="24"/>
          <w:rtl/>
        </w:rPr>
        <w:t>, לאחר ניכוי עונתיות,</w:t>
      </w:r>
      <w:r w:rsidR="00985640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41E96" w:rsidRPr="00FF216F">
        <w:rPr>
          <w:rFonts w:asciiTheme="minorHAnsi" w:hAnsiTheme="minorHAnsi" w:cstheme="minorHAnsi"/>
          <w:sz w:val="24"/>
          <w:szCs w:val="24"/>
          <w:rtl/>
        </w:rPr>
        <w:t>בכ-</w:t>
      </w:r>
      <w:r w:rsidR="00CC4BC2" w:rsidRPr="00FF216F">
        <w:rPr>
          <w:rFonts w:asciiTheme="minorHAnsi" w:hAnsiTheme="minorHAnsi" w:cstheme="minorHAnsi"/>
          <w:sz w:val="24"/>
          <w:szCs w:val="24"/>
          <w:rtl/>
        </w:rPr>
        <w:t xml:space="preserve">7.5 </w:t>
      </w:r>
      <w:r w:rsidR="00E41E96" w:rsidRPr="00FF216F">
        <w:rPr>
          <w:rFonts w:asciiTheme="minorHAnsi" w:hAnsiTheme="minorHAnsi" w:cstheme="minorHAnsi"/>
          <w:sz w:val="24"/>
          <w:szCs w:val="24"/>
          <w:rtl/>
        </w:rPr>
        <w:t xml:space="preserve">מיליארדי </w:t>
      </w:r>
      <w:r w:rsidR="00CC4BC2" w:rsidRPr="00FF216F">
        <w:rPr>
          <w:rFonts w:asciiTheme="minorHAnsi" w:hAnsiTheme="minorHAnsi" w:cstheme="minorHAnsi"/>
          <w:sz w:val="24"/>
          <w:szCs w:val="24"/>
          <w:rtl/>
        </w:rPr>
        <w:t>ש"ח בממוצע לחודש</w:t>
      </w:r>
      <w:r w:rsidR="008D2040" w:rsidRPr="00FF216F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664600" w:rsidRPr="00FF216F">
        <w:rPr>
          <w:rFonts w:asciiTheme="minorHAnsi" w:hAnsiTheme="minorHAnsi" w:cstheme="minorHAnsi"/>
          <w:sz w:val="24"/>
          <w:szCs w:val="24"/>
          <w:rtl/>
        </w:rPr>
        <w:t xml:space="preserve">(איור </w:t>
      </w:r>
      <w:r w:rsidR="00DA4977" w:rsidRPr="00FF216F">
        <w:rPr>
          <w:rFonts w:asciiTheme="minorHAnsi" w:hAnsiTheme="minorHAnsi" w:cstheme="minorHAnsi"/>
          <w:sz w:val="24"/>
          <w:szCs w:val="24"/>
          <w:rtl/>
        </w:rPr>
        <w:t>6</w:t>
      </w:r>
      <w:r w:rsidR="00060D8E" w:rsidRPr="00FF216F">
        <w:rPr>
          <w:rFonts w:asciiTheme="minorHAnsi" w:hAnsiTheme="minorHAnsi" w:cstheme="minorHAnsi"/>
          <w:sz w:val="24"/>
          <w:szCs w:val="24"/>
          <w:rtl/>
        </w:rPr>
        <w:t>)</w:t>
      </w:r>
      <w:r w:rsidR="00161CB7" w:rsidRPr="00FF216F">
        <w:rPr>
          <w:rFonts w:asciiTheme="minorHAnsi" w:hAnsiTheme="minorHAnsi" w:cstheme="minorHAnsi"/>
          <w:sz w:val="24"/>
          <w:szCs w:val="24"/>
          <w:rtl/>
        </w:rPr>
        <w:t>.</w:t>
      </w:r>
    </w:p>
    <w:p w:rsidR="00FF4A03" w:rsidRPr="00FF216F" w:rsidRDefault="00FF4A03" w:rsidP="00FF4A03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E149DD" w:rsidRPr="00FF216F" w:rsidRDefault="00AC3E61" w:rsidP="00FF4A03">
      <w:pPr>
        <w:bidi/>
        <w:spacing w:line="36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לוח </w:t>
      </w:r>
      <w:r w:rsidR="00416818" w:rsidRPr="00FF216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: יתרות החוב של משקי הבית</w:t>
      </w:r>
      <w:r w:rsidRPr="00FF216F">
        <w:rPr>
          <w:rFonts w:asciiTheme="minorHAnsi" w:hAnsiTheme="minorHAnsi" w:cstheme="minorHAnsi"/>
          <w:b/>
          <w:bCs/>
          <w:sz w:val="24"/>
          <w:szCs w:val="24"/>
          <w:vertAlign w:val="superscript"/>
          <w:rtl/>
        </w:rPr>
        <w:t>1</w:t>
      </w:r>
      <w:r w:rsidR="009653F5" w:rsidRPr="00FF216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6A28" w:rsidRPr="00FF216F" w:rsidRDefault="00E21ACA" w:rsidP="00DC51E3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F216F">
        <w:rPr>
          <w:rFonts w:asciiTheme="minorHAnsi" w:hAnsiTheme="minorHAnsi" w:cstheme="minorHAnsi"/>
          <w:noProof/>
          <w:rtl/>
          <w:lang w:eastAsia="en-US"/>
        </w:rPr>
        <w:drawing>
          <wp:inline distT="0" distB="0" distL="0" distR="0">
            <wp:extent cx="5278120" cy="4844472"/>
            <wp:effectExtent l="0" t="0" r="0" b="0"/>
            <wp:docPr id="14" name="תמונה 14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FF216F" w:rsidRDefault="00D46A28" w:rsidP="00D46A28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941A49" w:rsidRPr="00FF216F" w:rsidRDefault="00941A49" w:rsidP="00D46A28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C2431" w:rsidRPr="00FF216F" w:rsidRDefault="00DC2431" w:rsidP="0007039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C2431" w:rsidRPr="00FF216F" w:rsidRDefault="00DC2431" w:rsidP="00DC243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FF216F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FF216F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FF216F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FF216F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FF216F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FF216F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FF216F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FF216F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FF216F" w:rsidRDefault="00D33B21" w:rsidP="00D33B2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FF216F" w:rsidRDefault="00D33B21" w:rsidP="00D33B2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47FBF" w:rsidRPr="00FF216F" w:rsidRDefault="00D47FBF" w:rsidP="00DC243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איור </w:t>
      </w:r>
      <w:r w:rsidR="00070391" w:rsidRPr="00FF216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C51E3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: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F619D6" w:rsidRPr="00FF216F" w:rsidRDefault="00F619D6" w:rsidP="00F619D6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10811" w:rsidRPr="00FF216F" w:rsidRDefault="00E21ACA" w:rsidP="00B33FA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F216F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0815A512">
            <wp:extent cx="5255260" cy="2731135"/>
            <wp:effectExtent l="0" t="0" r="2540" b="0"/>
            <wp:docPr id="16" name="תמונה 16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FF216F" w:rsidRDefault="00C10811" w:rsidP="00C1081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80F81" w:rsidRPr="00FF216F" w:rsidRDefault="00BF4C2E" w:rsidP="00DA4977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איור </w:t>
      </w:r>
      <w:r w:rsidR="00DA4977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6</w:t>
      </w:r>
      <w:r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: </w:t>
      </w:r>
      <w:r w:rsidR="00280F81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FF216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(משכנתאות)</w:t>
      </w:r>
    </w:p>
    <w:p w:rsidR="00005C41" w:rsidRPr="00FF216F" w:rsidRDefault="00005C41" w:rsidP="00005C4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324EF2" w:rsidRPr="00FF216F" w:rsidRDefault="00E21ACA" w:rsidP="00280F81">
      <w:pPr>
        <w:bidi/>
        <w:spacing w:line="36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  <w:r w:rsidRPr="00FF216F">
        <w:rPr>
          <w:rFonts w:asciiTheme="minorHAnsi" w:hAnsiTheme="minorHAnsi" w:cstheme="minorHAnsi"/>
          <w:noProof/>
          <w:sz w:val="24"/>
          <w:szCs w:val="24"/>
          <w:lang w:eastAsia="en-US"/>
        </w:rPr>
        <w:drawing>
          <wp:inline distT="0" distB="0" distL="0" distR="0" wp14:anchorId="5C12CFAA">
            <wp:extent cx="5248910" cy="2712720"/>
            <wp:effectExtent l="0" t="0" r="8890" b="0"/>
            <wp:docPr id="17" name="תמונה 17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FF216F" w:rsidRDefault="006B0BAE" w:rsidP="00AD6881">
      <w:pPr>
        <w:pStyle w:val="a9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  <w:r w:rsidRPr="00FF216F">
        <w:rPr>
          <w:rFonts w:asciiTheme="minorHAnsi" w:hAnsiTheme="minorHAnsi" w:cstheme="minorHAnsi"/>
          <w:sz w:val="24"/>
          <w:szCs w:val="24"/>
          <w:rtl/>
        </w:rPr>
        <w:t xml:space="preserve">ראה קישור למידע נוסף בנושא המופיע באתר הבנק בדף </w:t>
      </w:r>
      <w:hyperlink r:id="rId17" w:anchor="mainContent" w:history="1">
        <w:r w:rsidR="00631445" w:rsidRPr="00FF216F">
          <w:rPr>
            <w:rStyle w:val="Hyperlink"/>
            <w:rFonts w:asciiTheme="minorHAnsi" w:hAnsiTheme="minorHAnsi" w:cstheme="minorHAnsi"/>
            <w:sz w:val="24"/>
            <w:szCs w:val="24"/>
            <w:rtl/>
          </w:rPr>
          <w:t>יתרות האשראי במשק</w:t>
        </w:r>
      </w:hyperlink>
      <w:r w:rsidRPr="00FF216F">
        <w:rPr>
          <w:rFonts w:asciiTheme="minorHAnsi" w:hAnsiTheme="minorHAnsi" w:cstheme="minorHAnsi"/>
          <w:sz w:val="24"/>
          <w:szCs w:val="24"/>
          <w:rtl/>
        </w:rPr>
        <w:t xml:space="preserve">, קישור </w:t>
      </w:r>
      <w:hyperlink r:id="rId18" w:anchor="mainContent" w:history="1">
        <w:r w:rsidRPr="00FF216F">
          <w:rPr>
            <w:rStyle w:val="Hyperlink"/>
            <w:rFonts w:asciiTheme="minorHAnsi" w:hAnsiTheme="minorHAnsi" w:cstheme="minorHAnsi"/>
            <w:sz w:val="24"/>
            <w:szCs w:val="24"/>
            <w:rtl/>
          </w:rPr>
          <w:t>לנתוני משכנתאות</w:t>
        </w:r>
      </w:hyperlink>
      <w:r w:rsidR="00F97D41" w:rsidRPr="00FF216F">
        <w:rPr>
          <w:rFonts w:asciiTheme="minorHAnsi" w:hAnsiTheme="minorHAnsi" w:cstheme="minorHAnsi"/>
          <w:sz w:val="24"/>
          <w:szCs w:val="24"/>
          <w:rtl/>
        </w:rPr>
        <w:t xml:space="preserve">, קישור לנתוני </w:t>
      </w:r>
      <w:hyperlink r:id="rId19" w:anchor="mainContent" w:history="1">
        <w:r w:rsidR="00F97D41" w:rsidRPr="00FF216F">
          <w:rPr>
            <w:rStyle w:val="Hyperlink"/>
            <w:rFonts w:asciiTheme="minorHAnsi" w:hAnsiTheme="minorHAnsi" w:cstheme="minorHAnsi"/>
            <w:sz w:val="24"/>
            <w:szCs w:val="24"/>
            <w:rtl/>
          </w:rPr>
          <w:t>מחירים בבנקים</w:t>
        </w:r>
      </w:hyperlink>
      <w:r w:rsidR="00F97D41" w:rsidRPr="00FF216F">
        <w:rPr>
          <w:rFonts w:asciiTheme="minorHAnsi" w:hAnsiTheme="minorHAnsi" w:cstheme="minorHAnsi"/>
          <w:sz w:val="24"/>
          <w:szCs w:val="24"/>
          <w:rtl/>
        </w:rPr>
        <w:t>.</w:t>
      </w:r>
      <w:r w:rsidR="002559B7" w:rsidRPr="00FF216F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sectPr w:rsidR="00F97D41" w:rsidRPr="00FF216F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74" w:rsidRDefault="00800A74" w:rsidP="00C04A6B">
      <w:r>
        <w:separator/>
      </w:r>
    </w:p>
  </w:endnote>
  <w:endnote w:type="continuationSeparator" w:id="0">
    <w:p w:rsidR="00800A74" w:rsidRDefault="00800A7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David" w:hAnsi="David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84639" w:rsidRDefault="00507193" w:rsidP="00ED128A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David" w:hAnsi="David" w:cs="David"/>
                <w:sz w:val="24"/>
                <w:szCs w:val="24"/>
                <w:rtl/>
                <w:cs/>
              </w:rPr>
            </w:pP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ED128A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השני</w:t>
            </w:r>
            <w:r w:rsidR="00DD77B1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DD77B1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2024</w:t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PAGE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2F1784">
              <w:rPr>
                <w:rFonts w:ascii="David" w:hAnsi="David" w:cs="David"/>
                <w:noProof/>
                <w:sz w:val="24"/>
                <w:szCs w:val="24"/>
                <w:rtl/>
              </w:rPr>
              <w:t>6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NUMPAGES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2F1784">
              <w:rPr>
                <w:rFonts w:ascii="David" w:hAnsi="David" w:cs="David"/>
                <w:noProof/>
                <w:sz w:val="24"/>
                <w:szCs w:val="24"/>
                <w:rtl/>
              </w:rPr>
              <w:t>7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74" w:rsidRDefault="00800A74" w:rsidP="00C04A6B">
      <w:r>
        <w:separator/>
      </w:r>
    </w:p>
  </w:footnote>
  <w:footnote w:type="continuationSeparator" w:id="0">
    <w:p w:rsidR="00800A74" w:rsidRDefault="00800A74" w:rsidP="00C04A6B">
      <w:r>
        <w:continuationSeparator/>
      </w:r>
    </w:p>
  </w:footnote>
  <w:footnote w:id="1">
    <w:p w:rsidR="00474B96" w:rsidRPr="00C84639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C84639">
        <w:rPr>
          <w:rStyle w:val="af1"/>
          <w:rFonts w:ascii="David" w:hAnsi="David" w:cs="David"/>
          <w:sz w:val="22"/>
          <w:szCs w:val="22"/>
        </w:rPr>
        <w:footnoteRef/>
      </w:r>
      <w:r w:rsidRPr="00C84639">
        <w:rPr>
          <w:rFonts w:ascii="David" w:hAnsi="David" w:cs="David"/>
          <w:sz w:val="22"/>
          <w:szCs w:val="22"/>
        </w:rPr>
        <w:t xml:space="preserve"> </w:t>
      </w:r>
      <w:r w:rsidR="00DC263E" w:rsidRPr="00C84639">
        <w:rPr>
          <w:rFonts w:ascii="David" w:hAnsi="David" w:cs="David"/>
          <w:rtl/>
        </w:rPr>
        <w:t xml:space="preserve">חברות עסקיות ישראליות, </w:t>
      </w:r>
      <w:r w:rsidRPr="00C84639">
        <w:rPr>
          <w:rFonts w:ascii="David" w:hAnsi="David" w:cs="David"/>
          <w:rtl/>
        </w:rPr>
        <w:t>ללא בנקים, חברות כרטיסי אשראי וחברות ביטוח.</w:t>
      </w:r>
    </w:p>
  </w:footnote>
  <w:footnote w:id="2">
    <w:p w:rsidR="00BB1C9E" w:rsidRPr="00E21C13" w:rsidRDefault="00BB1C9E" w:rsidP="00BB1C9E">
      <w:pPr>
        <w:pStyle w:val="af"/>
        <w:bidi/>
        <w:rPr>
          <w:rFonts w:asciiTheme="minorBidi" w:hAnsiTheme="minorBidi" w:cstheme="minorBidi"/>
          <w:rtl/>
        </w:rPr>
      </w:pPr>
      <w:r w:rsidRPr="00C84639">
        <w:rPr>
          <w:rStyle w:val="af1"/>
          <w:rFonts w:ascii="David" w:hAnsi="David" w:cs="David"/>
        </w:rPr>
        <w:footnoteRef/>
      </w:r>
      <w:r w:rsidRPr="00C84639">
        <w:rPr>
          <w:rFonts w:ascii="David" w:hAnsi="David" w:cs="David"/>
          <w:rtl/>
        </w:rPr>
        <w:t xml:space="preserve"> יתרות צמודות מדד מחושבות לפי מדד ידוע בעת עריכת הדוחות הכספיים, על כן שינוי במדד המחירים מתייחס לשינוי בין מדד ידוע לבין המדד בחודש שקדם לו.</w:t>
      </w:r>
    </w:p>
  </w:footnote>
  <w:footnote w:id="3">
    <w:p w:rsidR="00884ED4" w:rsidRPr="00CB7E9A" w:rsidRDefault="00884ED4" w:rsidP="00886C7A">
      <w:pPr>
        <w:pStyle w:val="af"/>
        <w:bidi/>
        <w:rPr>
          <w:rFonts w:ascii="David" w:hAnsi="David" w:cs="David"/>
        </w:rPr>
      </w:pPr>
      <w:r w:rsidRPr="00CB7E9A">
        <w:rPr>
          <w:rStyle w:val="af1"/>
          <w:rFonts w:ascii="David" w:hAnsi="David" w:cs="David"/>
          <w:sz w:val="22"/>
          <w:szCs w:val="22"/>
        </w:rPr>
        <w:footnoteRef/>
      </w:r>
      <w:r w:rsidRPr="00CB7E9A">
        <w:rPr>
          <w:rFonts w:ascii="David" w:hAnsi="David" w:cs="David"/>
          <w:sz w:val="22"/>
          <w:szCs w:val="22"/>
        </w:rPr>
        <w:t xml:space="preserve"> </w:t>
      </w:r>
      <w:r w:rsidR="00886C7A" w:rsidRPr="00CB7E9A">
        <w:rPr>
          <w:rFonts w:ascii="David" w:hAnsi="David" w:cs="David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F7CE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440A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919C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033"/>
    <w:rsid w:val="00001B6B"/>
    <w:rsid w:val="0000479D"/>
    <w:rsid w:val="00005682"/>
    <w:rsid w:val="00005C41"/>
    <w:rsid w:val="00006F5F"/>
    <w:rsid w:val="00007BB3"/>
    <w:rsid w:val="00011D14"/>
    <w:rsid w:val="0001318A"/>
    <w:rsid w:val="00015411"/>
    <w:rsid w:val="0001661B"/>
    <w:rsid w:val="00016772"/>
    <w:rsid w:val="00016D86"/>
    <w:rsid w:val="00017279"/>
    <w:rsid w:val="00017E48"/>
    <w:rsid w:val="00020DFD"/>
    <w:rsid w:val="00022AB8"/>
    <w:rsid w:val="00025DCF"/>
    <w:rsid w:val="000265B2"/>
    <w:rsid w:val="00026A8C"/>
    <w:rsid w:val="00027743"/>
    <w:rsid w:val="0003169C"/>
    <w:rsid w:val="00031B67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2923"/>
    <w:rsid w:val="0005330D"/>
    <w:rsid w:val="000533F4"/>
    <w:rsid w:val="00053684"/>
    <w:rsid w:val="0005562A"/>
    <w:rsid w:val="00060B8A"/>
    <w:rsid w:val="00060D8E"/>
    <w:rsid w:val="00061B2A"/>
    <w:rsid w:val="00061F4B"/>
    <w:rsid w:val="0006247F"/>
    <w:rsid w:val="000624C1"/>
    <w:rsid w:val="000630AB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712F"/>
    <w:rsid w:val="00077991"/>
    <w:rsid w:val="000812AB"/>
    <w:rsid w:val="00081313"/>
    <w:rsid w:val="000822C2"/>
    <w:rsid w:val="00083913"/>
    <w:rsid w:val="00083DA6"/>
    <w:rsid w:val="00084689"/>
    <w:rsid w:val="00084BA4"/>
    <w:rsid w:val="00085BE0"/>
    <w:rsid w:val="000868CC"/>
    <w:rsid w:val="000874C1"/>
    <w:rsid w:val="000911D7"/>
    <w:rsid w:val="000915A6"/>
    <w:rsid w:val="0009315D"/>
    <w:rsid w:val="00097E8B"/>
    <w:rsid w:val="000A0E51"/>
    <w:rsid w:val="000A4B97"/>
    <w:rsid w:val="000A4C37"/>
    <w:rsid w:val="000A588A"/>
    <w:rsid w:val="000B083E"/>
    <w:rsid w:val="000B190F"/>
    <w:rsid w:val="000B1CB8"/>
    <w:rsid w:val="000B2F20"/>
    <w:rsid w:val="000B43AC"/>
    <w:rsid w:val="000B64F2"/>
    <w:rsid w:val="000B6B82"/>
    <w:rsid w:val="000B7AE3"/>
    <w:rsid w:val="000B7D5E"/>
    <w:rsid w:val="000C02AD"/>
    <w:rsid w:val="000C1DB1"/>
    <w:rsid w:val="000C22E5"/>
    <w:rsid w:val="000C3065"/>
    <w:rsid w:val="000C62F4"/>
    <w:rsid w:val="000D04D7"/>
    <w:rsid w:val="000D2923"/>
    <w:rsid w:val="000D4F03"/>
    <w:rsid w:val="000D62CC"/>
    <w:rsid w:val="000D756E"/>
    <w:rsid w:val="000E2E0B"/>
    <w:rsid w:val="000E3992"/>
    <w:rsid w:val="000E3B3B"/>
    <w:rsid w:val="000E3F1A"/>
    <w:rsid w:val="000E45F2"/>
    <w:rsid w:val="000E488B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0FBE"/>
    <w:rsid w:val="0010106E"/>
    <w:rsid w:val="00102BB4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65EA"/>
    <w:rsid w:val="0011712D"/>
    <w:rsid w:val="001178ED"/>
    <w:rsid w:val="00117C7B"/>
    <w:rsid w:val="00120538"/>
    <w:rsid w:val="00121197"/>
    <w:rsid w:val="0012175B"/>
    <w:rsid w:val="00121FF7"/>
    <w:rsid w:val="00125E7E"/>
    <w:rsid w:val="00127335"/>
    <w:rsid w:val="00127A67"/>
    <w:rsid w:val="00127CE7"/>
    <w:rsid w:val="00130EF4"/>
    <w:rsid w:val="0013147B"/>
    <w:rsid w:val="001316A1"/>
    <w:rsid w:val="001329B0"/>
    <w:rsid w:val="00132A42"/>
    <w:rsid w:val="00137006"/>
    <w:rsid w:val="001371A8"/>
    <w:rsid w:val="0013752D"/>
    <w:rsid w:val="001400D2"/>
    <w:rsid w:val="001428C6"/>
    <w:rsid w:val="001431B5"/>
    <w:rsid w:val="00143BC9"/>
    <w:rsid w:val="00144AA6"/>
    <w:rsid w:val="00146694"/>
    <w:rsid w:val="001503F7"/>
    <w:rsid w:val="001510D4"/>
    <w:rsid w:val="0015398D"/>
    <w:rsid w:val="00153AFA"/>
    <w:rsid w:val="001543AD"/>
    <w:rsid w:val="00154A18"/>
    <w:rsid w:val="0015588B"/>
    <w:rsid w:val="00155BCE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56"/>
    <w:rsid w:val="00177686"/>
    <w:rsid w:val="00180E8A"/>
    <w:rsid w:val="00182968"/>
    <w:rsid w:val="0018611E"/>
    <w:rsid w:val="00186495"/>
    <w:rsid w:val="0018670E"/>
    <w:rsid w:val="0019015A"/>
    <w:rsid w:val="001909E1"/>
    <w:rsid w:val="001919A9"/>
    <w:rsid w:val="00193A25"/>
    <w:rsid w:val="001943E3"/>
    <w:rsid w:val="00194480"/>
    <w:rsid w:val="001945CE"/>
    <w:rsid w:val="00195BBF"/>
    <w:rsid w:val="0019703C"/>
    <w:rsid w:val="001B15F7"/>
    <w:rsid w:val="001B3789"/>
    <w:rsid w:val="001B3C3C"/>
    <w:rsid w:val="001B449D"/>
    <w:rsid w:val="001B5224"/>
    <w:rsid w:val="001B66C5"/>
    <w:rsid w:val="001B7F02"/>
    <w:rsid w:val="001C147B"/>
    <w:rsid w:val="001C3A62"/>
    <w:rsid w:val="001C5132"/>
    <w:rsid w:val="001C5C40"/>
    <w:rsid w:val="001C6A2A"/>
    <w:rsid w:val="001D0A90"/>
    <w:rsid w:val="001D0BF2"/>
    <w:rsid w:val="001D0E31"/>
    <w:rsid w:val="001D1D97"/>
    <w:rsid w:val="001D364B"/>
    <w:rsid w:val="001D3779"/>
    <w:rsid w:val="001D4219"/>
    <w:rsid w:val="001D5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E7FA8"/>
    <w:rsid w:val="001F0454"/>
    <w:rsid w:val="001F0A9C"/>
    <w:rsid w:val="001F0C50"/>
    <w:rsid w:val="001F1E1B"/>
    <w:rsid w:val="001F337A"/>
    <w:rsid w:val="001F436F"/>
    <w:rsid w:val="001F4B92"/>
    <w:rsid w:val="001F50C9"/>
    <w:rsid w:val="001F529C"/>
    <w:rsid w:val="00200A24"/>
    <w:rsid w:val="00201C46"/>
    <w:rsid w:val="002034FF"/>
    <w:rsid w:val="0020745C"/>
    <w:rsid w:val="00207836"/>
    <w:rsid w:val="002078CD"/>
    <w:rsid w:val="00207EF6"/>
    <w:rsid w:val="00210333"/>
    <w:rsid w:val="00210E2D"/>
    <w:rsid w:val="0021293F"/>
    <w:rsid w:val="00214D6B"/>
    <w:rsid w:val="00215BB4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C3D"/>
    <w:rsid w:val="00224F08"/>
    <w:rsid w:val="00225651"/>
    <w:rsid w:val="00225A4F"/>
    <w:rsid w:val="00226D37"/>
    <w:rsid w:val="00227BB9"/>
    <w:rsid w:val="0023142A"/>
    <w:rsid w:val="002318C9"/>
    <w:rsid w:val="002319C1"/>
    <w:rsid w:val="00237314"/>
    <w:rsid w:val="00242FFE"/>
    <w:rsid w:val="002430F6"/>
    <w:rsid w:val="002438E2"/>
    <w:rsid w:val="00244ABC"/>
    <w:rsid w:val="00244CD6"/>
    <w:rsid w:val="00246382"/>
    <w:rsid w:val="00246DFF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2BEB"/>
    <w:rsid w:val="00263083"/>
    <w:rsid w:val="00264230"/>
    <w:rsid w:val="00265361"/>
    <w:rsid w:val="00266DC3"/>
    <w:rsid w:val="00270769"/>
    <w:rsid w:val="0027192B"/>
    <w:rsid w:val="00272075"/>
    <w:rsid w:val="002725AB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97AC5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A7C01"/>
    <w:rsid w:val="002B0D33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A59"/>
    <w:rsid w:val="002D0BB5"/>
    <w:rsid w:val="002D0FD7"/>
    <w:rsid w:val="002D1779"/>
    <w:rsid w:val="002D3C1F"/>
    <w:rsid w:val="002D55C7"/>
    <w:rsid w:val="002D5D55"/>
    <w:rsid w:val="002D690B"/>
    <w:rsid w:val="002E016D"/>
    <w:rsid w:val="002E1283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1784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2C1F"/>
    <w:rsid w:val="00333F8E"/>
    <w:rsid w:val="0033491E"/>
    <w:rsid w:val="00335B61"/>
    <w:rsid w:val="00340B38"/>
    <w:rsid w:val="0034285A"/>
    <w:rsid w:val="00342DC4"/>
    <w:rsid w:val="003439F5"/>
    <w:rsid w:val="00344B00"/>
    <w:rsid w:val="00347905"/>
    <w:rsid w:val="0035070F"/>
    <w:rsid w:val="003509EF"/>
    <w:rsid w:val="00351EF0"/>
    <w:rsid w:val="00352779"/>
    <w:rsid w:val="0035292B"/>
    <w:rsid w:val="00352E42"/>
    <w:rsid w:val="003537B9"/>
    <w:rsid w:val="003576B2"/>
    <w:rsid w:val="00357818"/>
    <w:rsid w:val="00362735"/>
    <w:rsid w:val="00363D6A"/>
    <w:rsid w:val="003641D5"/>
    <w:rsid w:val="003643DB"/>
    <w:rsid w:val="003645A9"/>
    <w:rsid w:val="00364AB7"/>
    <w:rsid w:val="00365379"/>
    <w:rsid w:val="003657E7"/>
    <w:rsid w:val="00365E04"/>
    <w:rsid w:val="00366DB6"/>
    <w:rsid w:val="003700E8"/>
    <w:rsid w:val="00370901"/>
    <w:rsid w:val="00370E38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85D3E"/>
    <w:rsid w:val="003901E0"/>
    <w:rsid w:val="00390EEB"/>
    <w:rsid w:val="00391D6C"/>
    <w:rsid w:val="003928D7"/>
    <w:rsid w:val="003938AB"/>
    <w:rsid w:val="00393DF4"/>
    <w:rsid w:val="00393F9C"/>
    <w:rsid w:val="00395B72"/>
    <w:rsid w:val="00395C51"/>
    <w:rsid w:val="00395C57"/>
    <w:rsid w:val="003A0061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B7A1D"/>
    <w:rsid w:val="003C51A6"/>
    <w:rsid w:val="003C751F"/>
    <w:rsid w:val="003D04A2"/>
    <w:rsid w:val="003D06D2"/>
    <w:rsid w:val="003D075F"/>
    <w:rsid w:val="003D54D0"/>
    <w:rsid w:val="003E05CD"/>
    <w:rsid w:val="003E0B37"/>
    <w:rsid w:val="003E0E1D"/>
    <w:rsid w:val="003E0F88"/>
    <w:rsid w:val="003E2965"/>
    <w:rsid w:val="003E3AEF"/>
    <w:rsid w:val="003E3E81"/>
    <w:rsid w:val="003E4002"/>
    <w:rsid w:val="003E57B2"/>
    <w:rsid w:val="003E68CF"/>
    <w:rsid w:val="003F12AD"/>
    <w:rsid w:val="003F1530"/>
    <w:rsid w:val="003F1CD9"/>
    <w:rsid w:val="003F1F03"/>
    <w:rsid w:val="003F240A"/>
    <w:rsid w:val="003F39B8"/>
    <w:rsid w:val="003F4002"/>
    <w:rsid w:val="003F454D"/>
    <w:rsid w:val="003F728C"/>
    <w:rsid w:val="00400630"/>
    <w:rsid w:val="004024AB"/>
    <w:rsid w:val="00402A67"/>
    <w:rsid w:val="00406618"/>
    <w:rsid w:val="00406F28"/>
    <w:rsid w:val="00410DE0"/>
    <w:rsid w:val="0041358A"/>
    <w:rsid w:val="004146D6"/>
    <w:rsid w:val="00416818"/>
    <w:rsid w:val="004169F7"/>
    <w:rsid w:val="004175C9"/>
    <w:rsid w:val="00417C8B"/>
    <w:rsid w:val="00417CF1"/>
    <w:rsid w:val="00420F93"/>
    <w:rsid w:val="00421914"/>
    <w:rsid w:val="00422392"/>
    <w:rsid w:val="00424BF3"/>
    <w:rsid w:val="00426001"/>
    <w:rsid w:val="004268D2"/>
    <w:rsid w:val="00426A9C"/>
    <w:rsid w:val="00430C72"/>
    <w:rsid w:val="0043226F"/>
    <w:rsid w:val="00434DF5"/>
    <w:rsid w:val="00440BC4"/>
    <w:rsid w:val="00443C50"/>
    <w:rsid w:val="004442FD"/>
    <w:rsid w:val="00444F7C"/>
    <w:rsid w:val="0044713E"/>
    <w:rsid w:val="004474C7"/>
    <w:rsid w:val="0045197C"/>
    <w:rsid w:val="00453DD1"/>
    <w:rsid w:val="0045413E"/>
    <w:rsid w:val="00454BFC"/>
    <w:rsid w:val="00457394"/>
    <w:rsid w:val="004574EB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75350"/>
    <w:rsid w:val="004800EA"/>
    <w:rsid w:val="004806BA"/>
    <w:rsid w:val="00480FFC"/>
    <w:rsid w:val="00482D0E"/>
    <w:rsid w:val="00482D72"/>
    <w:rsid w:val="00484208"/>
    <w:rsid w:val="00485E7B"/>
    <w:rsid w:val="00485FEA"/>
    <w:rsid w:val="00491392"/>
    <w:rsid w:val="00492D70"/>
    <w:rsid w:val="00493882"/>
    <w:rsid w:val="00497BD0"/>
    <w:rsid w:val="004A41A6"/>
    <w:rsid w:val="004A4D65"/>
    <w:rsid w:val="004A4D9B"/>
    <w:rsid w:val="004A56B9"/>
    <w:rsid w:val="004A5B22"/>
    <w:rsid w:val="004A6D8C"/>
    <w:rsid w:val="004B051B"/>
    <w:rsid w:val="004B0707"/>
    <w:rsid w:val="004B22E7"/>
    <w:rsid w:val="004B3ECC"/>
    <w:rsid w:val="004B4238"/>
    <w:rsid w:val="004B58B8"/>
    <w:rsid w:val="004B5D8D"/>
    <w:rsid w:val="004B6112"/>
    <w:rsid w:val="004B6281"/>
    <w:rsid w:val="004B6405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69E"/>
    <w:rsid w:val="004E5ED7"/>
    <w:rsid w:val="004E6C07"/>
    <w:rsid w:val="004F06E0"/>
    <w:rsid w:val="004F11E4"/>
    <w:rsid w:val="004F16EA"/>
    <w:rsid w:val="004F185A"/>
    <w:rsid w:val="004F1EB9"/>
    <w:rsid w:val="004F3279"/>
    <w:rsid w:val="004F3600"/>
    <w:rsid w:val="004F426F"/>
    <w:rsid w:val="004F4C1F"/>
    <w:rsid w:val="004F4E43"/>
    <w:rsid w:val="004F75E3"/>
    <w:rsid w:val="0050090B"/>
    <w:rsid w:val="00502068"/>
    <w:rsid w:val="00502294"/>
    <w:rsid w:val="00503C23"/>
    <w:rsid w:val="00503CF8"/>
    <w:rsid w:val="005042A9"/>
    <w:rsid w:val="0050443A"/>
    <w:rsid w:val="005059C7"/>
    <w:rsid w:val="00507193"/>
    <w:rsid w:val="00507235"/>
    <w:rsid w:val="00510ABA"/>
    <w:rsid w:val="005119D1"/>
    <w:rsid w:val="00512F84"/>
    <w:rsid w:val="00513779"/>
    <w:rsid w:val="00513C0C"/>
    <w:rsid w:val="00513E5C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2EF"/>
    <w:rsid w:val="005324CF"/>
    <w:rsid w:val="00532713"/>
    <w:rsid w:val="005328F1"/>
    <w:rsid w:val="00534C99"/>
    <w:rsid w:val="005361DC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184B"/>
    <w:rsid w:val="00584275"/>
    <w:rsid w:val="0058468A"/>
    <w:rsid w:val="00585612"/>
    <w:rsid w:val="005861E2"/>
    <w:rsid w:val="00586F2A"/>
    <w:rsid w:val="0059006A"/>
    <w:rsid w:val="005913CE"/>
    <w:rsid w:val="00591B6A"/>
    <w:rsid w:val="005921D5"/>
    <w:rsid w:val="005927B2"/>
    <w:rsid w:val="005951B2"/>
    <w:rsid w:val="005958D0"/>
    <w:rsid w:val="00596389"/>
    <w:rsid w:val="00596E1D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0B"/>
    <w:rsid w:val="005D012F"/>
    <w:rsid w:val="005D0E2A"/>
    <w:rsid w:val="005D6B64"/>
    <w:rsid w:val="005D7985"/>
    <w:rsid w:val="005E03D1"/>
    <w:rsid w:val="005E1185"/>
    <w:rsid w:val="005E2DFC"/>
    <w:rsid w:val="005E409F"/>
    <w:rsid w:val="005E40CD"/>
    <w:rsid w:val="005E6AF0"/>
    <w:rsid w:val="005E77A7"/>
    <w:rsid w:val="005E7841"/>
    <w:rsid w:val="005F2819"/>
    <w:rsid w:val="005F2C26"/>
    <w:rsid w:val="005F482A"/>
    <w:rsid w:val="005F663A"/>
    <w:rsid w:val="005F7B30"/>
    <w:rsid w:val="00600143"/>
    <w:rsid w:val="00600591"/>
    <w:rsid w:val="0060154B"/>
    <w:rsid w:val="006028EA"/>
    <w:rsid w:val="00602952"/>
    <w:rsid w:val="00602DED"/>
    <w:rsid w:val="006038EA"/>
    <w:rsid w:val="006042F7"/>
    <w:rsid w:val="0060434F"/>
    <w:rsid w:val="006043D4"/>
    <w:rsid w:val="00604E10"/>
    <w:rsid w:val="00605B3E"/>
    <w:rsid w:val="00612DAA"/>
    <w:rsid w:val="00613223"/>
    <w:rsid w:val="00614095"/>
    <w:rsid w:val="006176B8"/>
    <w:rsid w:val="006212AD"/>
    <w:rsid w:val="006219DA"/>
    <w:rsid w:val="00622E34"/>
    <w:rsid w:val="00624066"/>
    <w:rsid w:val="00624A20"/>
    <w:rsid w:val="00624C40"/>
    <w:rsid w:val="00626A71"/>
    <w:rsid w:val="00631445"/>
    <w:rsid w:val="00631A91"/>
    <w:rsid w:val="006321B1"/>
    <w:rsid w:val="00632F81"/>
    <w:rsid w:val="00633FBB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47C7D"/>
    <w:rsid w:val="00650A9D"/>
    <w:rsid w:val="006521F9"/>
    <w:rsid w:val="00652294"/>
    <w:rsid w:val="006545EB"/>
    <w:rsid w:val="00656E22"/>
    <w:rsid w:val="0065738D"/>
    <w:rsid w:val="006635BB"/>
    <w:rsid w:val="00663A42"/>
    <w:rsid w:val="00664600"/>
    <w:rsid w:val="00664A0B"/>
    <w:rsid w:val="00665A1C"/>
    <w:rsid w:val="0066628A"/>
    <w:rsid w:val="0066738B"/>
    <w:rsid w:val="006677B2"/>
    <w:rsid w:val="00670D97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27D2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09F"/>
    <w:rsid w:val="006B624E"/>
    <w:rsid w:val="006B6ACF"/>
    <w:rsid w:val="006B6CFA"/>
    <w:rsid w:val="006C01FB"/>
    <w:rsid w:val="006C165A"/>
    <w:rsid w:val="006C1BE6"/>
    <w:rsid w:val="006C1D55"/>
    <w:rsid w:val="006C27C7"/>
    <w:rsid w:val="006C5ACA"/>
    <w:rsid w:val="006C76C4"/>
    <w:rsid w:val="006C7A06"/>
    <w:rsid w:val="006C7F16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2BD3"/>
    <w:rsid w:val="006E4F10"/>
    <w:rsid w:val="006E56BA"/>
    <w:rsid w:val="006E6726"/>
    <w:rsid w:val="006E7116"/>
    <w:rsid w:val="006E7BF6"/>
    <w:rsid w:val="006F0620"/>
    <w:rsid w:val="006F3512"/>
    <w:rsid w:val="006F41F7"/>
    <w:rsid w:val="006F51DB"/>
    <w:rsid w:val="006F5E34"/>
    <w:rsid w:val="0070161A"/>
    <w:rsid w:val="007037CB"/>
    <w:rsid w:val="00704013"/>
    <w:rsid w:val="007102C4"/>
    <w:rsid w:val="0071464F"/>
    <w:rsid w:val="0071466B"/>
    <w:rsid w:val="00715807"/>
    <w:rsid w:val="0071581F"/>
    <w:rsid w:val="0071617D"/>
    <w:rsid w:val="00716EF2"/>
    <w:rsid w:val="00717F4B"/>
    <w:rsid w:val="00720923"/>
    <w:rsid w:val="00720EA1"/>
    <w:rsid w:val="00725208"/>
    <w:rsid w:val="00725739"/>
    <w:rsid w:val="00727054"/>
    <w:rsid w:val="00734994"/>
    <w:rsid w:val="00737106"/>
    <w:rsid w:val="00737755"/>
    <w:rsid w:val="00742DCE"/>
    <w:rsid w:val="00744056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1AF4"/>
    <w:rsid w:val="007743BA"/>
    <w:rsid w:val="0077544B"/>
    <w:rsid w:val="0077670A"/>
    <w:rsid w:val="00777113"/>
    <w:rsid w:val="0077779F"/>
    <w:rsid w:val="00777D74"/>
    <w:rsid w:val="00777E3F"/>
    <w:rsid w:val="00780CEE"/>
    <w:rsid w:val="00781240"/>
    <w:rsid w:val="00782BBF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A4728"/>
    <w:rsid w:val="007A5854"/>
    <w:rsid w:val="007A6AB3"/>
    <w:rsid w:val="007B1313"/>
    <w:rsid w:val="007B174B"/>
    <w:rsid w:val="007B314B"/>
    <w:rsid w:val="007B338C"/>
    <w:rsid w:val="007B3B40"/>
    <w:rsid w:val="007B3BC5"/>
    <w:rsid w:val="007B45DE"/>
    <w:rsid w:val="007B6206"/>
    <w:rsid w:val="007B78E0"/>
    <w:rsid w:val="007C0A47"/>
    <w:rsid w:val="007C2446"/>
    <w:rsid w:val="007C26CE"/>
    <w:rsid w:val="007C30EE"/>
    <w:rsid w:val="007C3769"/>
    <w:rsid w:val="007C4233"/>
    <w:rsid w:val="007C639F"/>
    <w:rsid w:val="007C661B"/>
    <w:rsid w:val="007C7285"/>
    <w:rsid w:val="007C7975"/>
    <w:rsid w:val="007D0D18"/>
    <w:rsid w:val="007D0EF4"/>
    <w:rsid w:val="007D218D"/>
    <w:rsid w:val="007D32BF"/>
    <w:rsid w:val="007D4AC3"/>
    <w:rsid w:val="007D7745"/>
    <w:rsid w:val="007D7D86"/>
    <w:rsid w:val="007E00A1"/>
    <w:rsid w:val="007E0E80"/>
    <w:rsid w:val="007E13A9"/>
    <w:rsid w:val="007E14D9"/>
    <w:rsid w:val="007E18EE"/>
    <w:rsid w:val="007E3786"/>
    <w:rsid w:val="007E3BC5"/>
    <w:rsid w:val="007E5070"/>
    <w:rsid w:val="007E72DA"/>
    <w:rsid w:val="007E7A16"/>
    <w:rsid w:val="007F12DE"/>
    <w:rsid w:val="007F1C5D"/>
    <w:rsid w:val="007F1D05"/>
    <w:rsid w:val="007F21C2"/>
    <w:rsid w:val="007F2CEB"/>
    <w:rsid w:val="007F3842"/>
    <w:rsid w:val="007F4782"/>
    <w:rsid w:val="007F5009"/>
    <w:rsid w:val="007F5A16"/>
    <w:rsid w:val="007F6557"/>
    <w:rsid w:val="007F7A89"/>
    <w:rsid w:val="00800A74"/>
    <w:rsid w:val="00800A7C"/>
    <w:rsid w:val="00800ED0"/>
    <w:rsid w:val="00802DD5"/>
    <w:rsid w:val="00802DF3"/>
    <w:rsid w:val="00804AEF"/>
    <w:rsid w:val="008065E2"/>
    <w:rsid w:val="00806850"/>
    <w:rsid w:val="00806A3F"/>
    <w:rsid w:val="00807054"/>
    <w:rsid w:val="00807B4F"/>
    <w:rsid w:val="00807B89"/>
    <w:rsid w:val="00807D1A"/>
    <w:rsid w:val="00810F85"/>
    <w:rsid w:val="00811358"/>
    <w:rsid w:val="008121D7"/>
    <w:rsid w:val="00813293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35FC5"/>
    <w:rsid w:val="00840CF4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4F79"/>
    <w:rsid w:val="0086574C"/>
    <w:rsid w:val="00872529"/>
    <w:rsid w:val="008737F5"/>
    <w:rsid w:val="0087446B"/>
    <w:rsid w:val="00877900"/>
    <w:rsid w:val="00877EDF"/>
    <w:rsid w:val="00880799"/>
    <w:rsid w:val="00880DF0"/>
    <w:rsid w:val="00880E20"/>
    <w:rsid w:val="00881187"/>
    <w:rsid w:val="00881EF7"/>
    <w:rsid w:val="00882DAC"/>
    <w:rsid w:val="00882FBA"/>
    <w:rsid w:val="0088314F"/>
    <w:rsid w:val="00883762"/>
    <w:rsid w:val="00883CDA"/>
    <w:rsid w:val="008842DA"/>
    <w:rsid w:val="00884ED4"/>
    <w:rsid w:val="008856C1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A6ABB"/>
    <w:rsid w:val="008B0765"/>
    <w:rsid w:val="008B10B8"/>
    <w:rsid w:val="008B217D"/>
    <w:rsid w:val="008B29D4"/>
    <w:rsid w:val="008B2B4C"/>
    <w:rsid w:val="008B3B63"/>
    <w:rsid w:val="008B3E70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0"/>
    <w:rsid w:val="008D204A"/>
    <w:rsid w:val="008D2477"/>
    <w:rsid w:val="008D2EA6"/>
    <w:rsid w:val="008D5AD7"/>
    <w:rsid w:val="008D68DB"/>
    <w:rsid w:val="008E02A8"/>
    <w:rsid w:val="008E0911"/>
    <w:rsid w:val="008E2AE6"/>
    <w:rsid w:val="008E43B6"/>
    <w:rsid w:val="008E4D5D"/>
    <w:rsid w:val="008E50B1"/>
    <w:rsid w:val="008E7A02"/>
    <w:rsid w:val="008F47C4"/>
    <w:rsid w:val="0090225A"/>
    <w:rsid w:val="00902402"/>
    <w:rsid w:val="0090346B"/>
    <w:rsid w:val="009047EF"/>
    <w:rsid w:val="009048BA"/>
    <w:rsid w:val="009050FC"/>
    <w:rsid w:val="009065F1"/>
    <w:rsid w:val="00906D59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11DC"/>
    <w:rsid w:val="00922F51"/>
    <w:rsid w:val="0092302A"/>
    <w:rsid w:val="00923125"/>
    <w:rsid w:val="009231C3"/>
    <w:rsid w:val="00924FF5"/>
    <w:rsid w:val="00925F5D"/>
    <w:rsid w:val="009266DA"/>
    <w:rsid w:val="009303F4"/>
    <w:rsid w:val="00930697"/>
    <w:rsid w:val="009311DE"/>
    <w:rsid w:val="00933604"/>
    <w:rsid w:val="00934D15"/>
    <w:rsid w:val="009377C5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575CC"/>
    <w:rsid w:val="00961EFC"/>
    <w:rsid w:val="00962CB1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1C6"/>
    <w:rsid w:val="00983A26"/>
    <w:rsid w:val="00984D63"/>
    <w:rsid w:val="00985045"/>
    <w:rsid w:val="00985640"/>
    <w:rsid w:val="00985852"/>
    <w:rsid w:val="00985B74"/>
    <w:rsid w:val="0099010D"/>
    <w:rsid w:val="00990157"/>
    <w:rsid w:val="009902A4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183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29EB"/>
    <w:rsid w:val="009D3E91"/>
    <w:rsid w:val="009D50D9"/>
    <w:rsid w:val="009D64F7"/>
    <w:rsid w:val="009D7C8B"/>
    <w:rsid w:val="009E07BE"/>
    <w:rsid w:val="009E1076"/>
    <w:rsid w:val="009E5740"/>
    <w:rsid w:val="009E58EA"/>
    <w:rsid w:val="009E64E6"/>
    <w:rsid w:val="009E764C"/>
    <w:rsid w:val="009F47F7"/>
    <w:rsid w:val="009F574F"/>
    <w:rsid w:val="00A013E1"/>
    <w:rsid w:val="00A03BFC"/>
    <w:rsid w:val="00A06D00"/>
    <w:rsid w:val="00A146ED"/>
    <w:rsid w:val="00A169F5"/>
    <w:rsid w:val="00A17283"/>
    <w:rsid w:val="00A172BB"/>
    <w:rsid w:val="00A20385"/>
    <w:rsid w:val="00A23183"/>
    <w:rsid w:val="00A24398"/>
    <w:rsid w:val="00A2499F"/>
    <w:rsid w:val="00A24CC8"/>
    <w:rsid w:val="00A24D4A"/>
    <w:rsid w:val="00A2640A"/>
    <w:rsid w:val="00A26840"/>
    <w:rsid w:val="00A27BD1"/>
    <w:rsid w:val="00A30DCC"/>
    <w:rsid w:val="00A315D7"/>
    <w:rsid w:val="00A322B9"/>
    <w:rsid w:val="00A32A72"/>
    <w:rsid w:val="00A333C5"/>
    <w:rsid w:val="00A334F6"/>
    <w:rsid w:val="00A34179"/>
    <w:rsid w:val="00A36053"/>
    <w:rsid w:val="00A41E89"/>
    <w:rsid w:val="00A44417"/>
    <w:rsid w:val="00A45303"/>
    <w:rsid w:val="00A4555E"/>
    <w:rsid w:val="00A45CAF"/>
    <w:rsid w:val="00A46B0C"/>
    <w:rsid w:val="00A470DB"/>
    <w:rsid w:val="00A475D6"/>
    <w:rsid w:val="00A47EF9"/>
    <w:rsid w:val="00A508CE"/>
    <w:rsid w:val="00A52883"/>
    <w:rsid w:val="00A54983"/>
    <w:rsid w:val="00A57161"/>
    <w:rsid w:val="00A60F5F"/>
    <w:rsid w:val="00A63525"/>
    <w:rsid w:val="00A65531"/>
    <w:rsid w:val="00A67178"/>
    <w:rsid w:val="00A677BF"/>
    <w:rsid w:val="00A705F9"/>
    <w:rsid w:val="00A71BDB"/>
    <w:rsid w:val="00A73792"/>
    <w:rsid w:val="00A74EBC"/>
    <w:rsid w:val="00A7630F"/>
    <w:rsid w:val="00A80AE3"/>
    <w:rsid w:val="00A81A07"/>
    <w:rsid w:val="00A84B3D"/>
    <w:rsid w:val="00A85D6D"/>
    <w:rsid w:val="00A85E92"/>
    <w:rsid w:val="00A86889"/>
    <w:rsid w:val="00A877F1"/>
    <w:rsid w:val="00A878A6"/>
    <w:rsid w:val="00A90800"/>
    <w:rsid w:val="00A92676"/>
    <w:rsid w:val="00A92E0A"/>
    <w:rsid w:val="00A933C6"/>
    <w:rsid w:val="00A94B36"/>
    <w:rsid w:val="00A959BD"/>
    <w:rsid w:val="00A95DD8"/>
    <w:rsid w:val="00A96870"/>
    <w:rsid w:val="00A9693D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6095"/>
    <w:rsid w:val="00B17282"/>
    <w:rsid w:val="00B17C32"/>
    <w:rsid w:val="00B205BC"/>
    <w:rsid w:val="00B24F7C"/>
    <w:rsid w:val="00B24FBE"/>
    <w:rsid w:val="00B2503D"/>
    <w:rsid w:val="00B25AA5"/>
    <w:rsid w:val="00B266BE"/>
    <w:rsid w:val="00B27269"/>
    <w:rsid w:val="00B2798D"/>
    <w:rsid w:val="00B27A62"/>
    <w:rsid w:val="00B30AC8"/>
    <w:rsid w:val="00B31EFB"/>
    <w:rsid w:val="00B33FA0"/>
    <w:rsid w:val="00B34377"/>
    <w:rsid w:val="00B34583"/>
    <w:rsid w:val="00B3780E"/>
    <w:rsid w:val="00B37F02"/>
    <w:rsid w:val="00B41A01"/>
    <w:rsid w:val="00B42CE6"/>
    <w:rsid w:val="00B44740"/>
    <w:rsid w:val="00B47332"/>
    <w:rsid w:val="00B474E8"/>
    <w:rsid w:val="00B478D2"/>
    <w:rsid w:val="00B511D3"/>
    <w:rsid w:val="00B51372"/>
    <w:rsid w:val="00B52D63"/>
    <w:rsid w:val="00B53B37"/>
    <w:rsid w:val="00B55813"/>
    <w:rsid w:val="00B55FED"/>
    <w:rsid w:val="00B61BB1"/>
    <w:rsid w:val="00B62933"/>
    <w:rsid w:val="00B62D05"/>
    <w:rsid w:val="00B63D9F"/>
    <w:rsid w:val="00B63DC4"/>
    <w:rsid w:val="00B6415C"/>
    <w:rsid w:val="00B6481E"/>
    <w:rsid w:val="00B65129"/>
    <w:rsid w:val="00B6578A"/>
    <w:rsid w:val="00B65904"/>
    <w:rsid w:val="00B675C4"/>
    <w:rsid w:val="00B715E7"/>
    <w:rsid w:val="00B7326C"/>
    <w:rsid w:val="00B74551"/>
    <w:rsid w:val="00B75994"/>
    <w:rsid w:val="00B75D53"/>
    <w:rsid w:val="00B76018"/>
    <w:rsid w:val="00B761A8"/>
    <w:rsid w:val="00B76814"/>
    <w:rsid w:val="00B778D1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F60"/>
    <w:rsid w:val="00B95AD4"/>
    <w:rsid w:val="00BA0AA5"/>
    <w:rsid w:val="00BA363C"/>
    <w:rsid w:val="00BA3AE7"/>
    <w:rsid w:val="00BA4CA3"/>
    <w:rsid w:val="00BA5BFF"/>
    <w:rsid w:val="00BA5E1F"/>
    <w:rsid w:val="00BB15EB"/>
    <w:rsid w:val="00BB1C9E"/>
    <w:rsid w:val="00BB1E16"/>
    <w:rsid w:val="00BB1F1B"/>
    <w:rsid w:val="00BB23C1"/>
    <w:rsid w:val="00BB3582"/>
    <w:rsid w:val="00BB4550"/>
    <w:rsid w:val="00BB4D0D"/>
    <w:rsid w:val="00BB4F5C"/>
    <w:rsid w:val="00BB6561"/>
    <w:rsid w:val="00BB7F49"/>
    <w:rsid w:val="00BC578A"/>
    <w:rsid w:val="00BC6C56"/>
    <w:rsid w:val="00BD1037"/>
    <w:rsid w:val="00BD2EED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5947"/>
    <w:rsid w:val="00BE6F10"/>
    <w:rsid w:val="00BF054D"/>
    <w:rsid w:val="00BF0E66"/>
    <w:rsid w:val="00BF1180"/>
    <w:rsid w:val="00BF4C2E"/>
    <w:rsid w:val="00BF7482"/>
    <w:rsid w:val="00BF7581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003B"/>
    <w:rsid w:val="00C21539"/>
    <w:rsid w:val="00C22C1E"/>
    <w:rsid w:val="00C22E09"/>
    <w:rsid w:val="00C2375C"/>
    <w:rsid w:val="00C259B6"/>
    <w:rsid w:val="00C25C1C"/>
    <w:rsid w:val="00C274AB"/>
    <w:rsid w:val="00C3219B"/>
    <w:rsid w:val="00C323FF"/>
    <w:rsid w:val="00C33959"/>
    <w:rsid w:val="00C3740C"/>
    <w:rsid w:val="00C411E7"/>
    <w:rsid w:val="00C4129A"/>
    <w:rsid w:val="00C41560"/>
    <w:rsid w:val="00C42061"/>
    <w:rsid w:val="00C42A68"/>
    <w:rsid w:val="00C43AE6"/>
    <w:rsid w:val="00C44E9B"/>
    <w:rsid w:val="00C45BF6"/>
    <w:rsid w:val="00C45C9C"/>
    <w:rsid w:val="00C4703E"/>
    <w:rsid w:val="00C47A82"/>
    <w:rsid w:val="00C5174C"/>
    <w:rsid w:val="00C51835"/>
    <w:rsid w:val="00C54924"/>
    <w:rsid w:val="00C55E2C"/>
    <w:rsid w:val="00C56B85"/>
    <w:rsid w:val="00C60849"/>
    <w:rsid w:val="00C6135C"/>
    <w:rsid w:val="00C63A60"/>
    <w:rsid w:val="00C6407D"/>
    <w:rsid w:val="00C656C3"/>
    <w:rsid w:val="00C7000A"/>
    <w:rsid w:val="00C71943"/>
    <w:rsid w:val="00C725A9"/>
    <w:rsid w:val="00C72743"/>
    <w:rsid w:val="00C73E91"/>
    <w:rsid w:val="00C75098"/>
    <w:rsid w:val="00C76953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A6A"/>
    <w:rsid w:val="00CB0D32"/>
    <w:rsid w:val="00CB187C"/>
    <w:rsid w:val="00CB1B2B"/>
    <w:rsid w:val="00CB39D9"/>
    <w:rsid w:val="00CB450C"/>
    <w:rsid w:val="00CB7E9A"/>
    <w:rsid w:val="00CC0283"/>
    <w:rsid w:val="00CC1A24"/>
    <w:rsid w:val="00CC2676"/>
    <w:rsid w:val="00CC2AA3"/>
    <w:rsid w:val="00CC2B6E"/>
    <w:rsid w:val="00CC364C"/>
    <w:rsid w:val="00CC4BC2"/>
    <w:rsid w:val="00CC698B"/>
    <w:rsid w:val="00CC6D6D"/>
    <w:rsid w:val="00CD06A0"/>
    <w:rsid w:val="00CD1B35"/>
    <w:rsid w:val="00CD2485"/>
    <w:rsid w:val="00CD3AEE"/>
    <w:rsid w:val="00CD4BDD"/>
    <w:rsid w:val="00CD4F97"/>
    <w:rsid w:val="00CD5378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27E"/>
    <w:rsid w:val="00D11E8D"/>
    <w:rsid w:val="00D13FC6"/>
    <w:rsid w:val="00D144E3"/>
    <w:rsid w:val="00D15C42"/>
    <w:rsid w:val="00D168B0"/>
    <w:rsid w:val="00D16F1D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3B21"/>
    <w:rsid w:val="00D34A00"/>
    <w:rsid w:val="00D36B2B"/>
    <w:rsid w:val="00D36F72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13AB"/>
    <w:rsid w:val="00D534B1"/>
    <w:rsid w:val="00D541E8"/>
    <w:rsid w:val="00D54C4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268D"/>
    <w:rsid w:val="00D835E1"/>
    <w:rsid w:val="00D84C05"/>
    <w:rsid w:val="00D84C94"/>
    <w:rsid w:val="00D84F35"/>
    <w:rsid w:val="00D850AB"/>
    <w:rsid w:val="00D86BF0"/>
    <w:rsid w:val="00D872CB"/>
    <w:rsid w:val="00D87406"/>
    <w:rsid w:val="00D87DC1"/>
    <w:rsid w:val="00D90190"/>
    <w:rsid w:val="00D93C83"/>
    <w:rsid w:val="00D95186"/>
    <w:rsid w:val="00D95924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431"/>
    <w:rsid w:val="00DC263E"/>
    <w:rsid w:val="00DC3899"/>
    <w:rsid w:val="00DC3BC8"/>
    <w:rsid w:val="00DC4DA6"/>
    <w:rsid w:val="00DC51E3"/>
    <w:rsid w:val="00DC6428"/>
    <w:rsid w:val="00DD0FB0"/>
    <w:rsid w:val="00DD100F"/>
    <w:rsid w:val="00DD1B3F"/>
    <w:rsid w:val="00DD5923"/>
    <w:rsid w:val="00DD599F"/>
    <w:rsid w:val="00DD6427"/>
    <w:rsid w:val="00DD77B1"/>
    <w:rsid w:val="00DE3E4A"/>
    <w:rsid w:val="00DE4BB3"/>
    <w:rsid w:val="00DE6ABB"/>
    <w:rsid w:val="00DE75E2"/>
    <w:rsid w:val="00DF19B1"/>
    <w:rsid w:val="00DF25C9"/>
    <w:rsid w:val="00DF37D6"/>
    <w:rsid w:val="00DF3A11"/>
    <w:rsid w:val="00DF4120"/>
    <w:rsid w:val="00DF56CB"/>
    <w:rsid w:val="00E01030"/>
    <w:rsid w:val="00E02351"/>
    <w:rsid w:val="00E03A42"/>
    <w:rsid w:val="00E049AC"/>
    <w:rsid w:val="00E10836"/>
    <w:rsid w:val="00E108C6"/>
    <w:rsid w:val="00E11343"/>
    <w:rsid w:val="00E115E5"/>
    <w:rsid w:val="00E116A3"/>
    <w:rsid w:val="00E12333"/>
    <w:rsid w:val="00E13412"/>
    <w:rsid w:val="00E149DD"/>
    <w:rsid w:val="00E15796"/>
    <w:rsid w:val="00E16719"/>
    <w:rsid w:val="00E20EC3"/>
    <w:rsid w:val="00E217B8"/>
    <w:rsid w:val="00E21ACA"/>
    <w:rsid w:val="00E21C13"/>
    <w:rsid w:val="00E23336"/>
    <w:rsid w:val="00E3272D"/>
    <w:rsid w:val="00E333BA"/>
    <w:rsid w:val="00E3345A"/>
    <w:rsid w:val="00E335BB"/>
    <w:rsid w:val="00E33B1C"/>
    <w:rsid w:val="00E34121"/>
    <w:rsid w:val="00E34395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15A1"/>
    <w:rsid w:val="00E65ACA"/>
    <w:rsid w:val="00E6736D"/>
    <w:rsid w:val="00E6771C"/>
    <w:rsid w:val="00E677A4"/>
    <w:rsid w:val="00E67EA7"/>
    <w:rsid w:val="00E67ECB"/>
    <w:rsid w:val="00E72B74"/>
    <w:rsid w:val="00E73497"/>
    <w:rsid w:val="00E7456B"/>
    <w:rsid w:val="00E746C1"/>
    <w:rsid w:val="00E750DB"/>
    <w:rsid w:val="00E7554A"/>
    <w:rsid w:val="00E763BE"/>
    <w:rsid w:val="00E76580"/>
    <w:rsid w:val="00E76607"/>
    <w:rsid w:val="00E778A1"/>
    <w:rsid w:val="00E80E85"/>
    <w:rsid w:val="00E813AF"/>
    <w:rsid w:val="00E81FF6"/>
    <w:rsid w:val="00E85E11"/>
    <w:rsid w:val="00E870DD"/>
    <w:rsid w:val="00E9054A"/>
    <w:rsid w:val="00E91E57"/>
    <w:rsid w:val="00E95335"/>
    <w:rsid w:val="00EA0460"/>
    <w:rsid w:val="00EA0C1C"/>
    <w:rsid w:val="00EA3D7F"/>
    <w:rsid w:val="00EA51C0"/>
    <w:rsid w:val="00EA5FBF"/>
    <w:rsid w:val="00EA6800"/>
    <w:rsid w:val="00EA7329"/>
    <w:rsid w:val="00EB46E9"/>
    <w:rsid w:val="00EB5CD6"/>
    <w:rsid w:val="00EB61B0"/>
    <w:rsid w:val="00EC2F7C"/>
    <w:rsid w:val="00EC3D48"/>
    <w:rsid w:val="00EC5CD7"/>
    <w:rsid w:val="00EC6205"/>
    <w:rsid w:val="00EC65F0"/>
    <w:rsid w:val="00EC70EF"/>
    <w:rsid w:val="00ED128A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E6405"/>
    <w:rsid w:val="00EE6484"/>
    <w:rsid w:val="00EE74CA"/>
    <w:rsid w:val="00EF13BA"/>
    <w:rsid w:val="00EF467E"/>
    <w:rsid w:val="00F01AC0"/>
    <w:rsid w:val="00F0238C"/>
    <w:rsid w:val="00F04BF2"/>
    <w:rsid w:val="00F04E01"/>
    <w:rsid w:val="00F05721"/>
    <w:rsid w:val="00F06087"/>
    <w:rsid w:val="00F067EF"/>
    <w:rsid w:val="00F078CA"/>
    <w:rsid w:val="00F116F2"/>
    <w:rsid w:val="00F12DEE"/>
    <w:rsid w:val="00F13367"/>
    <w:rsid w:val="00F135CB"/>
    <w:rsid w:val="00F136A6"/>
    <w:rsid w:val="00F14B99"/>
    <w:rsid w:val="00F1596F"/>
    <w:rsid w:val="00F17A79"/>
    <w:rsid w:val="00F21AEA"/>
    <w:rsid w:val="00F21D4F"/>
    <w:rsid w:val="00F21F09"/>
    <w:rsid w:val="00F22D3B"/>
    <w:rsid w:val="00F268D4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37868"/>
    <w:rsid w:val="00F40978"/>
    <w:rsid w:val="00F42346"/>
    <w:rsid w:val="00F426C3"/>
    <w:rsid w:val="00F42876"/>
    <w:rsid w:val="00F42E18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32C4"/>
    <w:rsid w:val="00F66EB5"/>
    <w:rsid w:val="00F6734B"/>
    <w:rsid w:val="00F712F6"/>
    <w:rsid w:val="00F718FB"/>
    <w:rsid w:val="00F72993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51CE"/>
    <w:rsid w:val="00FA6355"/>
    <w:rsid w:val="00FA6451"/>
    <w:rsid w:val="00FA7598"/>
    <w:rsid w:val="00FA7EB2"/>
    <w:rsid w:val="00FB03E1"/>
    <w:rsid w:val="00FB1515"/>
    <w:rsid w:val="00FB2367"/>
    <w:rsid w:val="00FB2A8C"/>
    <w:rsid w:val="00FB2BC1"/>
    <w:rsid w:val="00FB3D77"/>
    <w:rsid w:val="00FB6F8F"/>
    <w:rsid w:val="00FC0C52"/>
    <w:rsid w:val="00FC1281"/>
    <w:rsid w:val="00FC2095"/>
    <w:rsid w:val="00FC6105"/>
    <w:rsid w:val="00FC6CF7"/>
    <w:rsid w:val="00FD0096"/>
    <w:rsid w:val="00FD1B37"/>
    <w:rsid w:val="00FD2AE9"/>
    <w:rsid w:val="00FE034E"/>
    <w:rsid w:val="00FE1F75"/>
    <w:rsid w:val="00FE4F08"/>
    <w:rsid w:val="00FE6B0C"/>
    <w:rsid w:val="00FF216F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9DB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584F-064A-4F78-BB51-59F58104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2024-09-22T08:13:00Z</dcterms:created>
  <dcterms:modified xsi:type="dcterms:W3CDTF">2024-09-22T08:17:00Z</dcterms:modified>
</cp:coreProperties>
</file>