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theme/themeOverride3.xml" ContentType="application/vnd.openxmlformats-officedocument.themeOverride+xml"/>
  <Override PartName="/word/theme/themeOverride4.xml" ContentType="application/vnd.openxmlformats-officedocument.themeOverrid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8520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487785" w:rsidRPr="00097714" w:rsidTr="00C202E3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785" w:rsidRPr="00097714" w:rsidRDefault="00487785" w:rsidP="00C202E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09771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487785" w:rsidRPr="00097714" w:rsidRDefault="00487785" w:rsidP="00C202E3">
            <w:pPr>
              <w:ind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097714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487785" w:rsidRPr="00097714" w:rsidRDefault="00487785" w:rsidP="00C202E3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097714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6C44F204" wp14:editId="2C056B4E">
                  <wp:extent cx="887105" cy="887105"/>
                  <wp:effectExtent l="0" t="0" r="8255" b="8255"/>
                  <wp:docPr id="1" name="תמונה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0" cy="88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785" w:rsidRPr="00097714" w:rsidRDefault="00487785" w:rsidP="00487785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‏ירושלים, 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"ד </w:t>
            </w:r>
            <w:r w:rsidRPr="00097714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אייר</w:t>
            </w:r>
            <w:r w:rsidRPr="00097714">
              <w:rPr>
                <w:rFonts w:ascii="David" w:hAnsi="David" w:cs="David"/>
                <w:sz w:val="24"/>
                <w:szCs w:val="24"/>
                <w:rtl/>
              </w:rPr>
              <w:t>, תשע"ט</w:t>
            </w:r>
          </w:p>
          <w:p w:rsidR="00487785" w:rsidRPr="00097714" w:rsidRDefault="00487785" w:rsidP="00487785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097714">
              <w:rPr>
                <w:rFonts w:ascii="David" w:hAnsi="David" w:cs="David"/>
                <w:sz w:val="24"/>
                <w:szCs w:val="24"/>
                <w:rtl/>
              </w:rPr>
              <w:t>‏‏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19</w:t>
            </w:r>
            <w:r w:rsidRPr="00097714">
              <w:rPr>
                <w:rFonts w:ascii="David" w:hAnsi="David" w:cs="David"/>
                <w:sz w:val="24"/>
                <w:szCs w:val="24"/>
                <w:rtl/>
              </w:rPr>
              <w:t xml:space="preserve"> 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מאי </w:t>
            </w:r>
            <w:r w:rsidRPr="00097714">
              <w:rPr>
                <w:rFonts w:ascii="David" w:hAnsi="David" w:cs="David"/>
                <w:sz w:val="24"/>
                <w:szCs w:val="24"/>
                <w:rtl/>
              </w:rPr>
              <w:t>2019</w:t>
            </w:r>
          </w:p>
        </w:tc>
      </w:tr>
    </w:tbl>
    <w:p w:rsidR="00487785" w:rsidRPr="00097714" w:rsidRDefault="00487785" w:rsidP="00487785">
      <w:pPr>
        <w:rPr>
          <w:rFonts w:ascii="David" w:hAnsi="David" w:cs="David"/>
          <w:sz w:val="24"/>
          <w:szCs w:val="24"/>
          <w:rtl/>
        </w:rPr>
      </w:pPr>
      <w:r w:rsidRPr="00097714">
        <w:rPr>
          <w:rFonts w:ascii="David" w:hAnsi="David" w:cs="David"/>
          <w:sz w:val="24"/>
          <w:szCs w:val="24"/>
          <w:rtl/>
        </w:rPr>
        <w:t>הודעה לעיתונות:</w:t>
      </w:r>
    </w:p>
    <w:p w:rsidR="00487785" w:rsidRDefault="00487785" w:rsidP="00300133">
      <w:pPr>
        <w:spacing w:after="0" w:line="360" w:lineRule="auto"/>
        <w:jc w:val="center"/>
        <w:rPr>
          <w:rFonts w:ascii="Times New Roman" w:eastAsia="Calibri" w:hAnsi="Times New Roman" w:cs="David"/>
          <w:b/>
          <w:bCs/>
          <w:sz w:val="24"/>
          <w:szCs w:val="24"/>
          <w:rtl/>
        </w:rPr>
      </w:pPr>
    </w:p>
    <w:p w:rsidR="00487785" w:rsidRDefault="00487785" w:rsidP="00487785">
      <w:pPr>
        <w:rPr>
          <w:rFonts w:ascii="David" w:hAnsi="David" w:cs="David"/>
          <w:sz w:val="24"/>
          <w:szCs w:val="24"/>
          <w:rtl/>
        </w:rPr>
      </w:pPr>
      <w:r w:rsidRPr="00487785">
        <w:rPr>
          <w:rFonts w:ascii="David" w:hAnsi="David" w:cs="David"/>
          <w:sz w:val="24"/>
          <w:szCs w:val="24"/>
          <w:rtl/>
        </w:rPr>
        <w:t xml:space="preserve">קטע מתוך הסקירה השנתית של מערכת הבנקאות </w:t>
      </w:r>
      <w:r>
        <w:rPr>
          <w:rFonts w:ascii="David" w:hAnsi="David" w:cs="David" w:hint="cs"/>
          <w:sz w:val="24"/>
          <w:szCs w:val="24"/>
          <w:rtl/>
        </w:rPr>
        <w:t xml:space="preserve">לשנת 2018 </w:t>
      </w:r>
      <w:r w:rsidRPr="00487785">
        <w:rPr>
          <w:rFonts w:ascii="David" w:hAnsi="David" w:cs="David"/>
          <w:sz w:val="24"/>
          <w:szCs w:val="24"/>
          <w:rtl/>
        </w:rPr>
        <w:t>שתפורסם בקרוב</w:t>
      </w:r>
      <w:r w:rsidRPr="00487785">
        <w:rPr>
          <w:rFonts w:ascii="David" w:hAnsi="David" w:cs="David" w:hint="cs"/>
          <w:sz w:val="24"/>
          <w:szCs w:val="24"/>
          <w:rtl/>
        </w:rPr>
        <w:t>:</w:t>
      </w:r>
    </w:p>
    <w:p w:rsidR="00487785" w:rsidRPr="00487785" w:rsidRDefault="00487785" w:rsidP="00487785">
      <w:pPr>
        <w:rPr>
          <w:rFonts w:ascii="David" w:hAnsi="David" w:cs="David"/>
          <w:sz w:val="24"/>
          <w:szCs w:val="24"/>
          <w:rtl/>
        </w:rPr>
      </w:pPr>
    </w:p>
    <w:p w:rsidR="00123C42" w:rsidRPr="00487785" w:rsidRDefault="00123C42" w:rsidP="00487785">
      <w:pPr>
        <w:spacing w:after="0" w:line="360" w:lineRule="auto"/>
        <w:jc w:val="center"/>
        <w:rPr>
          <w:rFonts w:ascii="Times New Roman" w:eastAsia="Calibri" w:hAnsi="Times New Roman" w:cs="David"/>
          <w:b/>
          <w:bCs/>
          <w:sz w:val="28"/>
          <w:szCs w:val="28"/>
          <w:rtl/>
        </w:rPr>
      </w:pPr>
      <w:bookmarkStart w:id="0" w:name="_GoBack"/>
      <w:r w:rsidRPr="00487785">
        <w:rPr>
          <w:rFonts w:ascii="Times New Roman" w:eastAsia="Calibri" w:hAnsi="Times New Roman" w:cs="David" w:hint="cs"/>
          <w:b/>
          <w:bCs/>
          <w:sz w:val="28"/>
          <w:szCs w:val="28"/>
          <w:rtl/>
        </w:rPr>
        <w:t>מבחן קיצון מקרו-כלכלי למערכת הבנקאית</w:t>
      </w:r>
      <w:r w:rsidR="00487785">
        <w:rPr>
          <w:rFonts w:ascii="Times New Roman" w:eastAsia="Calibri" w:hAnsi="Times New Roman" w:cs="David" w:hint="cs"/>
          <w:b/>
          <w:bCs/>
          <w:sz w:val="28"/>
          <w:szCs w:val="28"/>
          <w:rtl/>
        </w:rPr>
        <w:t xml:space="preserve"> </w:t>
      </w:r>
    </w:p>
    <w:bookmarkEnd w:id="0"/>
    <w:p w:rsidR="00367AFE" w:rsidRPr="00031240" w:rsidRDefault="00367AFE" w:rsidP="00123C42">
      <w:pPr>
        <w:spacing w:after="0" w:line="360" w:lineRule="auto"/>
        <w:jc w:val="center"/>
        <w:rPr>
          <w:rFonts w:ascii="Times New Roman" w:eastAsia="Calibri" w:hAnsi="Times New Roman" w:cs="David"/>
          <w:b/>
          <w:bCs/>
          <w:sz w:val="24"/>
          <w:szCs w:val="24"/>
          <w:rtl/>
        </w:rPr>
      </w:pPr>
    </w:p>
    <w:p w:rsidR="001A153B" w:rsidRPr="00031240" w:rsidRDefault="00367AFE" w:rsidP="00432715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David"/>
          <w:b/>
          <w:bCs/>
          <w:sz w:val="24"/>
          <w:szCs w:val="24"/>
        </w:rPr>
      </w:pP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הפיקוח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על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הבנקים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B15C88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ערך</w:t>
      </w:r>
      <w:r w:rsidR="00094C6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="00AC07E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גם </w:t>
      </w:r>
      <w:r w:rsidR="00B15C88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שנה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מבחן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קיצון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מקרו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>-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כלכלי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למערכת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הבנקאית</w:t>
      </w:r>
      <w:r w:rsidR="00BA7F2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כמקובל בעולם</w:t>
      </w:r>
      <w:r w:rsidR="00EE05D7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. המבחן</w:t>
      </w:r>
      <w:r w:rsidR="00720FC2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מבוסס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על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תרחיש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אחיד</w:t>
      </w:r>
      <w:r w:rsidR="00BA7F2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,</w:t>
      </w:r>
      <w:r w:rsidR="00720FC2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="00BA7F2C" w:rsidRPr="00031240">
        <w:rPr>
          <w:rFonts w:hint="cs"/>
          <w:rtl/>
        </w:rPr>
        <w:t>ו</w:t>
      </w:r>
      <w:r w:rsidR="00AC07E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מטרת</w:t>
      </w:r>
      <w:r w:rsidR="00E2720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ו</w:t>
      </w:r>
      <w:r w:rsidR="00AC07E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="00E2720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לב</w:t>
      </w:r>
      <w:r w:rsidR="00432715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חון</w:t>
      </w:r>
      <w:r w:rsidR="00E2720C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2720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אם </w:t>
      </w:r>
      <w:r w:rsidR="00AC07E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="001E714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בה</w:t>
      </w:r>
      <w:r w:rsidR="00E2720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תרחש </w:t>
      </w:r>
      <w:r w:rsidR="00AC07E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אירוע </w:t>
      </w:r>
      <w:r w:rsidR="001A153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מקרו</w:t>
      </w:r>
      <w:r w:rsidR="00EE05D7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-</w:t>
      </w:r>
      <w:r w:rsidR="00AC07E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כלכלי קיצוני הבנקים יוכלו לספוג את ההפסדים </w:t>
      </w:r>
      <w:r w:rsidR="001E714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ש</w:t>
      </w:r>
      <w:r w:rsidR="003616E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ייווצרו </w:t>
      </w:r>
      <w:r w:rsidR="00AC07E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בלי לסכן את </w:t>
      </w:r>
      <w:r w:rsidR="00741CE7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יציבותם ואת </w:t>
      </w:r>
      <w:r w:rsidR="00AC07E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פיקדונות הציבור</w:t>
      </w:r>
      <w:r w:rsidR="00741CE7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.</w:t>
      </w:r>
      <w:r w:rsidR="00AC07E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</w:p>
    <w:p w:rsidR="00123C42" w:rsidRPr="00031240" w:rsidRDefault="00367AFE" w:rsidP="001A153B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David"/>
          <w:b/>
          <w:bCs/>
          <w:sz w:val="24"/>
          <w:szCs w:val="24"/>
        </w:rPr>
      </w:pP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במסגרת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1A153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מבחן הקיצון</w:t>
      </w:r>
      <w:r w:rsidR="001A153B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C965A4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אומד כל בנק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את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תוצאות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התרחיש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באמצעות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מגוון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של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מודלים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C965A4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ושיטות </w:t>
      </w:r>
      <w:r w:rsidR="00F83292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המקובלות</w:t>
      </w:r>
      <w:r w:rsidR="00F83292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F83292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בענף</w:t>
      </w:r>
      <w:r w:rsidR="00F83292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>,</w:t>
      </w:r>
      <w:r w:rsidR="001E714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ובמקביל </w:t>
      </w:r>
      <w:r w:rsidR="00C965A4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עורך הפיקוח על הבנקים את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המבחן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C965A4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לכל</w:t>
      </w:r>
      <w:r w:rsidR="00C965A4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C965A4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אחד</w:t>
      </w:r>
      <w:r w:rsidR="00C965A4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C965A4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מהם בשיטה 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C965A4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אחידה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>.</w:t>
      </w:r>
    </w:p>
    <w:p w:rsidR="00AC16D3" w:rsidRPr="00031240" w:rsidRDefault="00AC16D3" w:rsidP="00292BE1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David"/>
          <w:b/>
          <w:bCs/>
          <w:sz w:val="24"/>
          <w:szCs w:val="24"/>
        </w:rPr>
      </w:pP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מבחן הקיצון מבוצע </w:t>
      </w:r>
      <w:r w:rsidR="005577BE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בכפיפות ל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כמה הנחות משמעותיות</w:t>
      </w:r>
      <w:r w:rsidR="005577BE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,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="005577BE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משפיעות על תוצאות התרחיש, ובהן: 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במהלך התרחיש אין שינוי ביתרת הנכסים ובתמהילם; אין גיוס הון נוסף; ואין מביאים בחשבון את הפעולות שהנהלות הבנקים עשויות לנקוט בתגובה להתפתחות המשבר כדי להקטין את </w:t>
      </w:r>
      <w:r w:rsidR="005577BE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פגיעתו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. </w:t>
      </w:r>
    </w:p>
    <w:p w:rsidR="001A153B" w:rsidRPr="00031240" w:rsidRDefault="00C965A4" w:rsidP="0029539B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David"/>
          <w:b/>
          <w:bCs/>
          <w:sz w:val="24"/>
          <w:szCs w:val="24"/>
        </w:rPr>
      </w:pP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בכל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 </w:t>
      </w:r>
      <w:r w:rsidR="003616E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שנה</w:t>
      </w:r>
      <w:r w:rsidR="00824830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3616E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בונה </w:t>
      </w:r>
      <w:r w:rsidR="00824830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הפיקוח על הבנקים </w:t>
      </w:r>
      <w:r w:rsidR="00824830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תרחיש</w:t>
      </w:r>
      <w:r w:rsidR="00824830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824830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מקרו</w:t>
      </w:r>
      <w:r w:rsidR="00824830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>-</w:t>
      </w:r>
      <w:r w:rsidR="00824830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כלכלי</w:t>
      </w:r>
      <w:r w:rsidR="00824830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8E48B5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אחר</w:t>
      </w:r>
      <w:r w:rsidR="00D65A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, </w:t>
      </w:r>
      <w:r w:rsidR="003616E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וזאת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כדי לב</w:t>
      </w:r>
      <w:r w:rsidR="00432715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חון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="00D65A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את</w:t>
      </w:r>
      <w:r w:rsidR="00D65A5B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D65A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עמידותם של</w:t>
      </w:r>
      <w:r w:rsidR="00D65A5B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D65A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הבנקים</w:t>
      </w:r>
      <w:r w:rsidR="00D65A5B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432715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והמערכת הבנקאית בכללותה</w:t>
      </w:r>
      <w:r w:rsidR="006C6EAE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="00D65A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ל</w:t>
      </w:r>
      <w:r w:rsidR="00824830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התפתחויות כלכליות</w:t>
      </w:r>
      <w:r w:rsidR="001E714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="00824830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שונות. השנה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בחר </w:t>
      </w:r>
      <w:r w:rsidR="00367453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הפיקוח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לבדוק את </w:t>
      </w:r>
      <w:r w:rsidR="00D65A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עמידות ל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תרחיש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מקרו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>-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כלכלי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lastRenderedPageBreak/>
        <w:t>מקומי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CD092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חמור</w:t>
      </w:r>
      <w:r w:rsidR="00D65A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,</w:t>
      </w:r>
      <w:r w:rsidR="00CD092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="00D65A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תוצאת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אירועים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proofErr w:type="spellStart"/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גיאו</w:t>
      </w:r>
      <w:proofErr w:type="spellEnd"/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>-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פוליטיים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D65A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שהביאו </w:t>
      </w:r>
      <w:r w:rsidR="00367453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לעליית 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</w:t>
      </w:r>
      <w:r w:rsidR="00367453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ריבית במשק</w:t>
      </w:r>
      <w:r w:rsidR="001E714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,</w:t>
      </w:r>
      <w:r w:rsidR="00367453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בשילוב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עם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משבר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חמור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בשוק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הדיור</w:t>
      </w:r>
      <w:r w:rsidR="006C6EAE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="00367453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ונפילת</w:t>
      </w:r>
      <w:r w:rsidR="00D65A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קבוצה עסקית גדולה של </w:t>
      </w:r>
      <w:r w:rsidR="00367453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לווים</w:t>
      </w:r>
      <w:r w:rsidR="00D65A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.</w:t>
      </w:r>
      <w:r w:rsidR="001E714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="0057455A"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סיפור</w:t>
      </w:r>
      <w:r w:rsidR="0057455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57455A"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התרחיש</w:t>
      </w:r>
      <w:r w:rsidR="0057455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57455A"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מתבסס</w:t>
      </w:r>
      <w:r w:rsidR="0057455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57455A"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על</w:t>
      </w:r>
      <w:r w:rsidR="0057455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57455A"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הערכות</w:t>
      </w:r>
      <w:r w:rsidR="0057455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57455A"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ומודלים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,</w:t>
      </w:r>
      <w:r w:rsidR="0057455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57455A"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ואינו</w:t>
      </w:r>
      <w:r w:rsidR="0057455A" w:rsidRPr="00031240">
        <w:rPr>
          <w:rFonts w:hint="cs"/>
          <w:b/>
          <w:bCs/>
          <w:sz w:val="24"/>
          <w:szCs w:val="24"/>
          <w:rtl/>
        </w:rPr>
        <w:t xml:space="preserve"> </w:t>
      </w:r>
      <w:r w:rsidR="001A153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תחזית</w:t>
      </w:r>
      <w:r w:rsidR="00824830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.</w:t>
      </w:r>
    </w:p>
    <w:p w:rsidR="00367AFE" w:rsidRPr="00031240" w:rsidRDefault="00CD092B" w:rsidP="00300133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David"/>
          <w:b/>
          <w:bCs/>
          <w:sz w:val="24"/>
          <w:szCs w:val="24"/>
        </w:rPr>
      </w:pP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תוצאות המבחן מלמדות כי התרחיש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י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שפיע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באופן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משמעותי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על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המערכת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הבנקאית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, </w:t>
      </w:r>
      <w:r w:rsidR="00300133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אך לא צפוי לסכן את יציבותה וחוסנה, </w:t>
      </w:r>
      <w:r w:rsidR="00BA7F2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אף</w:t>
      </w:r>
      <w:r w:rsidR="007E3EE5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="00300133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ש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במהלכו</w:t>
      </w:r>
      <w:r w:rsidR="00274406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יירשמו </w:t>
      </w:r>
      <w:r w:rsidR="0043691F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בחלק</w:t>
      </w:r>
      <w:r w:rsidR="0043691F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43691F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מהבנקים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הפסדים.</w:t>
      </w:r>
      <w:r w:rsidR="00274406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יחס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הון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29539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עצמי רובד 1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של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הבנקים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29539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אינו</w:t>
      </w:r>
      <w:r w:rsidR="0029539B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צפוי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לרדת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מתחת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למינימום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שהפיקוח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דורש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בתרחיש</w:t>
      </w:r>
      <w:r w:rsidR="00E307AA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E307AA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קיצון</w:t>
      </w:r>
      <w:r w:rsidR="00D2786C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>.</w:t>
      </w:r>
      <w:r w:rsidR="000D0247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43691F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כמו</w:t>
      </w:r>
      <w:r w:rsidR="0043691F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43691F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כן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מתקבל כי </w:t>
      </w:r>
      <w:r w:rsidR="00644D5B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יחסי ההון של הבנקים </w:t>
      </w:r>
      <w:r w:rsidR="00274406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בתרחיש</w:t>
      </w:r>
      <w:r w:rsidR="00274406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האמור </w:t>
      </w:r>
      <w:r w:rsidR="00644D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גבוהים</w:t>
      </w:r>
      <w:r w:rsidR="00644D5B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644D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מאלה</w:t>
      </w:r>
      <w:r w:rsidR="00644D5B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644D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שנרשמו</w:t>
      </w:r>
      <w:r w:rsidR="00644D5B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644D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בתרחישי</w:t>
      </w:r>
      <w:r w:rsidR="00644D5B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644D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קיצון</w:t>
      </w:r>
      <w:r w:rsidR="00644D5B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644D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קודמים</w:t>
      </w:r>
      <w:r w:rsidR="00644D5B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ש</w:t>
      </w:r>
      <w:r w:rsidR="00644D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הפיקוח</w:t>
      </w:r>
      <w:r w:rsidR="00644D5B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644D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על</w:t>
      </w:r>
      <w:r w:rsidR="00644D5B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644D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הבנקים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בחן ב</w:t>
      </w:r>
      <w:r w:rsidR="00D65A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אמצעות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ם את </w:t>
      </w:r>
      <w:r w:rsidR="00D65A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איתנותם.</w:t>
      </w:r>
    </w:p>
    <w:p w:rsidR="008809D8" w:rsidRPr="00031240" w:rsidRDefault="006E5C1F" w:rsidP="0029539B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David"/>
          <w:b/>
          <w:bCs/>
          <w:sz w:val="24"/>
          <w:szCs w:val="24"/>
        </w:rPr>
      </w:pP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תוצאה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זו</w:t>
      </w:r>
      <w:r w:rsidR="00D65A5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,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43691F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המעידה על</w:t>
      </w:r>
      <w:r w:rsidR="001A153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יציבות הבנקים גם </w:t>
      </w:r>
      <w:r w:rsidR="00875130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במצב</w:t>
      </w:r>
      <w:r w:rsidR="001A153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קיצון</w:t>
      </w:r>
      <w:r w:rsidR="0043691F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,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משקפת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43691F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את 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יעילותן </w:t>
      </w:r>
      <w:r w:rsidR="0043691F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של ה</w:t>
      </w:r>
      <w:r w:rsidR="00367453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דרישות שהפיקוח 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הציב לבנקים </w:t>
      </w:r>
      <w:r w:rsidR="001A153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בשנים האחרונות </w:t>
      </w:r>
      <w:r w:rsidR="00367453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ל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שם </w:t>
      </w:r>
      <w:r w:rsidR="00367453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חיזוק יציבותם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, ו</w:t>
      </w:r>
      <w:r w:rsidR="00367453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בראש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ן</w:t>
      </w:r>
      <w:r w:rsidR="00367453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חיזוק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משמעותי של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ההון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.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זאת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לצד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צעדי</w:t>
      </w:r>
      <w:r w:rsidR="00367453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ם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274406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שהביאו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לניהול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סיכונים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שמרני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יותר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,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ובהם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875130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צמצום</w:t>
      </w:r>
      <w:r w:rsidR="00875130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משמעותי</w:t>
      </w:r>
      <w:r w:rsidR="001E714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="00875130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של חשיפת</w:t>
      </w:r>
      <w:r w:rsidR="008E48B5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הבנקים</w:t>
      </w:r>
      <w:r w:rsidR="00875130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לקבוצות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לווים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גדולות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וממונפות</w:t>
      </w:r>
      <w:r w:rsidR="00367453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,</w:t>
      </w:r>
      <w:r w:rsidR="003C153E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שיפור</w:t>
      </w:r>
      <w:r w:rsidR="003C153E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3C153E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במאפייני</w:t>
      </w:r>
      <w:r w:rsidR="003C153E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3C153E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תיק</w:t>
      </w:r>
      <w:r w:rsidR="003C153E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1A153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האשראי </w:t>
      </w:r>
      <w:r w:rsidR="003C153E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לדיור</w:t>
      </w:r>
      <w:r w:rsidR="008E48B5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="00D36AC8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="008E48B5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ו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שיפור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ברווחיות</w:t>
      </w:r>
      <w:r w:rsidR="00875130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הבנקים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1E714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הודות ל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התייעלות</w:t>
      </w:r>
      <w:r w:rsidR="008E48B5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ם.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</w:p>
    <w:p w:rsidR="007A547A" w:rsidRPr="00031240" w:rsidRDefault="007A547A" w:rsidP="003C0D09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David"/>
          <w:b/>
          <w:bCs/>
          <w:sz w:val="24"/>
          <w:szCs w:val="24"/>
        </w:rPr>
      </w:pP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עיקר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ההפסדים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בתרחיש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הקיצון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1A153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שנבחן </w:t>
      </w:r>
      <w:r w:rsidR="000D0247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השנה </w:t>
      </w:r>
      <w:r w:rsidR="00875130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הם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בתיק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האשראי</w:t>
      </w:r>
      <w:r w:rsidR="001A153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, </w:t>
      </w:r>
      <w:r w:rsidR="001E714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שהוא</w:t>
      </w:r>
      <w:r w:rsidR="008E48B5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, </w:t>
      </w:r>
      <w:r w:rsidR="001A153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כידוע</w:t>
      </w:r>
      <w:r w:rsidR="001E714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,</w:t>
      </w:r>
      <w:r w:rsidR="001A153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="001E714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תחום </w:t>
      </w:r>
      <w:r w:rsidR="001A153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הפעילות העיקרי של הבנקים בישראל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>.</w:t>
      </w:r>
      <w:r w:rsidRPr="00031240">
        <w:rPr>
          <w:rFonts w:hint="cs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מקור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נוסף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להפסדים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בתרחיש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הקיצון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השנה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875130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הוא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תיק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ניירות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הערך</w:t>
      </w:r>
      <w:r w:rsidR="001E714C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, </w:t>
      </w:r>
      <w:r w:rsidR="008E48B5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וזאת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בעיקר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8E48B5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בגלל עלייה</w:t>
      </w:r>
      <w:r w:rsidR="008E48B5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חדה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875130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של הריביות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.</w:t>
      </w:r>
    </w:p>
    <w:p w:rsidR="00292BE1" w:rsidRPr="00031240" w:rsidRDefault="00292BE1" w:rsidP="007E3EE5">
      <w:pPr>
        <w:pStyle w:val="af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David"/>
          <w:b/>
          <w:bCs/>
          <w:sz w:val="24"/>
          <w:szCs w:val="24"/>
        </w:rPr>
      </w:pP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lastRenderedPageBreak/>
        <w:t xml:space="preserve">אמנם בתרחיש קיצון זה עולה כי המערכת שומרת על יציבותה, אך אנו </w:t>
      </w:r>
      <w:r w:rsidR="005577BE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לא שאננים.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המערכת חשופה</w:t>
      </w:r>
      <w:r w:rsidR="007E3EE5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גם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לסיכונים שונים </w:t>
      </w:r>
      <w:r w:rsidR="005577BE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מתעצמים בשנים האחרונות</w:t>
      </w:r>
      <w:r w:rsidR="005577BE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. עם אלה נמנים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הסיכונים התפעוליים</w:t>
      </w:r>
      <w:r w:rsidR="005577BE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,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ובראשם סיכוני סייבר וטכנולוגיה</w:t>
      </w:r>
      <w:r w:rsidR="005577BE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,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</w:t>
      </w:r>
      <w:r w:rsidR="005577BE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ויש לבחון את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יציבות המערכת גם מול</w:t>
      </w:r>
      <w:r w:rsidR="005577BE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ם.</w:t>
      </w:r>
    </w:p>
    <w:p w:rsidR="00AC16D3" w:rsidRPr="00031240" w:rsidRDefault="00AC16D3" w:rsidP="00AC16D3">
      <w:pPr>
        <w:spacing w:line="360" w:lineRule="auto"/>
        <w:jc w:val="both"/>
        <w:rPr>
          <w:rFonts w:ascii="Times New Roman" w:eastAsia="Calibri" w:hAnsi="Times New Roman" w:cs="David"/>
          <w:b/>
          <w:bCs/>
          <w:sz w:val="24"/>
          <w:szCs w:val="24"/>
        </w:rPr>
      </w:pPr>
    </w:p>
    <w:p w:rsidR="00123C42" w:rsidRPr="00031240" w:rsidRDefault="00123C42" w:rsidP="00527C1D">
      <w:pPr>
        <w:spacing w:line="360" w:lineRule="auto"/>
        <w:contextualSpacing/>
        <w:jc w:val="both"/>
        <w:rPr>
          <w:rFonts w:ascii="Times New Roman" w:eastAsia="Calibri" w:hAnsi="Times New Roman" w:cs="David"/>
          <w:b/>
          <w:bCs/>
          <w:sz w:val="24"/>
          <w:szCs w:val="24"/>
        </w:rPr>
      </w:pP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דברים כלליים</w:t>
      </w:r>
    </w:p>
    <w:p w:rsidR="00123C42" w:rsidRPr="00031240" w:rsidRDefault="001E714C" w:rsidP="006C6EAE">
      <w:pPr>
        <w:spacing w:line="360" w:lineRule="auto"/>
        <w:jc w:val="both"/>
        <w:rPr>
          <w:rFonts w:ascii="Times New Roman" w:eastAsia="Calibri" w:hAnsi="Times New Roman" w:cs="David"/>
          <w:sz w:val="24"/>
          <w:szCs w:val="24"/>
        </w:rPr>
      </w:pP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גם השנה </w:t>
      </w:r>
      <w:r w:rsidR="005E5A6C" w:rsidRPr="00031240">
        <w:rPr>
          <w:rFonts w:ascii="Times New Roman" w:eastAsia="Calibri" w:hAnsi="Times New Roman" w:cs="David" w:hint="cs"/>
          <w:sz w:val="24"/>
          <w:szCs w:val="24"/>
          <w:rtl/>
        </w:rPr>
        <w:t>ערך</w:t>
      </w:r>
      <w:r w:rsidR="004D0637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הפיקוח על הבנקים 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מבחן קיצון מקרו-כלכלי למערכת הבנקאית</w:t>
      </w:r>
      <w:r w:rsidR="005577BE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. </w:t>
      </w:r>
      <w:r w:rsidR="00BA7F2C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המבחן, הנערך מאז 2012, 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מבוסס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על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תרחיש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אחיד</w:t>
      </w:r>
      <w:r w:rsidR="00BA7F2C" w:rsidRPr="00031240">
        <w:rPr>
          <w:rFonts w:ascii="Times New Roman" w:eastAsia="Calibri" w:hAnsi="Times New Roman" w:cs="David" w:hint="cs"/>
          <w:sz w:val="24"/>
          <w:szCs w:val="24"/>
          <w:rtl/>
        </w:rPr>
        <w:t>.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במסגרת זו התאגידים הבנקאיים אומדים</w:t>
      </w:r>
      <w:r w:rsidR="00F83292" w:rsidRPr="00031240">
        <w:rPr>
          <w:rFonts w:ascii="Times New Roman" w:eastAsia="Calibri" w:hAnsi="Times New Roman" w:cs="David" w:hint="cs"/>
          <w:sz w:val="24"/>
          <w:szCs w:val="24"/>
          <w:rtl/>
        </w:rPr>
        <w:t>,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E2720C" w:rsidRPr="00031240">
        <w:rPr>
          <w:rFonts w:ascii="Times New Roman" w:eastAsia="Calibri" w:hAnsi="Times New Roman" w:cs="David" w:hint="cs"/>
          <w:sz w:val="24"/>
          <w:szCs w:val="24"/>
          <w:rtl/>
        </w:rPr>
        <w:t>ב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אמצעות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מגוון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של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מודלים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E2720C" w:rsidRPr="00031240">
        <w:rPr>
          <w:rFonts w:ascii="Times New Roman" w:eastAsia="Calibri" w:hAnsi="Times New Roman" w:cs="David" w:hint="cs"/>
          <w:sz w:val="24"/>
          <w:szCs w:val="24"/>
          <w:rtl/>
        </w:rPr>
        <w:t>ושיטות</w:t>
      </w:r>
      <w:r w:rsidR="00E2720C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>מקובלות</w:t>
      </w:r>
      <w:r w:rsidR="00123C42" w:rsidRPr="00031240">
        <w:rPr>
          <w:rFonts w:ascii="Times New Roman" w:eastAsia="Calibri" w:hAnsi="Times New Roman" w:cs="David"/>
          <w:sz w:val="24"/>
          <w:szCs w:val="24"/>
          <w:vertAlign w:val="superscript"/>
          <w:rtl/>
        </w:rPr>
        <w:footnoteReference w:id="1"/>
      </w:r>
      <w:r w:rsidR="00F83292" w:rsidRPr="00031240">
        <w:rPr>
          <w:rFonts w:ascii="Times New Roman" w:eastAsia="Calibri" w:hAnsi="Times New Roman" w:cs="David" w:hint="cs"/>
          <w:sz w:val="24"/>
          <w:szCs w:val="24"/>
          <w:rtl/>
        </w:rPr>
        <w:t>, את</w:t>
      </w:r>
      <w:r w:rsidR="00F8329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F83292" w:rsidRPr="00031240">
        <w:rPr>
          <w:rFonts w:ascii="Times New Roman" w:eastAsia="Calibri" w:hAnsi="Times New Roman" w:cs="David" w:hint="cs"/>
          <w:sz w:val="24"/>
          <w:szCs w:val="24"/>
          <w:rtl/>
        </w:rPr>
        <w:t>תוצאותיו של</w:t>
      </w:r>
      <w:r w:rsidR="00F8329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F83292" w:rsidRPr="00031240">
        <w:rPr>
          <w:rFonts w:ascii="Times New Roman" w:eastAsia="Calibri" w:hAnsi="Times New Roman" w:cs="David" w:hint="cs"/>
          <w:sz w:val="24"/>
          <w:szCs w:val="24"/>
          <w:rtl/>
        </w:rPr>
        <w:t>תרחיש</w:t>
      </w:r>
      <w:r w:rsidR="00F8329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F83292" w:rsidRPr="00031240">
        <w:rPr>
          <w:rFonts w:ascii="Times New Roman" w:eastAsia="Calibri" w:hAnsi="Times New Roman" w:cs="David" w:hint="cs"/>
          <w:sz w:val="24"/>
          <w:szCs w:val="24"/>
          <w:rtl/>
        </w:rPr>
        <w:t>שבנק ישראל בנה</w:t>
      </w:r>
      <w:r w:rsidR="005577BE" w:rsidRPr="00031240">
        <w:rPr>
          <w:rFonts w:ascii="Times New Roman" w:eastAsia="Calibri" w:hAnsi="Times New Roman" w:cs="David" w:hint="cs"/>
          <w:sz w:val="24"/>
          <w:szCs w:val="24"/>
          <w:rtl/>
        </w:rPr>
        <w:t>, ו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>במקביל</w:t>
      </w:r>
      <w:r w:rsidR="00F83292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בוחן</w:t>
      </w:r>
      <w:r w:rsidR="00F8329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>ה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פיקוח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על הבנקים 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את </w:t>
      </w:r>
      <w:r w:rsidR="0089537C" w:rsidRPr="00031240">
        <w:rPr>
          <w:rFonts w:ascii="Times New Roman" w:eastAsia="Calibri" w:hAnsi="Times New Roman" w:cs="David" w:hint="cs"/>
          <w:sz w:val="24"/>
          <w:szCs w:val="24"/>
          <w:rtl/>
        </w:rPr>
        <w:t>הבנקים ו</w:t>
      </w:r>
      <w:r w:rsidR="005577BE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את 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המערכת הבנקאית </w:t>
      </w:r>
      <w:r w:rsidR="0089537C" w:rsidRPr="00031240">
        <w:rPr>
          <w:rFonts w:ascii="Times New Roman" w:eastAsia="Calibri" w:hAnsi="Times New Roman" w:cs="David" w:hint="cs"/>
          <w:sz w:val="24"/>
          <w:szCs w:val="24"/>
          <w:rtl/>
        </w:rPr>
        <w:t>בכללותה</w:t>
      </w:r>
      <w:r w:rsidR="00033AAB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E2720C" w:rsidRPr="00031240">
        <w:rPr>
          <w:rFonts w:ascii="Times New Roman" w:eastAsia="Calibri" w:hAnsi="Times New Roman" w:cs="David" w:hint="cs"/>
          <w:sz w:val="24"/>
          <w:szCs w:val="24"/>
          <w:rtl/>
        </w:rPr>
        <w:t>בשיטה</w:t>
      </w:r>
      <w:r w:rsidR="004A5E74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אחידה</w:t>
      </w:r>
      <w:r w:rsidR="00033AAB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. 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התהליך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EF7DDC" w:rsidRPr="00031240">
        <w:rPr>
          <w:rFonts w:ascii="Times New Roman" w:eastAsia="Calibri" w:hAnsi="Times New Roman" w:cs="David" w:hint="cs"/>
          <w:sz w:val="24"/>
          <w:szCs w:val="24"/>
          <w:rtl/>
        </w:rPr>
        <w:t>נועד לתרום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להבנת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מוקדי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הסיכון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AF39FB" w:rsidRPr="00031240">
        <w:rPr>
          <w:rFonts w:ascii="Times New Roman" w:eastAsia="Calibri" w:hAnsi="Times New Roman" w:cs="David" w:hint="cs"/>
          <w:sz w:val="24"/>
          <w:szCs w:val="24"/>
          <w:rtl/>
        </w:rPr>
        <w:t>ש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המערכת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8C7F76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הבנקאית 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ו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>כל אחד מ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הבנק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>ים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AF39FB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חשופים להם, ובכך הוא 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מסייע להערכת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EF7DDC" w:rsidRPr="00031240">
        <w:rPr>
          <w:rFonts w:ascii="Times New Roman" w:eastAsia="Calibri" w:hAnsi="Times New Roman" w:cs="David" w:hint="cs"/>
          <w:sz w:val="24"/>
          <w:szCs w:val="24"/>
          <w:rtl/>
        </w:rPr>
        <w:t>חוסנה ו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ע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>מידותה של המערכת ו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ל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>הבטח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ת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קיומה של רמת הון מספקת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.</w:t>
      </w:r>
      <w:r w:rsidR="00243015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AF39FB" w:rsidRPr="00031240">
        <w:rPr>
          <w:rFonts w:ascii="Times New Roman" w:eastAsia="Calibri" w:hAnsi="Times New Roman" w:cs="David" w:hint="cs"/>
          <w:sz w:val="24"/>
          <w:szCs w:val="24"/>
          <w:rtl/>
        </w:rPr>
        <w:t>על פי</w:t>
      </w:r>
      <w:r w:rsidR="00243015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380550" w:rsidRPr="00031240">
        <w:rPr>
          <w:rFonts w:ascii="Times New Roman" w:eastAsia="Calibri" w:hAnsi="Times New Roman" w:cs="David" w:hint="cs"/>
          <w:sz w:val="24"/>
          <w:szCs w:val="24"/>
          <w:rtl/>
        </w:rPr>
        <w:t>תוצאות התרחיש</w:t>
      </w:r>
      <w:r w:rsidR="00243015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380550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הפיקוח </w:t>
      </w:r>
      <w:r w:rsidR="00243015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על הבנקים יכול לדרוש </w:t>
      </w:r>
      <w:r w:rsidR="00380550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מבנק </w:t>
      </w:r>
      <w:r w:rsidR="00AF39FB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לנקוט </w:t>
      </w:r>
      <w:r w:rsidR="00243015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צעדים </w:t>
      </w:r>
      <w:r w:rsidR="00380550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לחיזוק </w:t>
      </w:r>
      <w:r w:rsidR="00AF39FB" w:rsidRPr="00031240">
        <w:rPr>
          <w:rFonts w:ascii="Times New Roman" w:eastAsia="Calibri" w:hAnsi="Times New Roman" w:cs="David" w:hint="cs"/>
          <w:sz w:val="24"/>
          <w:szCs w:val="24"/>
          <w:rtl/>
        </w:rPr>
        <w:t>הונו</w:t>
      </w:r>
      <w:r w:rsidR="00380550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, </w:t>
      </w:r>
      <w:r w:rsidR="00AF39FB" w:rsidRPr="00031240">
        <w:rPr>
          <w:rFonts w:ascii="Times New Roman" w:eastAsia="Calibri" w:hAnsi="Times New Roman" w:cs="David" w:hint="cs"/>
          <w:sz w:val="24"/>
          <w:szCs w:val="24"/>
          <w:rtl/>
        </w:rPr>
        <w:t>ואף</w:t>
      </w:r>
      <w:r w:rsidR="00380550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להגב</w:t>
      </w:r>
      <w:r w:rsidR="00243015" w:rsidRPr="00031240">
        <w:rPr>
          <w:rFonts w:ascii="Times New Roman" w:eastAsia="Calibri" w:hAnsi="Times New Roman" w:cs="David" w:hint="cs"/>
          <w:sz w:val="24"/>
          <w:szCs w:val="24"/>
          <w:rtl/>
        </w:rPr>
        <w:t>יל אותו</w:t>
      </w:r>
      <w:r w:rsidR="00033AAB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בחלוקת</w:t>
      </w:r>
      <w:r w:rsidR="00243015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380550" w:rsidRPr="00031240">
        <w:rPr>
          <w:rFonts w:ascii="Times New Roman" w:eastAsia="Calibri" w:hAnsi="Times New Roman" w:cs="David" w:hint="cs"/>
          <w:sz w:val="24"/>
          <w:szCs w:val="24"/>
          <w:rtl/>
        </w:rPr>
        <w:t>דיבידנדים</w:t>
      </w:r>
      <w:r w:rsidR="00243015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, </w:t>
      </w:r>
      <w:r w:rsidR="00AF39FB" w:rsidRPr="00031240">
        <w:rPr>
          <w:rFonts w:ascii="Times New Roman" w:eastAsia="Calibri" w:hAnsi="Times New Roman" w:cs="David" w:hint="cs"/>
          <w:sz w:val="24"/>
          <w:szCs w:val="24"/>
          <w:rtl/>
        </w:rPr>
        <w:t>אם נמצא</w:t>
      </w:r>
      <w:r w:rsidR="00243015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שאין </w:t>
      </w:r>
      <w:r w:rsidR="00AF39FB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לו </w:t>
      </w:r>
      <w:r w:rsidR="00243015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כרית הון </w:t>
      </w:r>
      <w:r w:rsidR="00243015" w:rsidRPr="00031240">
        <w:rPr>
          <w:rFonts w:ascii="Times New Roman" w:eastAsia="Calibri" w:hAnsi="Times New Roman" w:cs="David" w:hint="cs"/>
          <w:sz w:val="24"/>
          <w:szCs w:val="24"/>
          <w:rtl/>
        </w:rPr>
        <w:lastRenderedPageBreak/>
        <w:t xml:space="preserve">מספקת </w:t>
      </w:r>
      <w:r w:rsidR="008C7F76" w:rsidRPr="00031240">
        <w:rPr>
          <w:rFonts w:ascii="Times New Roman" w:eastAsia="Calibri" w:hAnsi="Times New Roman" w:cs="David"/>
          <w:sz w:val="24"/>
          <w:szCs w:val="24"/>
          <w:rtl/>
        </w:rPr>
        <w:t xml:space="preserve">לספיגת </w:t>
      </w:r>
      <w:r w:rsidR="008C7F76" w:rsidRPr="00031240">
        <w:rPr>
          <w:rFonts w:ascii="Times New Roman" w:eastAsia="Calibri" w:hAnsi="Times New Roman" w:cs="David" w:hint="cs"/>
          <w:sz w:val="24"/>
          <w:szCs w:val="24"/>
          <w:rtl/>
        </w:rPr>
        <w:t>הפסדים</w:t>
      </w:r>
      <w:r w:rsidR="00380550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. 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>כן</w:t>
      </w:r>
      <w:r w:rsidR="00AF39FB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מאפשר </w:t>
      </w:r>
      <w:r w:rsidR="00123C42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המבחן </w:t>
      </w:r>
      <w:r w:rsidR="00AF39FB" w:rsidRPr="00031240">
        <w:rPr>
          <w:rFonts w:ascii="Times New Roman" w:eastAsia="Calibri" w:hAnsi="Times New Roman" w:cs="David" w:hint="cs"/>
          <w:sz w:val="24"/>
          <w:szCs w:val="24"/>
          <w:rtl/>
        </w:rPr>
        <w:t>לבדוק את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EF7DDC" w:rsidRPr="00031240">
        <w:rPr>
          <w:rFonts w:ascii="Times New Roman" w:eastAsia="Calibri" w:hAnsi="Times New Roman" w:cs="David"/>
          <w:sz w:val="24"/>
          <w:szCs w:val="24"/>
          <w:rtl/>
        </w:rPr>
        <w:t xml:space="preserve">תהליכי ניהול הסיכונים </w:t>
      </w:r>
      <w:r w:rsidR="00EF7DDC" w:rsidRPr="00031240">
        <w:rPr>
          <w:rFonts w:ascii="Times New Roman" w:eastAsia="Calibri" w:hAnsi="Times New Roman" w:cs="David" w:hint="cs"/>
          <w:sz w:val="24"/>
          <w:szCs w:val="24"/>
          <w:rtl/>
        </w:rPr>
        <w:t>של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 התאגידים הבנקאיים </w:t>
      </w:r>
      <w:r w:rsidR="00AF39FB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ואת </w:t>
      </w:r>
      <w:r w:rsidR="00EF7DDC" w:rsidRPr="00031240">
        <w:rPr>
          <w:rFonts w:ascii="Times New Roman" w:eastAsia="Calibri" w:hAnsi="Times New Roman" w:cs="David"/>
          <w:sz w:val="24"/>
          <w:szCs w:val="24"/>
          <w:rtl/>
        </w:rPr>
        <w:t>יכולת</w:t>
      </w:r>
      <w:r w:rsidR="00EF7DDC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ם 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>ל</w:t>
      </w:r>
      <w:r w:rsidR="00EF7DDC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אמוד את הסיכונים </w:t>
      </w:r>
      <w:r w:rsidR="008C7F76" w:rsidRPr="00031240">
        <w:rPr>
          <w:rFonts w:ascii="Times New Roman" w:eastAsia="Calibri" w:hAnsi="Times New Roman" w:cs="David" w:hint="cs"/>
          <w:sz w:val="24"/>
          <w:szCs w:val="24"/>
          <w:rtl/>
        </w:rPr>
        <w:t>המאיימים עליהם</w:t>
      </w:r>
      <w:r w:rsidR="00EF7DDC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AF39FB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במצב </w:t>
      </w:r>
      <w:r w:rsidR="00EF7DDC" w:rsidRPr="00031240">
        <w:rPr>
          <w:rFonts w:ascii="Times New Roman" w:eastAsia="Calibri" w:hAnsi="Times New Roman" w:cs="David" w:hint="cs"/>
          <w:sz w:val="24"/>
          <w:szCs w:val="24"/>
          <w:rtl/>
        </w:rPr>
        <w:t>קיצון</w:t>
      </w:r>
      <w:r w:rsidR="00123C42" w:rsidRPr="00031240">
        <w:rPr>
          <w:rFonts w:ascii="Times New Roman" w:eastAsia="Calibri" w:hAnsi="Times New Roman" w:cs="David"/>
          <w:sz w:val="24"/>
          <w:szCs w:val="24"/>
          <w:rtl/>
        </w:rPr>
        <w:t xml:space="preserve">. </w:t>
      </w:r>
    </w:p>
    <w:p w:rsidR="00123C42" w:rsidRPr="00031240" w:rsidRDefault="00123C42" w:rsidP="00C4747B">
      <w:pPr>
        <w:spacing w:line="360" w:lineRule="auto"/>
        <w:jc w:val="both"/>
        <w:rPr>
          <w:rFonts w:ascii="Times New Roman" w:eastAsia="Calibri" w:hAnsi="Times New Roman" w:cs="David"/>
          <w:b/>
          <w:bCs/>
          <w:sz w:val="24"/>
          <w:szCs w:val="24"/>
        </w:rPr>
      </w:pP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תוצאות המבחן שהפיקוח על הבנקים ערך השנה מלמדות שהתממשות של תרחיש מקרו-כלכלי מקומי על רקע אירועים </w:t>
      </w:r>
      <w:proofErr w:type="spellStart"/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גיאו</w:t>
      </w:r>
      <w:proofErr w:type="spellEnd"/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-פוליטיים</w:t>
      </w:r>
      <w:r w:rsidR="008C7F76" w:rsidRPr="00031240">
        <w:rPr>
          <w:rFonts w:ascii="Times New Roman" w:eastAsia="Calibri" w:hAnsi="Times New Roman" w:cs="David" w:hint="cs"/>
          <w:sz w:val="24"/>
          <w:szCs w:val="24"/>
          <w:rtl/>
        </w:rPr>
        <w:t>,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בשילוב עם משבר </w:t>
      </w:r>
      <w:r w:rsidR="008E7570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חמור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בשוק הדיור ועליית הריבית במשק, תשפיע</w:t>
      </w:r>
      <w:r w:rsidR="008E7570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משמעות</w:t>
      </w:r>
      <w:r w:rsidR="0083121C" w:rsidRPr="00031240">
        <w:rPr>
          <w:rFonts w:ascii="Times New Roman" w:eastAsia="Calibri" w:hAnsi="Times New Roman" w:cs="David" w:hint="cs"/>
          <w:sz w:val="24"/>
          <w:szCs w:val="24"/>
          <w:rtl/>
        </w:rPr>
        <w:t>י</w:t>
      </w:r>
      <w:r w:rsidR="00AF39FB" w:rsidRPr="00031240">
        <w:rPr>
          <w:rFonts w:ascii="Times New Roman" w:eastAsia="Calibri" w:hAnsi="Times New Roman" w:cs="David" w:hint="cs"/>
          <w:sz w:val="24"/>
          <w:szCs w:val="24"/>
          <w:rtl/>
        </w:rPr>
        <w:t>ת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על המערכת הבנקאית. </w:t>
      </w:r>
      <w:r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עם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זאת, </w:t>
      </w:r>
      <w:r w:rsidR="0083121C"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גם</w:t>
      </w:r>
      <w:r w:rsidR="0083121C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בתרחיש </w:t>
      </w:r>
      <w:r w:rsidR="00DB22E6"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זה</w:t>
      </w:r>
      <w:r w:rsidR="0083121C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המערכת הבנקאית </w:t>
      </w:r>
      <w:r w:rsidR="00367453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צפויה לשמור</w:t>
      </w:r>
      <w:r w:rsidR="00367453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83121C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>על חוסנה ויציבותה</w:t>
      </w:r>
      <w:r w:rsidR="00AF39F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,</w:t>
      </w:r>
      <w:r w:rsidR="0083121C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ו</w:t>
      </w:r>
      <w:r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יחס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83121C"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הלימות</w:t>
      </w:r>
      <w:r w:rsidR="0083121C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ההון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של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הבנקים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0A5188"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אינ</w:t>
      </w:r>
      <w:r w:rsidR="000A5188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ו</w:t>
      </w:r>
      <w:r w:rsidR="000A5188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צפוי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לרדת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מתחת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ל</w:t>
      </w:r>
      <w:r w:rsidR="00484D79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רמת ה</w:t>
      </w:r>
      <w:r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מינימום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שהפיקוח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דורש</w:t>
      </w:r>
      <w:r w:rsidR="0083121C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בתרחיש </w:t>
      </w:r>
      <w:r w:rsidR="00AF39F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</w:t>
      </w:r>
      <w:r w:rsidR="0083121C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>קיצון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– יחס </w:t>
      </w:r>
      <w:r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הון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עצמי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רובד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1 </w:t>
      </w:r>
      <w:r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בגובה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6.5%.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תוצאות אלה משקפות פגיעה ישירה במערכת בעטיים של סיכוני האשראי והשוק, ובמידה מוגבלת גם בעטיים של סיכונים תפעוליים</w:t>
      </w:r>
      <w:r w:rsidR="00BD776D" w:rsidRPr="00031240">
        <w:rPr>
          <w:rFonts w:ascii="Times New Roman" w:eastAsia="Calibri" w:hAnsi="Times New Roman" w:cs="David" w:hint="cs"/>
          <w:sz w:val="24"/>
          <w:szCs w:val="24"/>
          <w:rtl/>
        </w:rPr>
        <w:t>.</w:t>
      </w:r>
      <w:r w:rsidR="008C7F76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98714B" w:rsidRPr="00031240">
        <w:rPr>
          <w:rFonts w:ascii="Times New Roman" w:eastAsia="Calibri" w:hAnsi="Times New Roman" w:cs="David" w:hint="eastAsia"/>
          <w:b/>
          <w:bCs/>
          <w:sz w:val="24"/>
          <w:szCs w:val="24"/>
          <w:rtl/>
        </w:rPr>
        <w:t>התרחיש</w:t>
      </w:r>
      <w:r w:rsidR="0098714B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הוא היפותטי ולא נועד לכלול את כל הזעזועים</w:t>
      </w:r>
      <w:r w:rsidR="0098714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 xml:space="preserve"> הכלכליים האפשריים. </w:t>
      </w:r>
      <w:r w:rsidR="00BD776D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8C7F76" w:rsidRPr="00031240">
        <w:rPr>
          <w:rFonts w:ascii="Times New Roman" w:eastAsia="Calibri" w:hAnsi="Times New Roman" w:cs="David" w:hint="cs"/>
          <w:sz w:val="24"/>
          <w:szCs w:val="24"/>
          <w:rtl/>
        </w:rPr>
        <w:t>יתר</w:t>
      </w:r>
      <w:r w:rsidR="008C7F76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8C7F76" w:rsidRPr="00031240">
        <w:rPr>
          <w:rFonts w:ascii="Times New Roman" w:eastAsia="Calibri" w:hAnsi="Times New Roman" w:cs="David" w:hint="cs"/>
          <w:sz w:val="24"/>
          <w:szCs w:val="24"/>
          <w:rtl/>
        </w:rPr>
        <w:t>על</w:t>
      </w:r>
      <w:r w:rsidR="008C7F76"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8C7F76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כן, </w:t>
      </w:r>
      <w:r w:rsidR="00BD776D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מצד אחד, </w:t>
      </w:r>
      <w:r w:rsidR="0041606C" w:rsidRPr="00031240">
        <w:rPr>
          <w:rFonts w:ascii="Times New Roman" w:eastAsia="Calibri" w:hAnsi="Times New Roman" w:cs="David" w:hint="cs"/>
          <w:sz w:val="24"/>
          <w:szCs w:val="24"/>
          <w:rtl/>
        </w:rPr>
        <w:t>התוצאות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אינן מביאות בחשבון</w:t>
      </w:r>
      <w:r w:rsidR="008C7F76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השפעות נוספות, כגון פגיעה בנזילות</w:t>
      </w:r>
      <w:r w:rsidR="00BD776D" w:rsidRPr="00031240">
        <w:rPr>
          <w:rFonts w:ascii="Times New Roman" w:eastAsia="Calibri" w:hAnsi="Times New Roman" w:cs="David" w:hint="cs"/>
          <w:sz w:val="24"/>
          <w:szCs w:val="24"/>
          <w:rtl/>
        </w:rPr>
        <w:t>,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563A4F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שתיתכן באירוע קיצון 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>–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התפתחות שעלולה לפגוע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במוניטין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של הבנק ולהביא </w:t>
      </w:r>
      <w:proofErr w:type="spellStart"/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להיזונים</w:t>
      </w:r>
      <w:proofErr w:type="spellEnd"/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חוזרים</w:t>
      </w:r>
      <w:r w:rsidR="00563A4F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שליליים נוספים</w:t>
      </w:r>
      <w:r w:rsidR="0098714B" w:rsidRPr="00031240">
        <w:rPr>
          <w:rFonts w:ascii="Times New Roman" w:eastAsia="Calibri" w:hAnsi="Times New Roman" w:cs="David" w:hint="cs"/>
          <w:sz w:val="24"/>
          <w:szCs w:val="24"/>
          <w:rtl/>
        </w:rPr>
        <w:t>;</w:t>
      </w:r>
      <w:r w:rsidR="00BD776D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מצד שני </w:t>
      </w:r>
      <w:r w:rsidR="00484D79" w:rsidRPr="00031240">
        <w:rPr>
          <w:rFonts w:ascii="Times New Roman" w:eastAsia="Calibri" w:hAnsi="Times New Roman" w:cs="David" w:hint="cs"/>
          <w:sz w:val="24"/>
          <w:szCs w:val="24"/>
          <w:rtl/>
        </w:rPr>
        <w:t>הן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מחמירות, </w:t>
      </w:r>
      <w:r w:rsidR="008C7F76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כי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הן אינן מביאות בחשבון פעולות שהנהל</w:t>
      </w:r>
      <w:r w:rsidR="00AF39FB" w:rsidRPr="00031240">
        <w:rPr>
          <w:rFonts w:ascii="Times New Roman" w:eastAsia="Calibri" w:hAnsi="Times New Roman" w:cs="David" w:hint="cs"/>
          <w:sz w:val="24"/>
          <w:szCs w:val="24"/>
          <w:rtl/>
        </w:rPr>
        <w:t>ו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>ת הבנק</w:t>
      </w:r>
      <w:r w:rsidR="00AF39FB" w:rsidRPr="00031240">
        <w:rPr>
          <w:rFonts w:ascii="Times New Roman" w:eastAsia="Calibri" w:hAnsi="Times New Roman" w:cs="David" w:hint="cs"/>
          <w:sz w:val="24"/>
          <w:szCs w:val="24"/>
          <w:rtl/>
        </w:rPr>
        <w:t>ים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AF39FB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עשויות 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>לנקוט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בתגובה למשבר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, </w:t>
      </w:r>
      <w:r w:rsidR="008C7F76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פעולות 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אשר יש בהן כדי להקטין </w:t>
      </w:r>
      <w:r w:rsidR="007164CB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את הפגיעה </w:t>
      </w:r>
      <w:r w:rsidR="00AF39FB" w:rsidRPr="00031240">
        <w:rPr>
          <w:rFonts w:ascii="Times New Roman" w:eastAsia="Calibri" w:hAnsi="Times New Roman" w:cs="David" w:hint="cs"/>
          <w:sz w:val="24"/>
          <w:szCs w:val="24"/>
          <w:rtl/>
        </w:rPr>
        <w:t>בהם</w:t>
      </w:r>
      <w:r w:rsidR="00C4747B" w:rsidRPr="00031240">
        <w:rPr>
          <w:rStyle w:val="a9"/>
          <w:rFonts w:ascii="Times New Roman" w:eastAsia="Calibri" w:hAnsi="Times New Roman" w:cs="David"/>
          <w:sz w:val="24"/>
          <w:szCs w:val="24"/>
          <w:rtl/>
        </w:rPr>
        <w:footnoteReference w:id="2"/>
      </w:r>
      <w:r w:rsidR="00C4747B" w:rsidRPr="00031240">
        <w:rPr>
          <w:rFonts w:ascii="Times New Roman" w:eastAsia="Calibri" w:hAnsi="Times New Roman" w:cs="David" w:hint="cs"/>
          <w:sz w:val="24"/>
          <w:szCs w:val="24"/>
          <w:rtl/>
        </w:rPr>
        <w:t>.</w:t>
      </w:r>
      <w:r w:rsidR="00AF39FB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</w:p>
    <w:p w:rsidR="0098714B" w:rsidRPr="00031240" w:rsidRDefault="00123C42" w:rsidP="0098714B">
      <w:pPr>
        <w:tabs>
          <w:tab w:val="num" w:pos="935"/>
        </w:tabs>
        <w:spacing w:line="360" w:lineRule="auto"/>
        <w:jc w:val="both"/>
        <w:rPr>
          <w:rFonts w:ascii="Times New Roman" w:eastAsia="Calibri" w:hAnsi="Times New Roman" w:cs="David"/>
          <w:sz w:val="24"/>
          <w:szCs w:val="24"/>
        </w:rPr>
      </w:pPr>
      <w:r w:rsidRPr="00031240">
        <w:rPr>
          <w:rFonts w:ascii="Times New Roman" w:eastAsia="Calibri" w:hAnsi="Times New Roman" w:cs="David" w:hint="cs"/>
          <w:sz w:val="24"/>
          <w:szCs w:val="24"/>
          <w:rtl/>
        </w:rPr>
        <w:lastRenderedPageBreak/>
        <w:t>ביסוד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המבחן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שנערך ב-2018 שני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תרחישים </w:t>
      </w:r>
      <w:r w:rsidR="008809D8" w:rsidRPr="00031240">
        <w:rPr>
          <w:rFonts w:ascii="Times New Roman" w:eastAsia="Calibri" w:hAnsi="Times New Roman" w:cs="David"/>
          <w:sz w:val="24"/>
          <w:szCs w:val="24"/>
          <w:rtl/>
        </w:rPr>
        <w:t>–</w:t>
      </w:r>
      <w:r w:rsidR="008809D8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תרחיש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בסיס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ותרחיש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קיצון</w:t>
      </w:r>
      <w:r w:rsidR="005121D4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(איור 1)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. </w:t>
      </w:r>
      <w:r w:rsidR="0098714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תרחיש</w:t>
      </w:r>
      <w:r w:rsidR="0098714B"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="0098714B"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הבסיס</w:t>
      </w:r>
      <w:r w:rsidR="0098714B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משקף את הנתיב הצפוי של הכלכלה, ומתבסס על הערכות המקרו של חטיבת המחקר בבנק ישראל, על תחזיות המקרו של גופים בין-לאומיים לגבי ההתפתחויות העולמיות ועל הערכות נוספות לגבי התפתחות הכלכלה בארץ ובעולם. </w:t>
      </w:r>
    </w:p>
    <w:p w:rsidR="00123C42" w:rsidRPr="00031240" w:rsidRDefault="00123C42" w:rsidP="003C0D09">
      <w:pPr>
        <w:spacing w:line="360" w:lineRule="auto"/>
        <w:jc w:val="both"/>
        <w:rPr>
          <w:rFonts w:ascii="Times New Roman" w:eastAsia="Calibri" w:hAnsi="Times New Roman" w:cs="David"/>
          <w:sz w:val="24"/>
          <w:szCs w:val="24"/>
          <w:rtl/>
        </w:rPr>
      </w:pP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תרחיש</w:t>
      </w:r>
      <w:r w:rsidRPr="00031240">
        <w:rPr>
          <w:rFonts w:ascii="Times New Roman" w:eastAsia="Calibri" w:hAnsi="Times New Roman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הקיצון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מתאפיין ברמת חומרה גבוהה</w:t>
      </w:r>
      <w:r w:rsidR="008C7F76" w:rsidRPr="00031240">
        <w:rPr>
          <w:rFonts w:ascii="Times New Roman" w:eastAsia="Calibri" w:hAnsi="Times New Roman" w:cs="David" w:hint="cs"/>
          <w:sz w:val="24"/>
          <w:szCs w:val="24"/>
          <w:rtl/>
        </w:rPr>
        <w:t>, ו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משקף את מוקדי הסיכון שהמשק הישראלי והמערכת הבנקאית חשופים להם. יש לשוב ולהדגיש כי תרחיש </w:t>
      </w:r>
      <w:r w:rsidR="0098714B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זה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אינו תחזית אלא מצב היפותטי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קיצוני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, וכי הוא נועד לבחון את עמידות התאגידים הבנקאיים בסביבה מקרו-כלכלית שונה</w:t>
      </w:r>
      <w:r w:rsidR="00B32500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מן הקיימת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. נקודת הפתיחה </w:t>
      </w:r>
      <w:r w:rsidR="0098714B" w:rsidRPr="00031240">
        <w:rPr>
          <w:rFonts w:ascii="Times New Roman" w:eastAsia="Calibri" w:hAnsi="Times New Roman" w:cs="David" w:hint="cs"/>
          <w:sz w:val="24"/>
          <w:szCs w:val="24"/>
          <w:rtl/>
        </w:rPr>
        <w:t>שלו</w:t>
      </w:r>
      <w:r w:rsidR="008C7F76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היא נתוני התאגידים הבנקאיים ליוני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2018</w:t>
      </w:r>
      <w:r w:rsidR="00B32500" w:rsidRPr="00031240">
        <w:rPr>
          <w:rFonts w:ascii="Times New Roman" w:eastAsia="Calibri" w:hAnsi="Times New Roman" w:cs="David" w:hint="cs"/>
          <w:sz w:val="24"/>
          <w:szCs w:val="24"/>
          <w:rtl/>
        </w:rPr>
        <w:t>. ה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תרחיש </w:t>
      </w:r>
      <w:r w:rsidR="00B32500" w:rsidRPr="00031240">
        <w:rPr>
          <w:rFonts w:ascii="Times New Roman" w:eastAsia="Calibri" w:hAnsi="Times New Roman" w:cs="David" w:hint="cs"/>
          <w:sz w:val="24"/>
          <w:szCs w:val="24"/>
          <w:rtl/>
        </w:rPr>
        <w:t>מתחיל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B32500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בינואר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2019 </w:t>
      </w:r>
      <w:r w:rsidR="00B32500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ומסתיים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בדצמבר 2021</w:t>
      </w:r>
      <w:r w:rsidR="00B32500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–</w:t>
      </w:r>
      <w:r w:rsidR="008C7F76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3C0D09" w:rsidRPr="00031240">
        <w:rPr>
          <w:rFonts w:ascii="Times New Roman" w:eastAsia="Calibri" w:hAnsi="Times New Roman" w:cs="David" w:hint="cs"/>
          <w:sz w:val="24"/>
          <w:szCs w:val="24"/>
          <w:rtl/>
        </w:rPr>
        <w:t>שלוש שנים (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שנ</w:t>
      </w:r>
      <w:r w:rsidR="003C0D09" w:rsidRPr="00031240">
        <w:rPr>
          <w:rFonts w:ascii="Times New Roman" w:eastAsia="Calibri" w:hAnsi="Times New Roman" w:cs="David" w:hint="cs"/>
          <w:sz w:val="24"/>
          <w:szCs w:val="24"/>
          <w:rtl/>
        </w:rPr>
        <w:t>י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ם עשר רבעונים</w:t>
      </w:r>
      <w:r w:rsidR="003C0D09" w:rsidRPr="00031240">
        <w:rPr>
          <w:rFonts w:ascii="Times New Roman" w:eastAsia="Calibri" w:hAnsi="Times New Roman" w:cs="David" w:hint="cs"/>
          <w:sz w:val="24"/>
          <w:szCs w:val="24"/>
          <w:rtl/>
        </w:rPr>
        <w:t>)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.</w:t>
      </w:r>
    </w:p>
    <w:p w:rsidR="00123C42" w:rsidRPr="00031240" w:rsidRDefault="00123C42" w:rsidP="00D42533">
      <w:pPr>
        <w:tabs>
          <w:tab w:val="num" w:pos="935"/>
        </w:tabs>
        <w:spacing w:line="360" w:lineRule="auto"/>
        <w:jc w:val="both"/>
        <w:rPr>
          <w:rFonts w:ascii="Times New Roman" w:eastAsia="Calibri" w:hAnsi="Times New Roman" w:cs="David"/>
          <w:sz w:val="24"/>
          <w:szCs w:val="24"/>
        </w:rPr>
      </w:pP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תרחיש </w:t>
      </w:r>
      <w:r w:rsidR="00B32500" w:rsidRPr="00031240">
        <w:rPr>
          <w:rFonts w:ascii="Times New Roman" w:eastAsia="Calibri" w:hAnsi="Times New Roman" w:cs="David" w:hint="cs"/>
          <w:sz w:val="24"/>
          <w:szCs w:val="24"/>
          <w:rtl/>
        </w:rPr>
        <w:t>ה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>קיצון,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מאופיין בזעזוע מקומי על רקע אירועים </w:t>
      </w:r>
      <w:proofErr w:type="spellStart"/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גיאו</w:t>
      </w:r>
      <w:proofErr w:type="spellEnd"/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-פוליטיים חמורים</w:t>
      </w:r>
      <w:r w:rsidR="005413A0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בישראל</w:t>
      </w:r>
      <w:r w:rsidR="0029539B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בשילוב עם משבר בשוק הדיור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, </w:t>
      </w:r>
      <w:r w:rsidR="00BA7F2C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מצב המביא </w:t>
      </w:r>
      <w:r w:rsidR="00985ED1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להתכווצות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התוצר על כל רכיביו ו</w:t>
      </w:r>
      <w:r w:rsidR="00FE2457" w:rsidRPr="00031240">
        <w:rPr>
          <w:rFonts w:ascii="Times New Roman" w:eastAsia="Calibri" w:hAnsi="Times New Roman" w:cs="David" w:hint="cs"/>
          <w:sz w:val="24"/>
          <w:szCs w:val="24"/>
          <w:rtl/>
        </w:rPr>
        <w:t>ל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עלייה באבטלה, </w:t>
      </w:r>
      <w:r w:rsidR="008C7F76" w:rsidRPr="00031240">
        <w:rPr>
          <w:rFonts w:ascii="Times New Roman" w:eastAsia="Calibri" w:hAnsi="Times New Roman" w:cs="David" w:hint="cs"/>
          <w:sz w:val="24"/>
          <w:szCs w:val="24"/>
          <w:rtl/>
        </w:rPr>
        <w:t>בעוד ש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הכלכלה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העולמית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="00190754" w:rsidRPr="00031240">
        <w:rPr>
          <w:rFonts w:ascii="Times New Roman" w:eastAsia="Calibri" w:hAnsi="Times New Roman" w:cs="David" w:hint="cs"/>
          <w:sz w:val="24"/>
          <w:szCs w:val="24"/>
          <w:rtl/>
        </w:rPr>
        <w:t>ממשיכה לצמוח</w:t>
      </w:r>
      <w:r w:rsidR="008C7F76" w:rsidRPr="00031240">
        <w:rPr>
          <w:rFonts w:ascii="Times New Roman" w:eastAsia="Calibri" w:hAnsi="Times New Roman" w:cs="David" w:hint="cs"/>
          <w:sz w:val="24"/>
          <w:szCs w:val="24"/>
          <w:rtl/>
        </w:rPr>
        <w:t>.</w:t>
      </w:r>
      <w:r w:rsidR="000B1409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כתוצאה מכך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בנק ישראל מעלה 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משמעותית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את הריבית</w:t>
      </w:r>
      <w:r w:rsidR="00C4747B" w:rsidRPr="00031240">
        <w:rPr>
          <w:rFonts w:ascii="Times New Roman" w:eastAsia="Calibri" w:hAnsi="Times New Roman" w:cs="David" w:hint="cs"/>
          <w:sz w:val="24"/>
          <w:szCs w:val="24"/>
          <w:rtl/>
        </w:rPr>
        <w:t>.</w:t>
      </w:r>
      <w:r w:rsidR="00FE2457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>ל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זעזוע זה 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>השלכות משמעותיות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הן על הצד הריאלי והן על הצד הפיננסי של המשק הישראלי.</w:t>
      </w:r>
    </w:p>
    <w:p w:rsidR="00123C42" w:rsidRPr="00031240" w:rsidRDefault="00123C42" w:rsidP="00527C1D">
      <w:pPr>
        <w:spacing w:line="360" w:lineRule="auto"/>
        <w:contextualSpacing/>
        <w:jc w:val="both"/>
        <w:rPr>
          <w:rFonts w:ascii="Times New Roman" w:eastAsia="Calibri" w:hAnsi="Times New Roman" w:cs="David"/>
          <w:b/>
          <w:bCs/>
          <w:sz w:val="24"/>
          <w:szCs w:val="24"/>
        </w:rPr>
      </w:pPr>
      <w:r w:rsidRPr="00031240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ההנחות</w:t>
      </w:r>
    </w:p>
    <w:p w:rsidR="00123C42" w:rsidRPr="00031240" w:rsidRDefault="00123C42" w:rsidP="00D42533">
      <w:pPr>
        <w:spacing w:line="360" w:lineRule="auto"/>
        <w:jc w:val="both"/>
        <w:rPr>
          <w:rFonts w:ascii="Times New Roman" w:eastAsia="Calibri" w:hAnsi="Times New Roman" w:cs="David"/>
          <w:sz w:val="24"/>
          <w:szCs w:val="24"/>
          <w:rtl/>
        </w:rPr>
      </w:pPr>
      <w:r w:rsidRPr="00031240">
        <w:rPr>
          <w:rFonts w:ascii="Times New Roman" w:eastAsia="Calibri" w:hAnsi="Times New Roman" w:cs="David" w:hint="cs"/>
          <w:sz w:val="24"/>
          <w:szCs w:val="24"/>
          <w:rtl/>
        </w:rPr>
        <w:lastRenderedPageBreak/>
        <w:t>הפיקוח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על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הבנקים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ערך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את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מבחן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הקיצון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בהתבסס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על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הנחות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שונות</w:t>
      </w:r>
      <w:r w:rsidR="00983870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, </w:t>
      </w:r>
      <w:r w:rsidR="0058326E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במטרה לבחון את השפעת התרחיש על כל אחד מהבנקים וללמוד על מוקדי הסיכון </w:t>
      </w:r>
      <w:r w:rsidR="000B1409" w:rsidRPr="00031240">
        <w:rPr>
          <w:rFonts w:ascii="Times New Roman" w:eastAsia="Calibri" w:hAnsi="Times New Roman" w:cs="David" w:hint="cs"/>
          <w:sz w:val="24"/>
          <w:szCs w:val="24"/>
          <w:rtl/>
        </w:rPr>
        <w:t>ש</w:t>
      </w:r>
      <w:r w:rsidR="0058326E" w:rsidRPr="00031240">
        <w:rPr>
          <w:rFonts w:ascii="Times New Roman" w:eastAsia="Calibri" w:hAnsi="Times New Roman" w:cs="David" w:hint="cs"/>
          <w:sz w:val="24"/>
          <w:szCs w:val="24"/>
          <w:rtl/>
        </w:rPr>
        <w:t>כל בנק חשוף ל</w:t>
      </w:r>
      <w:r w:rsidR="000B1409" w:rsidRPr="00031240">
        <w:rPr>
          <w:rFonts w:ascii="Times New Roman" w:eastAsia="Calibri" w:hAnsi="Times New Roman" w:cs="David" w:hint="cs"/>
          <w:sz w:val="24"/>
          <w:szCs w:val="24"/>
          <w:rtl/>
        </w:rPr>
        <w:t>הם</w:t>
      </w:r>
      <w:r w:rsidR="0058326E" w:rsidRPr="00031240">
        <w:rPr>
          <w:rFonts w:ascii="Times New Roman" w:eastAsia="Calibri" w:hAnsi="Times New Roman" w:cs="David" w:hint="cs"/>
          <w:sz w:val="24"/>
          <w:szCs w:val="24"/>
          <w:rtl/>
        </w:rPr>
        <w:t>.</w:t>
      </w:r>
      <w:r w:rsidR="0058326E" w:rsidRPr="00031240" w:rsidDel="0058326E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7164CB" w:rsidRPr="00031240">
        <w:rPr>
          <w:rFonts w:ascii="Times New Roman" w:eastAsia="Calibri" w:hAnsi="Times New Roman" w:cs="David" w:hint="cs"/>
          <w:sz w:val="24"/>
          <w:szCs w:val="24"/>
          <w:rtl/>
        </w:rPr>
        <w:t>בין ההנחות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: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במהלך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התרחיש אין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שינוי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ביתרת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הנכסים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ובתמהילם;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אין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גיוס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הון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נוסף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;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ואין מביאים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בחשבון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את הפעולות שהנהלות הבנקים 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עשויות לנקוט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בתגובה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להתפתחות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המשבר</w:t>
      </w:r>
      <w:r w:rsidR="00367453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כדי להקטין את הפגיעה</w:t>
      </w:r>
      <w:r w:rsidR="00367453" w:rsidRPr="00031240">
        <w:rPr>
          <w:rStyle w:val="a9"/>
          <w:rFonts w:ascii="Times New Roman" w:eastAsia="Calibri" w:hAnsi="Times New Roman" w:cs="David"/>
          <w:sz w:val="24"/>
          <w:szCs w:val="24"/>
          <w:rtl/>
        </w:rPr>
        <w:footnoteReference w:id="3"/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.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תוצאות המבחן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משקפות את ההשפעה הישירה של התרחיש על ההון, הרווחיות, תיק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האשראי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ותיק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ניירות הערך.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מבחן זה אינו בודק את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האפשרות של פגיעה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בנזילות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הבנקים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proofErr w:type="spellStart"/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ו</w:t>
      </w:r>
      <w:r w:rsidR="00D42533" w:rsidRPr="00031240">
        <w:rPr>
          <w:rFonts w:ascii="Times New Roman" w:eastAsia="Calibri" w:hAnsi="Times New Roman" w:cs="David" w:hint="cs"/>
          <w:sz w:val="24"/>
          <w:szCs w:val="24"/>
          <w:rtl/>
        </w:rPr>
        <w:t>היזונים</w:t>
      </w:r>
      <w:proofErr w:type="spellEnd"/>
      <w:r w:rsidR="00D42533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חוזרים כגון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פגיעה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באמון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 </w:t>
      </w:r>
      <w:r w:rsidRPr="00031240">
        <w:rPr>
          <w:rFonts w:ascii="Times New Roman" w:eastAsia="Calibri" w:hAnsi="Times New Roman" w:cs="David" w:hint="cs"/>
          <w:sz w:val="24"/>
          <w:szCs w:val="24"/>
          <w:rtl/>
        </w:rPr>
        <w:t>המשקיעים</w:t>
      </w:r>
      <w:r w:rsidRPr="00031240">
        <w:rPr>
          <w:rFonts w:ascii="Times New Roman" w:eastAsia="Calibri" w:hAnsi="Times New Roman" w:cs="David"/>
          <w:sz w:val="24"/>
          <w:szCs w:val="24"/>
          <w:rtl/>
        </w:rPr>
        <w:t xml:space="preserve">. </w:t>
      </w:r>
    </w:p>
    <w:p w:rsidR="006E3A0D" w:rsidRPr="00031240" w:rsidRDefault="006E3A0D" w:rsidP="00367453">
      <w:pPr>
        <w:spacing w:line="360" w:lineRule="auto"/>
        <w:jc w:val="both"/>
        <w:rPr>
          <w:rFonts w:ascii="Times New Roman" w:eastAsia="Calibri" w:hAnsi="Times New Roman" w:cs="David"/>
          <w:sz w:val="24"/>
          <w:szCs w:val="24"/>
          <w:rtl/>
        </w:rPr>
      </w:pPr>
    </w:p>
    <w:p w:rsidR="00123C42" w:rsidRPr="00527C1D" w:rsidRDefault="00123C42" w:rsidP="00527C1D">
      <w:pPr>
        <w:spacing w:line="360" w:lineRule="auto"/>
        <w:jc w:val="both"/>
        <w:rPr>
          <w:rFonts w:ascii="Times New Roman" w:eastAsia="Calibri" w:hAnsi="Times New Roman" w:cs="David"/>
          <w:b/>
          <w:bCs/>
          <w:sz w:val="24"/>
          <w:szCs w:val="24"/>
        </w:rPr>
      </w:pPr>
      <w:r w:rsidRPr="00527C1D">
        <w:rPr>
          <w:rFonts w:ascii="Times New Roman" w:eastAsia="Calibri" w:hAnsi="Times New Roman" w:cs="David" w:hint="cs"/>
          <w:b/>
          <w:bCs/>
          <w:sz w:val="24"/>
          <w:szCs w:val="24"/>
          <w:rtl/>
        </w:rPr>
        <w:t>הממצאים</w:t>
      </w:r>
    </w:p>
    <w:p w:rsidR="00123C42" w:rsidRPr="00031240" w:rsidRDefault="00123C42" w:rsidP="006C6EA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31240">
        <w:rPr>
          <w:rFonts w:ascii="David" w:hAnsi="David" w:cs="David" w:hint="cs"/>
          <w:b/>
          <w:bCs/>
          <w:sz w:val="24"/>
          <w:szCs w:val="24"/>
          <w:rtl/>
        </w:rPr>
        <w:t xml:space="preserve">זעזוע </w:t>
      </w:r>
      <w:r w:rsidR="007164CB" w:rsidRPr="00031240">
        <w:rPr>
          <w:rFonts w:ascii="David" w:hAnsi="David" w:cs="David" w:hint="cs"/>
          <w:b/>
          <w:bCs/>
          <w:sz w:val="24"/>
          <w:szCs w:val="24"/>
          <w:rtl/>
        </w:rPr>
        <w:t>מקרו-</w:t>
      </w:r>
      <w:r w:rsidRPr="00031240">
        <w:rPr>
          <w:rFonts w:ascii="David" w:hAnsi="David" w:cs="David" w:hint="cs"/>
          <w:b/>
          <w:bCs/>
          <w:sz w:val="24"/>
          <w:szCs w:val="24"/>
          <w:rtl/>
        </w:rPr>
        <w:t xml:space="preserve">כלכלי מקומי בשילוב </w:t>
      </w:r>
      <w:r w:rsidR="00FE2457" w:rsidRPr="00031240">
        <w:rPr>
          <w:rFonts w:ascii="David" w:hAnsi="David" w:cs="David" w:hint="cs"/>
          <w:b/>
          <w:bCs/>
          <w:sz w:val="24"/>
          <w:szCs w:val="24"/>
          <w:rtl/>
        </w:rPr>
        <w:t xml:space="preserve">עם </w:t>
      </w:r>
      <w:r w:rsidRPr="00031240">
        <w:rPr>
          <w:rFonts w:ascii="David" w:hAnsi="David" w:cs="David" w:hint="cs"/>
          <w:b/>
          <w:bCs/>
          <w:sz w:val="24"/>
          <w:szCs w:val="24"/>
          <w:rtl/>
        </w:rPr>
        <w:t xml:space="preserve">משבר בשוק הדיור ועליית הריבית במשק צפוי להשפיע משמעותית על המערכת הבנקאית, אך לא לסכן את יציבותה. 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כתוצאה </w:t>
      </w:r>
      <w:r w:rsidR="003C2391" w:rsidRPr="00031240">
        <w:rPr>
          <w:rFonts w:ascii="David" w:hAnsi="David" w:cs="David" w:hint="cs"/>
          <w:sz w:val="24"/>
          <w:szCs w:val="24"/>
          <w:rtl/>
        </w:rPr>
        <w:t xml:space="preserve">מהתרחיש </w:t>
      </w:r>
      <w:r w:rsidR="00367453" w:rsidRPr="00031240">
        <w:rPr>
          <w:rFonts w:ascii="David" w:hAnsi="David" w:cs="David" w:hint="cs"/>
          <w:sz w:val="24"/>
          <w:szCs w:val="24"/>
          <w:rtl/>
        </w:rPr>
        <w:t>בנק ישראל מעלה בחדות את ה</w:t>
      </w:r>
      <w:r w:rsidR="00367453" w:rsidRPr="00031240">
        <w:rPr>
          <w:rFonts w:ascii="David" w:hAnsi="David" w:cs="David"/>
          <w:sz w:val="24"/>
          <w:szCs w:val="24"/>
          <w:rtl/>
        </w:rPr>
        <w:t xml:space="preserve">ריבית </w:t>
      </w:r>
      <w:r w:rsidR="00367453" w:rsidRPr="00031240">
        <w:rPr>
          <w:rFonts w:ascii="David" w:hAnsi="David" w:cs="David" w:hint="cs"/>
          <w:sz w:val="24"/>
          <w:szCs w:val="24"/>
          <w:rtl/>
        </w:rPr>
        <w:t>במשק</w:t>
      </w:r>
      <w:r w:rsidR="000B1409" w:rsidRPr="00031240">
        <w:rPr>
          <w:rFonts w:ascii="David" w:hAnsi="David" w:cs="David" w:hint="cs"/>
          <w:sz w:val="24"/>
          <w:szCs w:val="24"/>
          <w:rtl/>
        </w:rPr>
        <w:t xml:space="preserve">; </w:t>
      </w:r>
      <w:r w:rsidR="005413A0" w:rsidRPr="00031240">
        <w:rPr>
          <w:rFonts w:ascii="David" w:hAnsi="David" w:cs="David" w:hint="cs"/>
          <w:sz w:val="24"/>
          <w:szCs w:val="24"/>
          <w:rtl/>
        </w:rPr>
        <w:t>משמע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443B55" w:rsidRPr="00031240">
        <w:rPr>
          <w:rFonts w:ascii="David" w:hAnsi="David" w:cs="David" w:hint="cs"/>
          <w:sz w:val="24"/>
          <w:szCs w:val="24"/>
          <w:rtl/>
        </w:rPr>
        <w:t xml:space="preserve">שיחד עם 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הכבדה משמעותית של נטל ההחזר </w:t>
      </w:r>
      <w:r w:rsidR="005413A0" w:rsidRPr="00031240">
        <w:rPr>
          <w:rFonts w:ascii="David" w:hAnsi="David" w:cs="David" w:hint="cs"/>
          <w:sz w:val="24"/>
          <w:szCs w:val="24"/>
          <w:rtl/>
        </w:rPr>
        <w:t>ללווים</w:t>
      </w:r>
      <w:r w:rsidR="00367453" w:rsidRPr="00031240">
        <w:rPr>
          <w:rFonts w:ascii="David" w:hAnsi="David" w:cs="David" w:hint="cs"/>
          <w:sz w:val="24"/>
          <w:szCs w:val="24"/>
          <w:rtl/>
        </w:rPr>
        <w:t>, המשבר הכלכלי</w:t>
      </w:r>
      <w:r w:rsidRPr="00031240">
        <w:rPr>
          <w:rFonts w:ascii="David" w:hAnsi="David" w:cs="David"/>
          <w:sz w:val="24"/>
          <w:szCs w:val="24"/>
          <w:rtl/>
        </w:rPr>
        <w:t xml:space="preserve"> מקשה על הציבור כולו לעמוד בהתחייבויות</w:t>
      </w:r>
      <w:r w:rsidR="00DB22E6" w:rsidRPr="00031240">
        <w:rPr>
          <w:rFonts w:ascii="David" w:hAnsi="David" w:cs="David" w:hint="cs"/>
          <w:sz w:val="24"/>
          <w:szCs w:val="24"/>
          <w:rtl/>
        </w:rPr>
        <w:t>יו</w:t>
      </w:r>
      <w:r w:rsidRPr="00031240">
        <w:rPr>
          <w:rFonts w:ascii="David" w:hAnsi="David" w:cs="David" w:hint="cs"/>
          <w:sz w:val="24"/>
          <w:szCs w:val="24"/>
          <w:rtl/>
        </w:rPr>
        <w:t xml:space="preserve">. כל </w:t>
      </w:r>
      <w:r w:rsidR="005B7EE1" w:rsidRPr="00031240">
        <w:rPr>
          <w:rFonts w:ascii="David" w:hAnsi="David" w:cs="David" w:hint="cs"/>
          <w:sz w:val="24"/>
          <w:szCs w:val="24"/>
          <w:rtl/>
        </w:rPr>
        <w:t xml:space="preserve">אלה </w:t>
      </w:r>
      <w:r w:rsidRPr="00031240">
        <w:rPr>
          <w:rFonts w:ascii="David" w:hAnsi="David" w:cs="David" w:hint="cs"/>
          <w:sz w:val="24"/>
          <w:szCs w:val="24"/>
          <w:rtl/>
        </w:rPr>
        <w:t>מביאים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="005413A0" w:rsidRPr="00031240">
        <w:rPr>
          <w:rFonts w:ascii="David" w:hAnsi="David" w:cs="David" w:hint="cs"/>
          <w:sz w:val="24"/>
          <w:szCs w:val="24"/>
          <w:rtl/>
        </w:rPr>
        <w:lastRenderedPageBreak/>
        <w:t>להפסדים משמעותיים של הבנקים</w:t>
      </w:r>
      <w:r w:rsidRPr="00031240">
        <w:rPr>
          <w:rFonts w:ascii="David" w:hAnsi="David" w:cs="David"/>
          <w:sz w:val="24"/>
          <w:szCs w:val="24"/>
          <w:rtl/>
        </w:rPr>
        <w:t xml:space="preserve"> בתיק האשראי. </w:t>
      </w:r>
      <w:r w:rsidRPr="00031240">
        <w:rPr>
          <w:rFonts w:ascii="David" w:hAnsi="David" w:cs="David" w:hint="cs"/>
          <w:sz w:val="24"/>
          <w:szCs w:val="24"/>
          <w:rtl/>
        </w:rPr>
        <w:t>עלי</w:t>
      </w:r>
      <w:r w:rsidR="005413A0" w:rsidRPr="00031240">
        <w:rPr>
          <w:rFonts w:ascii="David" w:hAnsi="David" w:cs="David" w:hint="cs"/>
          <w:sz w:val="24"/>
          <w:szCs w:val="24"/>
          <w:rtl/>
        </w:rPr>
        <w:t>י</w:t>
      </w:r>
      <w:r w:rsidRPr="00031240">
        <w:rPr>
          <w:rFonts w:ascii="David" w:hAnsi="David" w:cs="David" w:hint="cs"/>
          <w:sz w:val="24"/>
          <w:szCs w:val="24"/>
          <w:rtl/>
        </w:rPr>
        <w:t xml:space="preserve">ת הריבית </w:t>
      </w:r>
      <w:r w:rsidR="005413A0" w:rsidRPr="00031240">
        <w:rPr>
          <w:rFonts w:ascii="David" w:hAnsi="David" w:cs="David" w:hint="cs"/>
          <w:sz w:val="24"/>
          <w:szCs w:val="24"/>
          <w:rtl/>
        </w:rPr>
        <w:t xml:space="preserve">גורמת </w:t>
      </w:r>
      <w:r w:rsidRPr="00031240">
        <w:rPr>
          <w:rFonts w:ascii="David" w:hAnsi="David" w:cs="David" w:hint="cs"/>
          <w:sz w:val="24"/>
          <w:szCs w:val="24"/>
          <w:rtl/>
        </w:rPr>
        <w:t xml:space="preserve">הפסדים </w:t>
      </w:r>
      <w:r w:rsidR="005413A0" w:rsidRPr="00031240">
        <w:rPr>
          <w:rFonts w:ascii="David" w:hAnsi="David" w:cs="David" w:hint="cs"/>
          <w:sz w:val="24"/>
          <w:szCs w:val="24"/>
          <w:rtl/>
        </w:rPr>
        <w:t xml:space="preserve">גם </w:t>
      </w:r>
      <w:r w:rsidRPr="00031240">
        <w:rPr>
          <w:rFonts w:ascii="David" w:hAnsi="David" w:cs="David" w:hint="cs"/>
          <w:sz w:val="24"/>
          <w:szCs w:val="24"/>
          <w:rtl/>
        </w:rPr>
        <w:t>בתיק ניירות הערך</w:t>
      </w:r>
      <w:r w:rsidR="00513301" w:rsidRPr="00031240">
        <w:rPr>
          <w:rFonts w:ascii="David" w:hAnsi="David" w:cs="David" w:hint="cs"/>
          <w:sz w:val="24"/>
          <w:szCs w:val="24"/>
          <w:rtl/>
        </w:rPr>
        <w:t xml:space="preserve"> של הבנקים</w:t>
      </w:r>
      <w:r w:rsidRPr="00031240">
        <w:rPr>
          <w:rFonts w:ascii="David" w:hAnsi="David" w:cs="David" w:hint="cs"/>
          <w:sz w:val="24"/>
          <w:szCs w:val="24"/>
          <w:rtl/>
        </w:rPr>
        <w:t xml:space="preserve">. </w:t>
      </w:r>
      <w:r w:rsidRPr="00031240">
        <w:rPr>
          <w:rFonts w:ascii="David" w:hAnsi="David" w:cs="David"/>
          <w:sz w:val="24"/>
          <w:szCs w:val="24"/>
          <w:rtl/>
        </w:rPr>
        <w:t>עם זאת, להעלאת הריבית יש</w:t>
      </w:r>
      <w:r w:rsidR="005B7EE1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Pr="00031240">
        <w:rPr>
          <w:rFonts w:ascii="David" w:hAnsi="David" w:cs="David"/>
          <w:sz w:val="24"/>
          <w:szCs w:val="24"/>
          <w:rtl/>
        </w:rPr>
        <w:t>גם השפעה ממתנת על הפגיעה בבנקים</w:t>
      </w:r>
      <w:r w:rsidR="00443B55" w:rsidRPr="00031240">
        <w:rPr>
          <w:rFonts w:ascii="David" w:hAnsi="David" w:cs="David" w:hint="cs"/>
          <w:sz w:val="24"/>
          <w:szCs w:val="24"/>
          <w:rtl/>
        </w:rPr>
        <w:t xml:space="preserve"> – 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cs"/>
          <w:sz w:val="24"/>
          <w:szCs w:val="24"/>
          <w:rtl/>
        </w:rPr>
        <w:t>עלי</w:t>
      </w:r>
      <w:r w:rsidR="005413A0" w:rsidRPr="00031240">
        <w:rPr>
          <w:rFonts w:ascii="David" w:hAnsi="David" w:cs="David" w:hint="cs"/>
          <w:sz w:val="24"/>
          <w:szCs w:val="24"/>
          <w:rtl/>
        </w:rPr>
        <w:t>י</w:t>
      </w:r>
      <w:r w:rsidRPr="00031240">
        <w:rPr>
          <w:rFonts w:ascii="David" w:hAnsi="David" w:cs="David" w:hint="cs"/>
          <w:sz w:val="24"/>
          <w:szCs w:val="24"/>
          <w:rtl/>
        </w:rPr>
        <w:t xml:space="preserve">ה </w:t>
      </w:r>
      <w:r w:rsidR="005413A0" w:rsidRPr="00031240">
        <w:rPr>
          <w:rFonts w:ascii="David" w:hAnsi="David" w:cs="David" w:hint="cs"/>
          <w:sz w:val="24"/>
          <w:szCs w:val="24"/>
          <w:rtl/>
        </w:rPr>
        <w:t xml:space="preserve">של </w:t>
      </w:r>
      <w:r w:rsidR="005413A0" w:rsidRPr="00031240">
        <w:rPr>
          <w:rFonts w:ascii="David" w:hAnsi="David" w:cs="David"/>
          <w:sz w:val="24"/>
          <w:szCs w:val="24"/>
          <w:rtl/>
        </w:rPr>
        <w:t xml:space="preserve">הכנסות </w:t>
      </w:r>
      <w:r w:rsidR="00513301" w:rsidRPr="00031240">
        <w:rPr>
          <w:rFonts w:ascii="David" w:hAnsi="David" w:cs="David" w:hint="cs"/>
          <w:sz w:val="24"/>
          <w:szCs w:val="24"/>
          <w:rtl/>
        </w:rPr>
        <w:t>ה</w:t>
      </w:r>
      <w:r w:rsidRPr="00031240">
        <w:rPr>
          <w:rFonts w:ascii="David" w:hAnsi="David" w:cs="David"/>
          <w:sz w:val="24"/>
          <w:szCs w:val="24"/>
          <w:rtl/>
        </w:rPr>
        <w:t>ריבית</w:t>
      </w:r>
      <w:r w:rsidR="00513301" w:rsidRPr="00031240">
        <w:rPr>
          <w:rFonts w:ascii="David" w:hAnsi="David" w:cs="David" w:hint="cs"/>
          <w:sz w:val="24"/>
          <w:szCs w:val="24"/>
          <w:rtl/>
        </w:rPr>
        <w:t xml:space="preserve"> נטו</w:t>
      </w:r>
      <w:r w:rsidRPr="00031240">
        <w:rPr>
          <w:rFonts w:ascii="David" w:hAnsi="David" w:cs="David" w:hint="cs"/>
          <w:sz w:val="24"/>
          <w:szCs w:val="24"/>
          <w:rtl/>
        </w:rPr>
        <w:t>.</w:t>
      </w:r>
    </w:p>
    <w:p w:rsidR="00123C42" w:rsidRPr="00031240" w:rsidRDefault="00443B55" w:rsidP="0026032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31240">
        <w:rPr>
          <w:rFonts w:ascii="David" w:hAnsi="David" w:cs="David" w:hint="cs"/>
          <w:sz w:val="24"/>
          <w:szCs w:val="24"/>
          <w:rtl/>
        </w:rPr>
        <w:t xml:space="preserve">נמצא כי </w:t>
      </w:r>
      <w:r w:rsidR="00123C42" w:rsidRPr="00031240">
        <w:rPr>
          <w:rFonts w:ascii="David" w:hAnsi="David" w:cs="David" w:hint="cs"/>
          <w:sz w:val="24"/>
          <w:szCs w:val="24"/>
          <w:rtl/>
        </w:rPr>
        <w:t>על אף הפגיעה המשמעותית בבנקים</w:t>
      </w:r>
      <w:r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 המערכת הבנקאית עמידה </w:t>
      </w:r>
      <w:r w:rsidR="00262152" w:rsidRPr="00031240">
        <w:rPr>
          <w:rFonts w:ascii="David" w:hAnsi="David" w:cs="David" w:hint="cs"/>
          <w:sz w:val="24"/>
          <w:szCs w:val="24"/>
          <w:rtl/>
        </w:rPr>
        <w:t xml:space="preserve">בפני </w:t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תרחיש קיצון מסוג זה, שכן כל הבנקים שמרו 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לאורך כל </w:t>
      </w:r>
      <w:r w:rsidR="00123C42" w:rsidRPr="00031240">
        <w:rPr>
          <w:rFonts w:ascii="David" w:hAnsi="David" w:cs="David" w:hint="cs"/>
          <w:sz w:val="24"/>
          <w:szCs w:val="24"/>
          <w:rtl/>
        </w:rPr>
        <w:t>התרחיש ע</w:t>
      </w:r>
      <w:r w:rsidR="00262152" w:rsidRPr="00031240">
        <w:rPr>
          <w:rFonts w:ascii="David" w:hAnsi="David" w:cs="David" w:hint="cs"/>
          <w:sz w:val="24"/>
          <w:szCs w:val="24"/>
          <w:rtl/>
        </w:rPr>
        <w:t>ל</w:t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 יחס הון </w:t>
      </w:r>
      <w:r w:rsidR="00955321" w:rsidRPr="00031240">
        <w:rPr>
          <w:rFonts w:ascii="David" w:hAnsi="David" w:cs="David" w:hint="cs"/>
          <w:sz w:val="24"/>
          <w:szCs w:val="24"/>
          <w:rtl/>
        </w:rPr>
        <w:t xml:space="preserve">עצמי </w:t>
      </w:r>
      <w:r w:rsidR="00262152" w:rsidRPr="00031240">
        <w:rPr>
          <w:rFonts w:ascii="David" w:hAnsi="David" w:cs="David" w:hint="cs"/>
          <w:sz w:val="24"/>
          <w:szCs w:val="24"/>
          <w:rtl/>
        </w:rPr>
        <w:t xml:space="preserve">רובד 1 </w:t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מעל לסף </w:t>
      </w:r>
      <w:r w:rsidR="00262152" w:rsidRPr="00031240">
        <w:rPr>
          <w:rFonts w:ascii="David" w:hAnsi="David" w:cs="David" w:hint="cs"/>
          <w:sz w:val="24"/>
          <w:szCs w:val="24"/>
          <w:rtl/>
        </w:rPr>
        <w:t>שדורש הפיקוח על הבנקים בתרחיש קיצון (6.5%)</w:t>
      </w:r>
      <w:r w:rsidR="00174E33" w:rsidRPr="00031240">
        <w:rPr>
          <w:rStyle w:val="a9"/>
          <w:rFonts w:ascii="David" w:hAnsi="David" w:cs="David"/>
          <w:sz w:val="24"/>
          <w:szCs w:val="24"/>
          <w:rtl/>
        </w:rPr>
        <w:footnoteReference w:id="4"/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. תוצאה זו 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מדגישה </w:t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את </w:t>
      </w:r>
      <w:r w:rsidR="00367453" w:rsidRPr="00031240">
        <w:rPr>
          <w:rFonts w:ascii="David" w:hAnsi="David" w:cs="David" w:hint="eastAsia"/>
          <w:b/>
          <w:bCs/>
          <w:sz w:val="24"/>
          <w:szCs w:val="24"/>
          <w:rtl/>
        </w:rPr>
        <w:t>חשיבות</w:t>
      </w:r>
      <w:r w:rsidR="00367453"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E5C1F" w:rsidRPr="00031240">
        <w:rPr>
          <w:rFonts w:ascii="David" w:hAnsi="David" w:cs="David" w:hint="eastAsia"/>
          <w:b/>
          <w:bCs/>
          <w:sz w:val="24"/>
          <w:szCs w:val="24"/>
          <w:rtl/>
        </w:rPr>
        <w:t>תהליך</w:t>
      </w:r>
      <w:r w:rsidR="006E5C1F"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23C42" w:rsidRPr="00031240">
        <w:rPr>
          <w:rFonts w:ascii="David" w:hAnsi="David" w:cs="David" w:hint="eastAsia"/>
          <w:b/>
          <w:bCs/>
          <w:sz w:val="24"/>
          <w:szCs w:val="24"/>
          <w:rtl/>
        </w:rPr>
        <w:t>חיזוק</w:t>
      </w:r>
      <w:r w:rsidR="00123C42"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23C42" w:rsidRPr="00031240">
        <w:rPr>
          <w:rFonts w:ascii="David" w:hAnsi="David" w:cs="David" w:hint="eastAsia"/>
          <w:b/>
          <w:bCs/>
          <w:sz w:val="24"/>
          <w:szCs w:val="24"/>
          <w:rtl/>
        </w:rPr>
        <w:t>ההון</w:t>
      </w:r>
      <w:r w:rsidR="00123C42"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58326E" w:rsidRPr="00031240">
        <w:rPr>
          <w:rFonts w:ascii="David" w:hAnsi="David" w:cs="David"/>
          <w:sz w:val="24"/>
          <w:szCs w:val="24"/>
          <w:rtl/>
        </w:rPr>
        <w:t>(</w:t>
      </w:r>
      <w:r w:rsidR="0058326E" w:rsidRPr="00031240">
        <w:rPr>
          <w:rFonts w:ascii="David" w:hAnsi="David" w:cs="David" w:hint="cs"/>
          <w:sz w:val="24"/>
          <w:szCs w:val="24"/>
          <w:rtl/>
        </w:rPr>
        <w:t>עלייה</w:t>
      </w:r>
      <w:r w:rsidR="0058326E" w:rsidRPr="00031240">
        <w:rPr>
          <w:rFonts w:ascii="David" w:hAnsi="David" w:cs="David"/>
          <w:sz w:val="24"/>
          <w:szCs w:val="24"/>
          <w:rtl/>
        </w:rPr>
        <w:t xml:space="preserve"> של כ-3 נקודות אחוז ביחס </w:t>
      </w:r>
      <w:r w:rsidR="0058326E" w:rsidRPr="00031240">
        <w:rPr>
          <w:rFonts w:ascii="David" w:hAnsi="David" w:cs="David" w:hint="cs"/>
          <w:sz w:val="24"/>
          <w:szCs w:val="24"/>
          <w:rtl/>
        </w:rPr>
        <w:t>ההון</w:t>
      </w:r>
      <w:r w:rsidR="0058326E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58326E" w:rsidRPr="00031240">
        <w:rPr>
          <w:rFonts w:ascii="David" w:hAnsi="David" w:cs="David" w:hint="cs"/>
          <w:sz w:val="24"/>
          <w:szCs w:val="24"/>
          <w:rtl/>
        </w:rPr>
        <w:t>העצמי</w:t>
      </w:r>
      <w:r w:rsidR="0058326E" w:rsidRPr="00031240">
        <w:rPr>
          <w:rFonts w:ascii="David" w:hAnsi="David" w:cs="David"/>
          <w:sz w:val="24"/>
          <w:szCs w:val="24"/>
          <w:rtl/>
        </w:rPr>
        <w:t xml:space="preserve"> רובד 1 </w:t>
      </w:r>
      <w:r w:rsidR="0058326E" w:rsidRPr="00031240">
        <w:rPr>
          <w:rFonts w:ascii="David" w:hAnsi="David" w:cs="David" w:hint="cs"/>
          <w:sz w:val="24"/>
          <w:szCs w:val="24"/>
          <w:rtl/>
        </w:rPr>
        <w:t>לאורך</w:t>
      </w:r>
      <w:r w:rsidR="0058326E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58326E" w:rsidRPr="00031240">
        <w:rPr>
          <w:rFonts w:ascii="David" w:hAnsi="David" w:cs="David" w:hint="cs"/>
          <w:sz w:val="24"/>
          <w:szCs w:val="24"/>
          <w:rtl/>
        </w:rPr>
        <w:t>העשור</w:t>
      </w:r>
      <w:r w:rsidR="0058326E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58326E" w:rsidRPr="00031240">
        <w:rPr>
          <w:rFonts w:ascii="David" w:hAnsi="David" w:cs="David" w:hint="cs"/>
          <w:sz w:val="24"/>
          <w:szCs w:val="24"/>
          <w:rtl/>
        </w:rPr>
        <w:t>האחרון</w:t>
      </w:r>
      <w:r w:rsidR="0058326E" w:rsidRPr="00031240">
        <w:rPr>
          <w:rFonts w:ascii="David" w:hAnsi="David" w:cs="David"/>
          <w:sz w:val="24"/>
          <w:szCs w:val="24"/>
          <w:rtl/>
        </w:rPr>
        <w:t>)</w:t>
      </w:r>
      <w:r w:rsidR="0058326E" w:rsidRPr="0003124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413A0" w:rsidRPr="00031240">
        <w:rPr>
          <w:rFonts w:ascii="David" w:hAnsi="David" w:cs="David" w:hint="cs"/>
          <w:b/>
          <w:bCs/>
          <w:sz w:val="24"/>
          <w:szCs w:val="24"/>
          <w:rtl/>
        </w:rPr>
        <w:t>שהתנהל</w:t>
      </w:r>
      <w:r w:rsidR="005413A0"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23C42" w:rsidRPr="00031240">
        <w:rPr>
          <w:rFonts w:ascii="David" w:hAnsi="David" w:cs="David" w:hint="eastAsia"/>
          <w:b/>
          <w:bCs/>
          <w:sz w:val="24"/>
          <w:szCs w:val="24"/>
          <w:rtl/>
        </w:rPr>
        <w:t>בשנים</w:t>
      </w:r>
      <w:r w:rsidR="00123C42"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23C42" w:rsidRPr="00031240">
        <w:rPr>
          <w:rFonts w:ascii="David" w:hAnsi="David" w:cs="David" w:hint="eastAsia"/>
          <w:b/>
          <w:bCs/>
          <w:sz w:val="24"/>
          <w:szCs w:val="24"/>
          <w:rtl/>
        </w:rPr>
        <w:t>האחרונות</w:t>
      </w:r>
      <w:r w:rsidR="00367453"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5413A0" w:rsidRPr="00031240">
        <w:rPr>
          <w:rFonts w:ascii="David" w:hAnsi="David" w:cs="David" w:hint="cs"/>
          <w:b/>
          <w:bCs/>
          <w:sz w:val="24"/>
          <w:szCs w:val="24"/>
          <w:rtl/>
        </w:rPr>
        <w:t>בזכות</w:t>
      </w:r>
      <w:r w:rsidR="00367453" w:rsidRPr="00031240">
        <w:rPr>
          <w:rFonts w:ascii="David" w:hAnsi="David" w:cs="David"/>
          <w:b/>
          <w:bCs/>
          <w:sz w:val="24"/>
          <w:szCs w:val="24"/>
          <w:rtl/>
        </w:rPr>
        <w:t xml:space="preserve"> דרישה של הפיקוח על הבנקים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. זאת </w:t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לצד 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שורה של </w:t>
      </w:r>
      <w:r w:rsidR="00123C42" w:rsidRPr="00031240">
        <w:rPr>
          <w:rFonts w:ascii="David" w:hAnsi="David" w:cs="David" w:hint="cs"/>
          <w:sz w:val="24"/>
          <w:szCs w:val="24"/>
          <w:rtl/>
        </w:rPr>
        <w:t>צעדי</w:t>
      </w:r>
      <w:r w:rsidR="00367453" w:rsidRPr="00031240">
        <w:rPr>
          <w:rFonts w:ascii="David" w:hAnsi="David" w:cs="David" w:hint="cs"/>
          <w:sz w:val="24"/>
          <w:szCs w:val="24"/>
          <w:rtl/>
        </w:rPr>
        <w:t>ם נוספים שנקט</w:t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 הפיקוח</w:t>
      </w:r>
      <w:r w:rsidR="00B233A2" w:rsidRPr="00031240">
        <w:rPr>
          <w:rFonts w:ascii="David" w:hAnsi="David" w:cs="David" w:hint="cs"/>
          <w:sz w:val="24"/>
          <w:szCs w:val="24"/>
          <w:rtl/>
        </w:rPr>
        <w:t>,</w:t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 אשר הובילו לניהול סיכונים שמרני יותר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 בבנקים</w:t>
      </w:r>
      <w:r w:rsidR="00B233A2" w:rsidRPr="00031240">
        <w:rPr>
          <w:rFonts w:ascii="David" w:hAnsi="David" w:cs="David" w:hint="cs"/>
          <w:sz w:val="24"/>
          <w:szCs w:val="24"/>
          <w:rtl/>
        </w:rPr>
        <w:t xml:space="preserve"> – </w:t>
      </w:r>
      <w:r w:rsidR="00123C42" w:rsidRPr="00031240">
        <w:rPr>
          <w:rFonts w:ascii="David" w:hAnsi="David" w:cs="David" w:hint="cs"/>
          <w:sz w:val="24"/>
          <w:szCs w:val="24"/>
          <w:rtl/>
        </w:rPr>
        <w:t>בהם ירידה משמעותית</w:t>
      </w:r>
      <w:r w:rsidR="00B233A2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6E5C1F" w:rsidRPr="00031240">
        <w:rPr>
          <w:rFonts w:ascii="David" w:hAnsi="David" w:cs="David" w:hint="cs"/>
          <w:sz w:val="24"/>
          <w:szCs w:val="24"/>
          <w:rtl/>
        </w:rPr>
        <w:t xml:space="preserve">בחשיפה </w:t>
      </w:r>
      <w:r w:rsidR="00123C42" w:rsidRPr="00031240">
        <w:rPr>
          <w:rFonts w:ascii="David" w:hAnsi="David" w:cs="David" w:hint="cs"/>
          <w:sz w:val="24"/>
          <w:szCs w:val="24"/>
          <w:rtl/>
        </w:rPr>
        <w:t>של הבנקים לקבוצות לווים גדולות</w:t>
      </w:r>
      <w:r w:rsidR="006E5C1F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6E5C1F" w:rsidRPr="00031240">
        <w:rPr>
          <w:rFonts w:ascii="David" w:hAnsi="David" w:cs="David" w:hint="eastAsia"/>
          <w:sz w:val="24"/>
          <w:szCs w:val="24"/>
          <w:rtl/>
        </w:rPr>
        <w:t>וממונפות</w:t>
      </w:r>
      <w:r w:rsidR="00367453" w:rsidRPr="00031240">
        <w:rPr>
          <w:rFonts w:ascii="David" w:hAnsi="David" w:cs="David"/>
          <w:sz w:val="24"/>
          <w:szCs w:val="24"/>
          <w:rtl/>
        </w:rPr>
        <w:t xml:space="preserve"> (</w:t>
      </w:r>
      <w:r w:rsidR="00842640" w:rsidRPr="00031240">
        <w:rPr>
          <w:rFonts w:cs="David" w:hint="cs"/>
          <w:sz w:val="24"/>
          <w:szCs w:val="24"/>
          <w:rtl/>
        </w:rPr>
        <w:t xml:space="preserve">הרחבה </w:t>
      </w:r>
      <w:r w:rsidR="005577BE" w:rsidRPr="00031240">
        <w:rPr>
          <w:rFonts w:cs="David" w:hint="cs"/>
          <w:sz w:val="24"/>
          <w:szCs w:val="24"/>
          <w:rtl/>
        </w:rPr>
        <w:t>ב</w:t>
      </w:r>
      <w:r w:rsidR="00842640" w:rsidRPr="00031240">
        <w:rPr>
          <w:rFonts w:cs="David" w:hint="cs"/>
          <w:sz w:val="24"/>
          <w:szCs w:val="24"/>
          <w:rtl/>
        </w:rPr>
        <w:t>תיבה ג'-3</w:t>
      </w:r>
      <w:r w:rsidR="00EE6C1F" w:rsidRPr="00031240">
        <w:rPr>
          <w:rFonts w:cs="David" w:hint="cs"/>
          <w:sz w:val="24"/>
          <w:szCs w:val="24"/>
          <w:rtl/>
        </w:rPr>
        <w:t>,</w:t>
      </w:r>
      <w:r w:rsidR="00842640" w:rsidRPr="00031240">
        <w:rPr>
          <w:rFonts w:cs="David" w:hint="cs"/>
          <w:sz w:val="24"/>
          <w:szCs w:val="24"/>
          <w:rtl/>
        </w:rPr>
        <w:t xml:space="preserve"> "הידוק המגבלות על האשראי ללווים גדולים והשלכותיו על ריכוזיות האשראי"</w:t>
      </w:r>
      <w:r w:rsidR="005577BE" w:rsidRPr="00031240">
        <w:rPr>
          <w:rFonts w:cs="David" w:hint="cs"/>
          <w:sz w:val="24"/>
          <w:szCs w:val="24"/>
          <w:rtl/>
        </w:rPr>
        <w:t>,</w:t>
      </w:r>
      <w:r w:rsidR="00842640" w:rsidRPr="00031240">
        <w:rPr>
          <w:rFonts w:cs="David" w:hint="cs"/>
          <w:sz w:val="24"/>
          <w:szCs w:val="24"/>
          <w:rtl/>
        </w:rPr>
        <w:t xml:space="preserve"> בסקירה השנתית של הפיקוח על הבנקים לשנת 2017</w:t>
      </w:r>
      <w:r w:rsidR="00367453" w:rsidRPr="00031240">
        <w:rPr>
          <w:rFonts w:ascii="David" w:hAnsi="David" w:cs="David"/>
          <w:sz w:val="24"/>
          <w:szCs w:val="24"/>
          <w:rtl/>
        </w:rPr>
        <w:t>)</w:t>
      </w:r>
      <w:r w:rsidR="00B233A2" w:rsidRPr="00031240">
        <w:rPr>
          <w:rFonts w:ascii="David" w:hAnsi="David" w:cs="David"/>
          <w:sz w:val="24"/>
          <w:szCs w:val="24"/>
          <w:rtl/>
        </w:rPr>
        <w:t>,</w:t>
      </w:r>
      <w:r w:rsidR="00D36AC8" w:rsidRPr="00031240">
        <w:rPr>
          <w:rFonts w:ascii="David" w:hAnsi="David" w:cs="David" w:hint="cs"/>
          <w:sz w:val="24"/>
          <w:szCs w:val="24"/>
          <w:rtl/>
        </w:rPr>
        <w:t xml:space="preserve"> שיפור במאפייני תיק </w:t>
      </w:r>
      <w:r w:rsidR="005B7EE1" w:rsidRPr="00031240">
        <w:rPr>
          <w:rFonts w:ascii="David" w:hAnsi="David" w:cs="David" w:hint="cs"/>
          <w:sz w:val="24"/>
          <w:szCs w:val="24"/>
          <w:rtl/>
        </w:rPr>
        <w:t xml:space="preserve">האשראי </w:t>
      </w:r>
      <w:r w:rsidR="00D36AC8" w:rsidRPr="00031240">
        <w:rPr>
          <w:rFonts w:ascii="David" w:hAnsi="David" w:cs="David" w:hint="cs"/>
          <w:sz w:val="24"/>
          <w:szCs w:val="24"/>
          <w:rtl/>
        </w:rPr>
        <w:t xml:space="preserve">לדיור </w:t>
      </w:r>
      <w:r w:rsidR="00D36AC8" w:rsidRPr="00031240">
        <w:rPr>
          <w:rFonts w:ascii="David" w:hAnsi="David" w:cs="David"/>
          <w:sz w:val="24"/>
          <w:szCs w:val="24"/>
          <w:rtl/>
        </w:rPr>
        <w:t>(</w:t>
      </w:r>
      <w:r w:rsidR="00842640" w:rsidRPr="00031240">
        <w:rPr>
          <w:rFonts w:ascii="David" w:hAnsi="David" w:cs="David" w:hint="cs"/>
          <w:sz w:val="24"/>
          <w:szCs w:val="24"/>
          <w:rtl/>
        </w:rPr>
        <w:t xml:space="preserve">הרחבה </w:t>
      </w:r>
      <w:r w:rsidR="005577BE" w:rsidRPr="00031240">
        <w:rPr>
          <w:rFonts w:ascii="David" w:hAnsi="David" w:cs="David" w:hint="cs"/>
          <w:sz w:val="24"/>
          <w:szCs w:val="24"/>
          <w:rtl/>
        </w:rPr>
        <w:t>ב</w:t>
      </w:r>
      <w:r w:rsidR="00842640" w:rsidRPr="00031240">
        <w:rPr>
          <w:rFonts w:ascii="David" w:hAnsi="David" w:cs="David"/>
          <w:sz w:val="24"/>
          <w:szCs w:val="24"/>
          <w:rtl/>
        </w:rPr>
        <w:t xml:space="preserve">תיבה </w:t>
      </w:r>
      <w:r w:rsidR="00842640" w:rsidRPr="00031240">
        <w:rPr>
          <w:rFonts w:ascii="David" w:hAnsi="David" w:cs="David" w:hint="cs"/>
          <w:sz w:val="24"/>
          <w:szCs w:val="24"/>
          <w:rtl/>
        </w:rPr>
        <w:t>"</w:t>
      </w:r>
      <w:r w:rsidR="00842640" w:rsidRPr="00031240">
        <w:rPr>
          <w:rFonts w:ascii="David" w:hAnsi="David" w:cs="David"/>
          <w:sz w:val="24"/>
          <w:szCs w:val="24"/>
          <w:rtl/>
        </w:rPr>
        <w:t>השפעות תרחיש הקיצון המקרו-כלכלי על תיק האשראי לדיור</w:t>
      </w:r>
      <w:r w:rsidR="001A6DAD" w:rsidRPr="00031240">
        <w:rPr>
          <w:rFonts w:ascii="David" w:hAnsi="David" w:cs="David" w:hint="cs"/>
          <w:sz w:val="24"/>
          <w:szCs w:val="24"/>
          <w:rtl/>
        </w:rPr>
        <w:t xml:space="preserve">" </w:t>
      </w:r>
      <w:r w:rsidR="00260329" w:rsidRPr="00031240">
        <w:rPr>
          <w:rFonts w:ascii="David" w:hAnsi="David" w:cs="David" w:hint="cs"/>
          <w:sz w:val="24"/>
          <w:szCs w:val="24"/>
          <w:rtl/>
        </w:rPr>
        <w:t>אשר פורסמה לציבור.</w:t>
      </w:r>
      <w:r w:rsidR="001A6DAD" w:rsidRPr="00031240">
        <w:rPr>
          <w:rFonts w:ascii="David" w:hAnsi="David" w:cs="David"/>
          <w:sz w:val="24"/>
          <w:szCs w:val="24"/>
          <w:rtl/>
        </w:rPr>
        <w:t>)</w:t>
      </w:r>
      <w:r w:rsidR="001A6DAD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B233A2" w:rsidRPr="00031240">
        <w:rPr>
          <w:rFonts w:ascii="David" w:hAnsi="David" w:cs="David" w:hint="cs"/>
          <w:sz w:val="24"/>
          <w:szCs w:val="24"/>
          <w:rtl/>
        </w:rPr>
        <w:t>ו</w:t>
      </w:r>
      <w:r w:rsidR="00123C42" w:rsidRPr="00031240">
        <w:rPr>
          <w:rFonts w:ascii="David" w:hAnsi="David" w:cs="David" w:hint="cs"/>
          <w:sz w:val="24"/>
          <w:szCs w:val="24"/>
          <w:rtl/>
        </w:rPr>
        <w:t>שיפור ברווחיות הבנקים</w:t>
      </w:r>
      <w:r w:rsidR="00B233A2" w:rsidRPr="00031240">
        <w:rPr>
          <w:rFonts w:ascii="David" w:hAnsi="David" w:cs="David" w:hint="cs"/>
          <w:sz w:val="24"/>
          <w:szCs w:val="24"/>
          <w:rtl/>
        </w:rPr>
        <w:t>,</w:t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B233A2" w:rsidRPr="00031240">
        <w:rPr>
          <w:rFonts w:ascii="David" w:hAnsi="David" w:cs="David" w:hint="cs"/>
          <w:sz w:val="24"/>
          <w:szCs w:val="24"/>
          <w:rtl/>
        </w:rPr>
        <w:t>תוצאת</w:t>
      </w:r>
      <w:r w:rsidR="00955321" w:rsidRPr="00031240">
        <w:rPr>
          <w:rFonts w:ascii="David" w:hAnsi="David" w:cs="David" w:hint="cs"/>
          <w:sz w:val="24"/>
          <w:szCs w:val="24"/>
          <w:rtl/>
        </w:rPr>
        <w:t xml:space="preserve"> צעדי </w:t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התייעלות </w:t>
      </w:r>
      <w:r w:rsidR="00955321" w:rsidRPr="00031240">
        <w:rPr>
          <w:rFonts w:ascii="David" w:hAnsi="David" w:cs="David" w:hint="cs"/>
          <w:sz w:val="24"/>
          <w:szCs w:val="24"/>
          <w:rtl/>
        </w:rPr>
        <w:t xml:space="preserve">וקיצוץ </w:t>
      </w:r>
      <w:r w:rsidR="00B233A2" w:rsidRPr="00031240">
        <w:rPr>
          <w:rFonts w:ascii="David" w:hAnsi="David" w:cs="David" w:hint="cs"/>
          <w:sz w:val="24"/>
          <w:szCs w:val="24"/>
          <w:rtl/>
        </w:rPr>
        <w:t>בהוצאות</w:t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. יחס ההון </w:t>
      </w:r>
      <w:r w:rsidR="00D36AC8" w:rsidRPr="00031240">
        <w:rPr>
          <w:rFonts w:ascii="David" w:hAnsi="David" w:cs="David" w:hint="cs"/>
          <w:sz w:val="24"/>
          <w:szCs w:val="24"/>
          <w:rtl/>
        </w:rPr>
        <w:t>ה</w:t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עצמי רובד 1 הממוצע במערכת 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עלול לרדת בתרחיש הקיצון </w:t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משיעור של </w:t>
      </w:r>
      <w:r w:rsidR="00D36AC8" w:rsidRPr="00031240">
        <w:rPr>
          <w:rFonts w:ascii="David" w:hAnsi="David" w:cs="David" w:hint="cs"/>
          <w:sz w:val="24"/>
          <w:szCs w:val="24"/>
          <w:rtl/>
        </w:rPr>
        <w:t>כ-</w:t>
      </w:r>
      <w:r w:rsidR="00123C42" w:rsidRPr="00031240">
        <w:rPr>
          <w:rFonts w:ascii="David" w:hAnsi="David" w:cs="David" w:hint="cs"/>
          <w:sz w:val="24"/>
          <w:szCs w:val="24"/>
          <w:rtl/>
        </w:rPr>
        <w:t>11.0</w:t>
      </w:r>
      <w:r w:rsidR="00D36AC8" w:rsidRPr="00031240">
        <w:rPr>
          <w:rFonts w:ascii="David" w:hAnsi="David" w:cs="David" w:hint="cs"/>
          <w:sz w:val="24"/>
          <w:szCs w:val="24"/>
          <w:rtl/>
        </w:rPr>
        <w:t>%</w:t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 בשנת 2018 </w:t>
      </w:r>
      <w:r w:rsidR="00123C42" w:rsidRPr="00031240">
        <w:rPr>
          <w:rFonts w:ascii="David" w:hAnsi="David" w:cs="David" w:hint="cs"/>
          <w:sz w:val="24"/>
          <w:szCs w:val="24"/>
          <w:rtl/>
        </w:rPr>
        <w:lastRenderedPageBreak/>
        <w:t>ל</w:t>
      </w:r>
      <w:r w:rsidR="00D36AC8" w:rsidRPr="00031240">
        <w:rPr>
          <w:rFonts w:ascii="David" w:hAnsi="David" w:cs="David" w:hint="cs"/>
          <w:sz w:val="24"/>
          <w:szCs w:val="24"/>
          <w:rtl/>
        </w:rPr>
        <w:t>כ-</w:t>
      </w:r>
      <w:r w:rsidR="00123C42" w:rsidRPr="00031240">
        <w:rPr>
          <w:rFonts w:ascii="David" w:hAnsi="David" w:cs="David" w:hint="cs"/>
          <w:sz w:val="24"/>
          <w:szCs w:val="24"/>
          <w:rtl/>
        </w:rPr>
        <w:t>10.</w:t>
      </w:r>
      <w:r w:rsidR="0090247E" w:rsidRPr="00031240">
        <w:rPr>
          <w:rFonts w:ascii="David" w:hAnsi="David" w:cs="David" w:hint="cs"/>
          <w:sz w:val="24"/>
          <w:szCs w:val="24"/>
          <w:rtl/>
        </w:rPr>
        <w:t>3</w:t>
      </w:r>
      <w:r w:rsidR="00D36AC8" w:rsidRPr="00031240">
        <w:rPr>
          <w:rFonts w:ascii="David" w:hAnsi="David" w:cs="David" w:hint="cs"/>
          <w:sz w:val="24"/>
          <w:szCs w:val="24"/>
          <w:rtl/>
        </w:rPr>
        <w:t>%</w:t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 בשנת 2019</w:t>
      </w:r>
      <w:r w:rsidR="000A5188" w:rsidRPr="00031240">
        <w:rPr>
          <w:rStyle w:val="a9"/>
          <w:rFonts w:ascii="David" w:hAnsi="David" w:cs="David"/>
          <w:sz w:val="24"/>
          <w:szCs w:val="24"/>
          <w:rtl/>
        </w:rPr>
        <w:footnoteReference w:id="5"/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 (איור 2). אף שיחס ההון בכלל המערכת </w:t>
      </w:r>
      <w:r w:rsidR="001A6DAD" w:rsidRPr="00031240">
        <w:rPr>
          <w:rFonts w:ascii="David" w:hAnsi="David" w:cs="David" w:hint="cs"/>
          <w:sz w:val="24"/>
          <w:szCs w:val="24"/>
          <w:rtl/>
        </w:rPr>
        <w:t xml:space="preserve">לא </w:t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נפגע משמעותית במהלך התרחיש, </w:t>
      </w:r>
      <w:r w:rsidR="00B233A2" w:rsidRPr="00031240">
        <w:rPr>
          <w:rFonts w:ascii="David" w:hAnsi="David" w:cs="David" w:hint="cs"/>
          <w:sz w:val="24"/>
          <w:szCs w:val="24"/>
          <w:rtl/>
        </w:rPr>
        <w:t xml:space="preserve">ניכרת </w:t>
      </w:r>
      <w:r w:rsidR="00123C42" w:rsidRPr="00031240">
        <w:rPr>
          <w:rFonts w:ascii="David" w:hAnsi="David" w:cs="David" w:hint="cs"/>
          <w:sz w:val="24"/>
          <w:szCs w:val="24"/>
          <w:rtl/>
        </w:rPr>
        <w:t>שונות גבוהה מאוד בין הבנקים</w:t>
      </w:r>
      <w:r w:rsidR="00B233A2" w:rsidRPr="00031240">
        <w:rPr>
          <w:rFonts w:ascii="David" w:hAnsi="David" w:cs="David" w:hint="cs"/>
          <w:sz w:val="24"/>
          <w:szCs w:val="24"/>
          <w:rtl/>
        </w:rPr>
        <w:t xml:space="preserve"> בהיקף הפגיעה:</w:t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 הבנק שספג את הפגיעה המקסימלית ירד </w:t>
      </w:r>
      <w:r w:rsidR="00E33C69" w:rsidRPr="00031240">
        <w:rPr>
          <w:rFonts w:ascii="David" w:hAnsi="David" w:cs="David" w:hint="cs"/>
          <w:sz w:val="24"/>
          <w:szCs w:val="24"/>
          <w:rtl/>
        </w:rPr>
        <w:t xml:space="preserve">ליחס הון </w:t>
      </w:r>
      <w:r w:rsidR="00123C42" w:rsidRPr="00031240">
        <w:rPr>
          <w:rFonts w:ascii="David" w:hAnsi="David" w:cs="David" w:hint="cs"/>
          <w:sz w:val="24"/>
          <w:szCs w:val="24"/>
          <w:rtl/>
        </w:rPr>
        <w:t>של 7.</w:t>
      </w:r>
      <w:r w:rsidR="0090247E" w:rsidRPr="00031240">
        <w:rPr>
          <w:rFonts w:ascii="David" w:hAnsi="David" w:cs="David" w:hint="cs"/>
          <w:sz w:val="24"/>
          <w:szCs w:val="24"/>
          <w:rtl/>
        </w:rPr>
        <w:t>2</w:t>
      </w:r>
      <w:r w:rsidR="00D36AC8" w:rsidRPr="00031240">
        <w:rPr>
          <w:rFonts w:ascii="David" w:hAnsi="David" w:cs="David" w:hint="cs"/>
          <w:sz w:val="24"/>
          <w:szCs w:val="24"/>
          <w:rtl/>
        </w:rPr>
        <w:t>%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, בעוד </w:t>
      </w:r>
      <w:r w:rsidR="00B233A2" w:rsidRPr="00031240">
        <w:rPr>
          <w:rFonts w:ascii="David" w:hAnsi="David" w:cs="David" w:hint="cs"/>
          <w:sz w:val="24"/>
          <w:szCs w:val="24"/>
          <w:rtl/>
        </w:rPr>
        <w:t xml:space="preserve"> שב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בנקים אחרים הפגיעה הייתה </w:t>
      </w:r>
      <w:r w:rsidR="00B233A2" w:rsidRPr="00031240">
        <w:rPr>
          <w:rFonts w:ascii="David" w:hAnsi="David" w:cs="David" w:hint="eastAsia"/>
          <w:sz w:val="24"/>
          <w:szCs w:val="24"/>
          <w:rtl/>
        </w:rPr>
        <w:t>הרבה</w:t>
      </w:r>
      <w:r w:rsidR="00B233A2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367453" w:rsidRPr="00031240">
        <w:rPr>
          <w:rFonts w:ascii="David" w:hAnsi="David" w:cs="David" w:hint="cs"/>
          <w:sz w:val="24"/>
          <w:szCs w:val="24"/>
          <w:rtl/>
        </w:rPr>
        <w:t>פחות חמורה</w:t>
      </w:r>
      <w:r w:rsidR="00772EBB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D4534A" w:rsidRPr="00031240">
        <w:rPr>
          <w:rFonts w:ascii="David" w:hAnsi="David" w:cs="David" w:hint="cs"/>
          <w:sz w:val="24"/>
          <w:szCs w:val="24"/>
          <w:rtl/>
        </w:rPr>
        <w:t>(איור 2)</w:t>
      </w:r>
      <w:r w:rsidR="00123C42" w:rsidRPr="00031240">
        <w:rPr>
          <w:rFonts w:ascii="David" w:hAnsi="David" w:cs="David" w:hint="cs"/>
          <w:sz w:val="24"/>
          <w:szCs w:val="24"/>
          <w:rtl/>
        </w:rPr>
        <w:t xml:space="preserve">. שונות זו נובעת בין היתר מפערים </w:t>
      </w:r>
      <w:r w:rsidR="00E33C69" w:rsidRPr="00031240">
        <w:rPr>
          <w:rFonts w:ascii="David" w:hAnsi="David" w:cs="David" w:hint="cs"/>
          <w:sz w:val="24"/>
          <w:szCs w:val="24"/>
          <w:rtl/>
        </w:rPr>
        <w:t xml:space="preserve">במצב המוצא </w:t>
      </w:r>
      <w:r w:rsidR="00B233A2" w:rsidRPr="00031240">
        <w:rPr>
          <w:rFonts w:ascii="David" w:hAnsi="David" w:cs="David" w:hint="cs"/>
          <w:sz w:val="24"/>
          <w:szCs w:val="24"/>
          <w:rtl/>
        </w:rPr>
        <w:t xml:space="preserve">מבחינת רמת </w:t>
      </w:r>
      <w:r w:rsidR="00123C42" w:rsidRPr="00031240">
        <w:rPr>
          <w:rFonts w:ascii="David" w:hAnsi="David" w:cs="David" w:hint="cs"/>
          <w:sz w:val="24"/>
          <w:szCs w:val="24"/>
          <w:rtl/>
        </w:rPr>
        <w:t>הרווחיות, תמהיל תיק הנכסים ואיכות תיק האשראי.</w:t>
      </w:r>
    </w:p>
    <w:p w:rsidR="00123C42" w:rsidRPr="00031240" w:rsidRDefault="00123C42" w:rsidP="003A078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31240">
        <w:rPr>
          <w:rFonts w:ascii="David" w:hAnsi="David" w:cs="David" w:hint="cs"/>
          <w:sz w:val="24"/>
          <w:szCs w:val="24"/>
          <w:rtl/>
        </w:rPr>
        <w:t xml:space="preserve">רווחיות הבנקים </w:t>
      </w:r>
      <w:r w:rsidR="00367453" w:rsidRPr="00031240">
        <w:rPr>
          <w:rFonts w:ascii="David" w:hAnsi="David" w:cs="David" w:hint="cs"/>
          <w:sz w:val="24"/>
          <w:szCs w:val="24"/>
          <w:rtl/>
        </w:rPr>
        <w:t>צפויה לספוג</w:t>
      </w:r>
      <w:r w:rsidR="00B233A2" w:rsidRPr="00031240">
        <w:rPr>
          <w:rFonts w:ascii="David" w:hAnsi="David" w:cs="David" w:hint="cs"/>
          <w:sz w:val="24"/>
          <w:szCs w:val="24"/>
          <w:rtl/>
        </w:rPr>
        <w:t xml:space="preserve">, בתרחיש זה, 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פגיעה </w:t>
      </w:r>
      <w:r w:rsidRPr="00031240">
        <w:rPr>
          <w:rFonts w:ascii="David" w:hAnsi="David" w:cs="David" w:hint="cs"/>
          <w:sz w:val="24"/>
          <w:szCs w:val="24"/>
          <w:rtl/>
        </w:rPr>
        <w:t>משמעותית</w:t>
      </w:r>
      <w:r w:rsidR="00B233A2" w:rsidRPr="00031240">
        <w:rPr>
          <w:rFonts w:ascii="David" w:hAnsi="David" w:cs="David" w:hint="cs"/>
          <w:sz w:val="24"/>
          <w:szCs w:val="24"/>
          <w:rtl/>
        </w:rPr>
        <w:t>,</w:t>
      </w:r>
      <w:r w:rsidR="005B7EE1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B233A2" w:rsidRPr="00031240">
        <w:rPr>
          <w:rFonts w:ascii="David" w:hAnsi="David" w:cs="David" w:hint="eastAsia"/>
          <w:sz w:val="24"/>
          <w:szCs w:val="24"/>
          <w:rtl/>
        </w:rPr>
        <w:t>אך</w:t>
      </w:r>
      <w:r w:rsidRPr="00031240">
        <w:rPr>
          <w:rFonts w:ascii="David" w:hAnsi="David" w:cs="David" w:hint="cs"/>
          <w:sz w:val="24"/>
          <w:szCs w:val="24"/>
          <w:rtl/>
        </w:rPr>
        <w:t xml:space="preserve"> עליית הריבית 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צפויה למתן </w:t>
      </w:r>
      <w:r w:rsidRPr="00031240">
        <w:rPr>
          <w:rFonts w:ascii="David" w:hAnsi="David" w:cs="David" w:hint="cs"/>
          <w:sz w:val="24"/>
          <w:szCs w:val="24"/>
          <w:rtl/>
        </w:rPr>
        <w:t xml:space="preserve">פגיעה </w:t>
      </w:r>
      <w:r w:rsidR="00B233A2" w:rsidRPr="00031240">
        <w:rPr>
          <w:rFonts w:ascii="David" w:hAnsi="David" w:cs="David" w:hint="cs"/>
          <w:sz w:val="24"/>
          <w:szCs w:val="24"/>
          <w:rtl/>
        </w:rPr>
        <w:t xml:space="preserve">זו עקב </w:t>
      </w:r>
      <w:r w:rsidR="00367453" w:rsidRPr="00031240">
        <w:rPr>
          <w:rFonts w:ascii="David" w:hAnsi="David" w:cs="David" w:hint="cs"/>
          <w:sz w:val="24"/>
          <w:szCs w:val="24"/>
          <w:rtl/>
        </w:rPr>
        <w:t>השפעתה</w:t>
      </w:r>
      <w:r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על </w:t>
      </w:r>
      <w:r w:rsidRPr="00031240">
        <w:rPr>
          <w:rFonts w:ascii="David" w:hAnsi="David" w:cs="David" w:hint="cs"/>
          <w:sz w:val="24"/>
          <w:szCs w:val="24"/>
          <w:rtl/>
        </w:rPr>
        <w:t>הכנסות הריבית נטו. אף על פי כן</w:t>
      </w:r>
      <w:r w:rsidR="00B233A2" w:rsidRPr="00031240">
        <w:rPr>
          <w:rFonts w:ascii="David" w:hAnsi="David" w:cs="David" w:hint="cs"/>
          <w:sz w:val="24"/>
          <w:szCs w:val="24"/>
          <w:rtl/>
        </w:rPr>
        <w:t xml:space="preserve"> נמצא ש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כמחצית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מהבנקים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ספגו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הפסדים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לפחות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באחת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233A2" w:rsidRPr="00031240">
        <w:rPr>
          <w:rFonts w:ascii="David" w:hAnsi="David" w:cs="David" w:hint="cs"/>
          <w:b/>
          <w:bCs/>
          <w:sz w:val="24"/>
          <w:szCs w:val="24"/>
          <w:rtl/>
        </w:rPr>
        <w:t>משנות</w:t>
      </w:r>
      <w:r w:rsidR="00B233A2"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התרחיש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>.</w:t>
      </w:r>
      <w:r w:rsidRPr="00031240">
        <w:rPr>
          <w:rFonts w:ascii="David" w:hAnsi="David" w:cs="David" w:hint="cs"/>
          <w:sz w:val="24"/>
          <w:szCs w:val="24"/>
          <w:rtl/>
        </w:rPr>
        <w:t xml:space="preserve"> התשואה להון (</w:t>
      </w:r>
      <w:r w:rsidRPr="00031240">
        <w:rPr>
          <w:rFonts w:ascii="David" w:hAnsi="David" w:cs="David" w:hint="cs"/>
          <w:sz w:val="24"/>
          <w:szCs w:val="24"/>
        </w:rPr>
        <w:t>ROE</w:t>
      </w:r>
      <w:r w:rsidRPr="00031240">
        <w:rPr>
          <w:rFonts w:ascii="David" w:hAnsi="David" w:cs="David" w:hint="cs"/>
          <w:sz w:val="24"/>
          <w:szCs w:val="24"/>
          <w:rtl/>
        </w:rPr>
        <w:t xml:space="preserve">) הממוצעת במערכת 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צפויה לרדת </w:t>
      </w:r>
      <w:r w:rsidRPr="00031240">
        <w:rPr>
          <w:rFonts w:ascii="David" w:hAnsi="David" w:cs="David" w:hint="cs"/>
          <w:sz w:val="24"/>
          <w:szCs w:val="24"/>
          <w:rtl/>
        </w:rPr>
        <w:t>משיעור של כ-</w:t>
      </w:r>
      <w:r w:rsidR="003A0786" w:rsidRPr="00031240">
        <w:rPr>
          <w:rFonts w:ascii="David" w:hAnsi="David" w:cs="David" w:hint="cs"/>
          <w:sz w:val="24"/>
          <w:szCs w:val="24"/>
          <w:rtl/>
        </w:rPr>
        <w:t>7.2</w:t>
      </w:r>
      <w:r w:rsidRPr="00031240">
        <w:rPr>
          <w:rFonts w:ascii="David" w:hAnsi="David" w:cs="David" w:hint="cs"/>
          <w:sz w:val="24"/>
          <w:szCs w:val="24"/>
          <w:rtl/>
        </w:rPr>
        <w:t>% בתחילת התרחיש לכ-</w:t>
      </w:r>
      <w:r w:rsidR="003A0786" w:rsidRPr="00031240">
        <w:rPr>
          <w:rFonts w:ascii="David" w:hAnsi="David" w:cs="David" w:hint="cs"/>
          <w:sz w:val="24"/>
          <w:szCs w:val="24"/>
          <w:rtl/>
        </w:rPr>
        <w:t>2.3</w:t>
      </w:r>
      <w:r w:rsidRPr="00031240">
        <w:rPr>
          <w:rFonts w:ascii="David" w:hAnsi="David" w:cs="David" w:hint="cs"/>
          <w:sz w:val="24"/>
          <w:szCs w:val="24"/>
          <w:rtl/>
        </w:rPr>
        <w:t>% בסו</w:t>
      </w:r>
      <w:r w:rsidR="006B57E9" w:rsidRPr="00031240">
        <w:rPr>
          <w:rFonts w:ascii="David" w:hAnsi="David" w:cs="David" w:hint="cs"/>
          <w:sz w:val="24"/>
          <w:szCs w:val="24"/>
          <w:rtl/>
        </w:rPr>
        <w:t>פו</w:t>
      </w:r>
      <w:r w:rsidRPr="00031240">
        <w:rPr>
          <w:rFonts w:ascii="David" w:hAnsi="David" w:cs="David" w:hint="cs"/>
          <w:sz w:val="24"/>
          <w:szCs w:val="24"/>
          <w:rtl/>
        </w:rPr>
        <w:t xml:space="preserve">, </w:t>
      </w:r>
      <w:r w:rsidR="006B57E9" w:rsidRPr="00031240">
        <w:rPr>
          <w:rFonts w:ascii="David" w:hAnsi="David" w:cs="David" w:hint="cs"/>
          <w:sz w:val="24"/>
          <w:szCs w:val="24"/>
          <w:rtl/>
        </w:rPr>
        <w:t xml:space="preserve">וגם כאן </w:t>
      </w:r>
      <w:r w:rsidR="00B233A2" w:rsidRPr="00031240">
        <w:rPr>
          <w:rFonts w:ascii="David" w:hAnsi="David" w:cs="David" w:hint="cs"/>
          <w:sz w:val="24"/>
          <w:szCs w:val="24"/>
          <w:rtl/>
        </w:rPr>
        <w:t>ניכרת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Pr="00031240">
        <w:rPr>
          <w:rFonts w:ascii="David" w:hAnsi="David" w:cs="David" w:hint="cs"/>
          <w:sz w:val="24"/>
          <w:szCs w:val="24"/>
          <w:rtl/>
        </w:rPr>
        <w:t>שונות גבוהה בין הבנקים</w:t>
      </w:r>
      <w:r w:rsidR="00B233A2" w:rsidRPr="00031240">
        <w:rPr>
          <w:rFonts w:ascii="David" w:hAnsi="David" w:cs="David" w:hint="cs"/>
          <w:sz w:val="24"/>
          <w:szCs w:val="24"/>
          <w:rtl/>
        </w:rPr>
        <w:t xml:space="preserve">: </w:t>
      </w:r>
      <w:r w:rsidRPr="00031240">
        <w:rPr>
          <w:rFonts w:ascii="David" w:hAnsi="David" w:cs="David" w:hint="cs"/>
          <w:sz w:val="24"/>
          <w:szCs w:val="24"/>
          <w:rtl/>
        </w:rPr>
        <w:t xml:space="preserve">התשואה להון של הבנק </w:t>
      </w:r>
      <w:r w:rsidR="00B233A2" w:rsidRPr="00031240">
        <w:rPr>
          <w:rFonts w:ascii="David" w:hAnsi="David" w:cs="David" w:hint="cs"/>
          <w:sz w:val="24"/>
          <w:szCs w:val="24"/>
          <w:rtl/>
        </w:rPr>
        <w:t>ש</w:t>
      </w:r>
      <w:r w:rsidRPr="00031240">
        <w:rPr>
          <w:rFonts w:ascii="David" w:hAnsi="David" w:cs="David" w:hint="cs"/>
          <w:sz w:val="24"/>
          <w:szCs w:val="24"/>
          <w:rtl/>
        </w:rPr>
        <w:t>ספג את הפגיעה הקשה ביותר תרד לרמה שלילית של כ-</w:t>
      </w:r>
      <w:r w:rsidR="003A0786" w:rsidRPr="00031240">
        <w:rPr>
          <w:rFonts w:ascii="David" w:hAnsi="David" w:cs="David" w:hint="cs"/>
          <w:sz w:val="24"/>
          <w:szCs w:val="24"/>
          <w:rtl/>
        </w:rPr>
        <w:t>9.7</w:t>
      </w:r>
      <w:r w:rsidRPr="00031240">
        <w:rPr>
          <w:rFonts w:ascii="David" w:hAnsi="David" w:cs="David" w:hint="cs"/>
          <w:sz w:val="24"/>
          <w:szCs w:val="24"/>
          <w:rtl/>
        </w:rPr>
        <w:t>%-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, </w:t>
      </w:r>
      <w:r w:rsidR="00B233A2" w:rsidRPr="00031240">
        <w:rPr>
          <w:rFonts w:ascii="David" w:hAnsi="David" w:cs="David" w:hint="cs"/>
          <w:sz w:val="24"/>
          <w:szCs w:val="24"/>
          <w:rtl/>
        </w:rPr>
        <w:t xml:space="preserve">ואילו 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תשואתו של בנק אחר </w:t>
      </w:r>
      <w:r w:rsidR="00B233A2" w:rsidRPr="00031240">
        <w:rPr>
          <w:rFonts w:ascii="David" w:hAnsi="David" w:cs="David" w:hint="cs"/>
          <w:sz w:val="24"/>
          <w:szCs w:val="24"/>
          <w:rtl/>
        </w:rPr>
        <w:t xml:space="preserve">תרד </w:t>
      </w:r>
      <w:r w:rsidR="00367453" w:rsidRPr="00031240">
        <w:rPr>
          <w:rFonts w:ascii="David" w:hAnsi="David" w:cs="David" w:hint="cs"/>
          <w:sz w:val="24"/>
          <w:szCs w:val="24"/>
          <w:rtl/>
        </w:rPr>
        <w:t>לכ-</w:t>
      </w:r>
      <w:r w:rsidR="00367453" w:rsidRPr="00031240">
        <w:rPr>
          <w:rFonts w:ascii="David" w:hAnsi="David" w:cs="David"/>
          <w:sz w:val="24"/>
          <w:szCs w:val="24"/>
          <w:rtl/>
        </w:rPr>
        <w:t>5%</w:t>
      </w:r>
      <w:r w:rsidRPr="00031240">
        <w:rPr>
          <w:rFonts w:ascii="David" w:hAnsi="David" w:cs="David" w:hint="cs"/>
          <w:sz w:val="24"/>
          <w:szCs w:val="24"/>
          <w:rtl/>
        </w:rPr>
        <w:t xml:space="preserve"> (איור 3). </w:t>
      </w:r>
    </w:p>
    <w:p w:rsidR="00EB7A45" w:rsidRPr="00031240" w:rsidRDefault="00123C42" w:rsidP="00AC234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עיקר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ההפסדים </w:t>
      </w:r>
      <w:r w:rsidR="00367453" w:rsidRPr="00031240">
        <w:rPr>
          <w:rFonts w:ascii="David" w:hAnsi="David" w:cs="David" w:hint="eastAsia"/>
          <w:b/>
          <w:bCs/>
          <w:sz w:val="24"/>
          <w:szCs w:val="24"/>
          <w:rtl/>
        </w:rPr>
        <w:t>הצפויים</w:t>
      </w:r>
      <w:r w:rsidR="00367453"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בתרחיש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הקיצון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50D89" w:rsidRPr="00031240">
        <w:rPr>
          <w:rFonts w:ascii="David" w:hAnsi="David" w:cs="David" w:hint="cs"/>
          <w:b/>
          <w:bCs/>
          <w:sz w:val="24"/>
          <w:szCs w:val="24"/>
          <w:rtl/>
        </w:rPr>
        <w:t>הם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בתיק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האשראי</w:t>
      </w:r>
      <w:r w:rsidR="00443B55" w:rsidRPr="00031240">
        <w:rPr>
          <w:rFonts w:ascii="David" w:hAnsi="David" w:cs="David" w:hint="cs"/>
          <w:sz w:val="24"/>
          <w:szCs w:val="24"/>
          <w:rtl/>
        </w:rPr>
        <w:t xml:space="preserve"> – </w:t>
      </w:r>
      <w:r w:rsidR="000A5188" w:rsidRPr="00031240">
        <w:rPr>
          <w:rFonts w:ascii="David" w:hAnsi="David" w:cs="David" w:hint="cs"/>
          <w:sz w:val="24"/>
          <w:szCs w:val="24"/>
          <w:rtl/>
        </w:rPr>
        <w:t>כ-</w:t>
      </w:r>
      <w:r w:rsidR="003A0786" w:rsidRPr="00031240">
        <w:rPr>
          <w:rFonts w:ascii="David" w:hAnsi="David" w:cs="David" w:hint="cs"/>
          <w:sz w:val="24"/>
          <w:szCs w:val="24"/>
          <w:rtl/>
        </w:rPr>
        <w:t>12.2</w:t>
      </w:r>
      <w:r w:rsidR="000A5188" w:rsidRPr="00031240">
        <w:rPr>
          <w:rFonts w:ascii="David" w:hAnsi="David" w:cs="David" w:hint="cs"/>
          <w:sz w:val="24"/>
          <w:szCs w:val="24"/>
          <w:rtl/>
        </w:rPr>
        <w:t xml:space="preserve"> מיליאר</w:t>
      </w:r>
      <w:r w:rsidR="000A5188" w:rsidRPr="00031240">
        <w:rPr>
          <w:rFonts w:ascii="David" w:hAnsi="David" w:cs="David" w:hint="eastAsia"/>
          <w:sz w:val="24"/>
          <w:szCs w:val="24"/>
          <w:rtl/>
        </w:rPr>
        <w:t>ד</w:t>
      </w:r>
      <w:r w:rsidR="000A5188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F50D89" w:rsidRPr="00031240">
        <w:rPr>
          <w:rFonts w:ascii="David" w:hAnsi="David" w:cs="David" w:hint="cs"/>
          <w:sz w:val="24"/>
          <w:szCs w:val="24"/>
          <w:rtl/>
        </w:rPr>
        <w:t xml:space="preserve">ש"ח </w:t>
      </w:r>
      <w:r w:rsidR="003A0786" w:rsidRPr="00031240">
        <w:rPr>
          <w:rFonts w:ascii="David" w:hAnsi="David" w:cs="David" w:hint="cs"/>
          <w:sz w:val="24"/>
          <w:szCs w:val="24"/>
          <w:rtl/>
        </w:rPr>
        <w:t>בממוצע לשנה</w:t>
      </w:r>
      <w:r w:rsidR="000A5188" w:rsidRPr="00031240">
        <w:rPr>
          <w:rFonts w:ascii="David" w:hAnsi="David" w:cs="David" w:hint="cs"/>
          <w:sz w:val="24"/>
          <w:szCs w:val="24"/>
          <w:rtl/>
        </w:rPr>
        <w:t xml:space="preserve">, </w:t>
      </w:r>
      <w:r w:rsidR="00443B55" w:rsidRPr="00031240">
        <w:rPr>
          <w:rFonts w:ascii="David" w:hAnsi="David" w:cs="David" w:hint="cs"/>
          <w:sz w:val="24"/>
          <w:szCs w:val="24"/>
          <w:rtl/>
        </w:rPr>
        <w:t xml:space="preserve">שהם </w:t>
      </w:r>
      <w:r w:rsidR="003A0786" w:rsidRPr="00031240">
        <w:rPr>
          <w:rFonts w:ascii="David" w:hAnsi="David" w:cs="David" w:hint="cs"/>
          <w:sz w:val="24"/>
          <w:szCs w:val="24"/>
          <w:rtl/>
        </w:rPr>
        <w:t>כ-</w:t>
      </w:r>
      <w:r w:rsidR="000A5188" w:rsidRPr="00031240">
        <w:rPr>
          <w:rFonts w:ascii="David" w:hAnsi="David" w:cs="David" w:hint="cs"/>
          <w:sz w:val="24"/>
          <w:szCs w:val="24"/>
          <w:rtl/>
        </w:rPr>
        <w:t xml:space="preserve">1.2% </w:t>
      </w:r>
      <w:r w:rsidR="00171428" w:rsidRPr="00031240">
        <w:rPr>
          <w:rFonts w:ascii="David" w:hAnsi="David" w:cs="David" w:hint="cs"/>
          <w:sz w:val="24"/>
          <w:szCs w:val="24"/>
          <w:rtl/>
        </w:rPr>
        <w:t>מתיק זה</w:t>
      </w:r>
      <w:r w:rsidRPr="00031240">
        <w:rPr>
          <w:rFonts w:ascii="David" w:hAnsi="David" w:cs="David" w:hint="cs"/>
          <w:sz w:val="24"/>
          <w:szCs w:val="24"/>
          <w:rtl/>
        </w:rPr>
        <w:t xml:space="preserve">. האבטלה הגואה, הפגיעה בתוצר והמשבר בדיור מקשים על משקי הבית והמגזר העסקי לעמוד בהתחייבויותיהם, דבר </w:t>
      </w:r>
      <w:r w:rsidR="00443B55" w:rsidRPr="00031240">
        <w:rPr>
          <w:rFonts w:ascii="David" w:hAnsi="David" w:cs="David" w:hint="cs"/>
          <w:sz w:val="24"/>
          <w:szCs w:val="24"/>
          <w:rtl/>
        </w:rPr>
        <w:t xml:space="preserve">הגורם לבנקים </w:t>
      </w:r>
      <w:r w:rsidRPr="00031240">
        <w:rPr>
          <w:rFonts w:ascii="David" w:hAnsi="David" w:cs="David" w:hint="cs"/>
          <w:sz w:val="24"/>
          <w:szCs w:val="24"/>
          <w:rtl/>
        </w:rPr>
        <w:t>הפסדים משמעותיים ב</w:t>
      </w:r>
      <w:r w:rsidR="00214555" w:rsidRPr="00031240">
        <w:rPr>
          <w:rFonts w:ascii="David" w:hAnsi="David" w:cs="David" w:hint="cs"/>
          <w:sz w:val="24"/>
          <w:szCs w:val="24"/>
          <w:rtl/>
        </w:rPr>
        <w:t>תיק ה</w:t>
      </w:r>
      <w:r w:rsidRPr="00031240">
        <w:rPr>
          <w:rFonts w:ascii="David" w:hAnsi="David" w:cs="David" w:hint="cs"/>
          <w:sz w:val="24"/>
          <w:szCs w:val="24"/>
          <w:rtl/>
        </w:rPr>
        <w:t>אשראי, ובכך גם פגיעה מהותית בהון</w:t>
      </w:r>
      <w:r w:rsidR="00EB7A45" w:rsidRPr="00031240">
        <w:rPr>
          <w:rFonts w:ascii="David" w:hAnsi="David" w:cs="David" w:hint="cs"/>
          <w:sz w:val="24"/>
          <w:szCs w:val="24"/>
          <w:rtl/>
        </w:rPr>
        <w:t xml:space="preserve">. בתרחיש הקיצון השנה נבחנה גם </w:t>
      </w:r>
      <w:r w:rsidR="00EB7A45" w:rsidRPr="00031240">
        <w:rPr>
          <w:rFonts w:ascii="David" w:hAnsi="David" w:cs="David" w:hint="cs"/>
          <w:sz w:val="24"/>
          <w:szCs w:val="24"/>
          <w:rtl/>
        </w:rPr>
        <w:lastRenderedPageBreak/>
        <w:t>השפעת נפיל</w:t>
      </w:r>
      <w:r w:rsidR="00F50D89" w:rsidRPr="00031240">
        <w:rPr>
          <w:rFonts w:ascii="David" w:hAnsi="David" w:cs="David" w:hint="cs"/>
          <w:sz w:val="24"/>
          <w:szCs w:val="24"/>
          <w:rtl/>
        </w:rPr>
        <w:t>ת</w:t>
      </w:r>
      <w:r w:rsidR="00EB7A45" w:rsidRPr="00031240">
        <w:rPr>
          <w:rFonts w:ascii="David" w:hAnsi="David" w:cs="David" w:hint="cs"/>
          <w:sz w:val="24"/>
          <w:szCs w:val="24"/>
          <w:rtl/>
        </w:rPr>
        <w:t>ה של קבוצת לווים עסקית</w:t>
      </w:r>
      <w:r w:rsidR="00F50D89" w:rsidRPr="00031240">
        <w:rPr>
          <w:rFonts w:ascii="David" w:hAnsi="David" w:cs="David" w:hint="cs"/>
          <w:sz w:val="24"/>
          <w:szCs w:val="24"/>
          <w:rtl/>
        </w:rPr>
        <w:t xml:space="preserve">. זו </w:t>
      </w:r>
      <w:r w:rsidR="00EB7A45" w:rsidRPr="00031240">
        <w:rPr>
          <w:rFonts w:ascii="David" w:hAnsi="David" w:cs="David" w:hint="cs"/>
          <w:sz w:val="24"/>
          <w:szCs w:val="24"/>
          <w:rtl/>
        </w:rPr>
        <w:t>העצי</w:t>
      </w:r>
      <w:r w:rsidR="00FF7AF7" w:rsidRPr="00031240">
        <w:rPr>
          <w:rFonts w:ascii="David" w:hAnsi="David" w:cs="David" w:hint="cs"/>
          <w:sz w:val="24"/>
          <w:szCs w:val="24"/>
          <w:rtl/>
        </w:rPr>
        <w:t>מה</w:t>
      </w:r>
      <w:r w:rsidR="00EB7A45" w:rsidRPr="00031240">
        <w:rPr>
          <w:rFonts w:ascii="David" w:hAnsi="David" w:cs="David" w:hint="cs"/>
          <w:sz w:val="24"/>
          <w:szCs w:val="24"/>
          <w:rtl/>
        </w:rPr>
        <w:t xml:space="preserve"> את ההפסדים בתיק האשראי העסקי</w:t>
      </w:r>
      <w:r w:rsidR="00F50D89" w:rsidRPr="00031240">
        <w:rPr>
          <w:rFonts w:ascii="David" w:hAnsi="David" w:cs="David" w:hint="cs"/>
          <w:sz w:val="24"/>
          <w:szCs w:val="24"/>
          <w:rtl/>
        </w:rPr>
        <w:t>,</w:t>
      </w:r>
      <w:r w:rsidR="005B7EE1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F50D89" w:rsidRPr="00031240">
        <w:rPr>
          <w:rFonts w:ascii="David" w:hAnsi="David" w:cs="David" w:hint="cs"/>
          <w:sz w:val="24"/>
          <w:szCs w:val="24"/>
          <w:rtl/>
        </w:rPr>
        <w:t>אך פגיעתה</w:t>
      </w:r>
      <w:r w:rsidR="00EB7A45" w:rsidRPr="00031240">
        <w:rPr>
          <w:rFonts w:ascii="David" w:hAnsi="David" w:cs="David" w:hint="cs"/>
          <w:sz w:val="24"/>
          <w:szCs w:val="24"/>
          <w:rtl/>
        </w:rPr>
        <w:t xml:space="preserve"> בתיק האשראי העסקי אינה כה מהותית כ</w:t>
      </w:r>
      <w:r w:rsidR="00F50D89" w:rsidRPr="00031240">
        <w:rPr>
          <w:rFonts w:ascii="David" w:hAnsi="David" w:cs="David" w:hint="cs"/>
          <w:sz w:val="24"/>
          <w:szCs w:val="24"/>
          <w:rtl/>
        </w:rPr>
        <w:t xml:space="preserve">מו </w:t>
      </w:r>
      <w:r w:rsidR="00EB7A45" w:rsidRPr="00031240">
        <w:rPr>
          <w:rFonts w:ascii="David" w:hAnsi="David" w:cs="David" w:hint="cs"/>
          <w:sz w:val="24"/>
          <w:szCs w:val="24"/>
          <w:rtl/>
        </w:rPr>
        <w:t xml:space="preserve">בעבר </w:t>
      </w:r>
      <w:r w:rsidR="00EB7A45" w:rsidRPr="00031240">
        <w:rPr>
          <w:rFonts w:ascii="David" w:hAnsi="David" w:cs="David"/>
          <w:sz w:val="24"/>
          <w:szCs w:val="24"/>
          <w:rtl/>
        </w:rPr>
        <w:t>–</w:t>
      </w:r>
      <w:r w:rsidR="00EB7A45" w:rsidRPr="00031240">
        <w:rPr>
          <w:rFonts w:ascii="David" w:hAnsi="David" w:cs="David" w:hint="cs"/>
          <w:sz w:val="24"/>
          <w:szCs w:val="24"/>
          <w:rtl/>
        </w:rPr>
        <w:t xml:space="preserve"> תוצאה של מגמת ירידה משמעותית בחשיפת הבנקים לקבוצות הלווים הגדולות</w:t>
      </w:r>
      <w:r w:rsidR="001A6DAD" w:rsidRPr="00031240">
        <w:rPr>
          <w:rFonts w:ascii="David" w:hAnsi="David" w:cs="David" w:hint="cs"/>
          <w:sz w:val="24"/>
          <w:szCs w:val="24"/>
          <w:rtl/>
        </w:rPr>
        <w:t>.</w:t>
      </w:r>
      <w:r w:rsidR="00EB7A45" w:rsidRPr="00031240">
        <w:rPr>
          <w:rFonts w:ascii="David" w:hAnsi="David" w:cs="David" w:hint="cs"/>
          <w:sz w:val="24"/>
          <w:szCs w:val="24"/>
          <w:rtl/>
        </w:rPr>
        <w:t xml:space="preserve"> (איור 4</w:t>
      </w:r>
      <w:r w:rsidR="001A6DAD" w:rsidRPr="00031240">
        <w:rPr>
          <w:rFonts w:ascii="David" w:hAnsi="David" w:cs="David" w:hint="cs"/>
          <w:sz w:val="24"/>
          <w:szCs w:val="24"/>
          <w:rtl/>
        </w:rPr>
        <w:t xml:space="preserve">. </w:t>
      </w:r>
      <w:r w:rsidR="00CA6F4F" w:rsidRPr="00031240">
        <w:rPr>
          <w:rFonts w:cs="David" w:hint="cs"/>
          <w:sz w:val="24"/>
          <w:szCs w:val="24"/>
          <w:rtl/>
        </w:rPr>
        <w:t>להרחבה רא</w:t>
      </w:r>
      <w:r w:rsidR="00053589" w:rsidRPr="00031240">
        <w:rPr>
          <w:rFonts w:cs="David" w:hint="cs"/>
          <w:sz w:val="24"/>
          <w:szCs w:val="24"/>
          <w:rtl/>
        </w:rPr>
        <w:t>ו</w:t>
      </w:r>
      <w:r w:rsidR="00CA6F4F" w:rsidRPr="00031240">
        <w:rPr>
          <w:rFonts w:cs="David" w:hint="cs"/>
          <w:sz w:val="24"/>
          <w:szCs w:val="24"/>
          <w:rtl/>
        </w:rPr>
        <w:t xml:space="preserve"> תיבה ג'-3</w:t>
      </w:r>
      <w:r w:rsidR="00EE6C1F" w:rsidRPr="00031240">
        <w:rPr>
          <w:rFonts w:cs="David" w:hint="cs"/>
          <w:sz w:val="24"/>
          <w:szCs w:val="24"/>
          <w:rtl/>
        </w:rPr>
        <w:t>,</w:t>
      </w:r>
      <w:r w:rsidR="00CA6F4F" w:rsidRPr="00031240">
        <w:rPr>
          <w:rFonts w:cs="David" w:hint="cs"/>
          <w:sz w:val="24"/>
          <w:szCs w:val="24"/>
          <w:rtl/>
        </w:rPr>
        <w:t xml:space="preserve"> "הידוק המגבלות על האשראי ללווים גדולים והשלכותיו על ריכוזיות האשראי"</w:t>
      </w:r>
      <w:r w:rsidR="001A6DAD" w:rsidRPr="00031240">
        <w:rPr>
          <w:rFonts w:cs="David" w:hint="cs"/>
          <w:sz w:val="24"/>
          <w:szCs w:val="24"/>
          <w:rtl/>
        </w:rPr>
        <w:t>,</w:t>
      </w:r>
      <w:r w:rsidR="00CA6F4F" w:rsidRPr="00031240">
        <w:rPr>
          <w:rFonts w:cs="David" w:hint="cs"/>
          <w:sz w:val="24"/>
          <w:szCs w:val="24"/>
          <w:rtl/>
        </w:rPr>
        <w:t xml:space="preserve"> בסקירה השנתית של הפיקוח על הבנקים לשנת 2017</w:t>
      </w:r>
      <w:r w:rsidR="001A6DAD" w:rsidRPr="00031240">
        <w:rPr>
          <w:rFonts w:ascii="David" w:hAnsi="David" w:cs="David" w:hint="cs"/>
          <w:sz w:val="24"/>
          <w:szCs w:val="24"/>
          <w:rtl/>
        </w:rPr>
        <w:t xml:space="preserve">.) </w:t>
      </w:r>
      <w:r w:rsidR="00EB7A45" w:rsidRPr="00031240">
        <w:rPr>
          <w:rFonts w:ascii="David" w:hAnsi="David" w:cs="David" w:hint="cs"/>
          <w:sz w:val="24"/>
          <w:szCs w:val="24"/>
          <w:rtl/>
        </w:rPr>
        <w:t>המודלים צופים כי שיעור ההפסד השנתי הממוצע בתיק האשראי העסקי (ללא אשראי לבינוי ונדל"ן) יעמוד על כ-1.5%</w:t>
      </w:r>
      <w:r w:rsidR="00EB7A45" w:rsidRPr="00031240">
        <w:rPr>
          <w:rFonts w:ascii="Times New Roman" w:eastAsia="Calibri" w:hAnsi="Times New Roman" w:cs="David"/>
          <w:vertAlign w:val="superscript"/>
          <w:rtl/>
        </w:rPr>
        <w:footnoteReference w:id="6"/>
      </w:r>
      <w:r w:rsidR="007973C7" w:rsidRPr="00031240">
        <w:rPr>
          <w:rFonts w:ascii="David" w:hAnsi="David" w:cs="David" w:hint="cs"/>
          <w:sz w:val="24"/>
          <w:szCs w:val="24"/>
          <w:rtl/>
        </w:rPr>
        <w:t xml:space="preserve">. </w:t>
      </w:r>
      <w:r w:rsidR="00EB7A45" w:rsidRPr="00031240">
        <w:rPr>
          <w:rFonts w:ascii="David" w:hAnsi="David" w:cs="David" w:hint="cs"/>
          <w:sz w:val="24"/>
          <w:szCs w:val="24"/>
          <w:rtl/>
        </w:rPr>
        <w:t>ב</w:t>
      </w:r>
      <w:r w:rsidR="00CB5243" w:rsidRPr="00031240">
        <w:rPr>
          <w:rFonts w:ascii="David" w:hAnsi="David" w:cs="David" w:hint="cs"/>
          <w:sz w:val="24"/>
          <w:szCs w:val="24"/>
          <w:rtl/>
        </w:rPr>
        <w:t>י</w:t>
      </w:r>
      <w:r w:rsidR="00EB7A45" w:rsidRPr="00031240">
        <w:rPr>
          <w:rFonts w:ascii="David" w:hAnsi="David" w:cs="David" w:hint="cs"/>
          <w:sz w:val="24"/>
          <w:szCs w:val="24"/>
          <w:rtl/>
        </w:rPr>
        <w:t>חס</w:t>
      </w:r>
      <w:r w:rsidR="00EB7A45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CB5243" w:rsidRPr="00031240">
        <w:rPr>
          <w:rFonts w:ascii="David" w:hAnsi="David" w:cs="David" w:hint="cs"/>
          <w:sz w:val="24"/>
          <w:szCs w:val="24"/>
          <w:rtl/>
        </w:rPr>
        <w:t>ל</w:t>
      </w:r>
      <w:r w:rsidR="00EB7A45" w:rsidRPr="00031240">
        <w:rPr>
          <w:rFonts w:ascii="David" w:hAnsi="David" w:cs="David" w:hint="cs"/>
          <w:sz w:val="24"/>
          <w:szCs w:val="24"/>
          <w:rtl/>
        </w:rPr>
        <w:t>הון</w:t>
      </w:r>
      <w:r w:rsidR="007973C7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EB7A45" w:rsidRPr="00031240">
        <w:rPr>
          <w:rFonts w:ascii="David" w:hAnsi="David" w:cs="David" w:hint="cs"/>
          <w:sz w:val="24"/>
          <w:szCs w:val="24"/>
          <w:rtl/>
        </w:rPr>
        <w:t xml:space="preserve">מדובר בשיעור ההפסד הגבוה ביותר מבין הענפים (כ-4% </w:t>
      </w:r>
      <w:r w:rsidR="00F50D89" w:rsidRPr="00031240">
        <w:rPr>
          <w:rFonts w:ascii="David" w:hAnsi="David" w:cs="David" w:hint="cs"/>
          <w:sz w:val="24"/>
          <w:szCs w:val="24"/>
          <w:rtl/>
        </w:rPr>
        <w:t>ב</w:t>
      </w:r>
      <w:r w:rsidR="00EB7A45" w:rsidRPr="00031240">
        <w:rPr>
          <w:rFonts w:ascii="David" w:hAnsi="David" w:cs="David" w:hint="cs"/>
          <w:sz w:val="24"/>
          <w:szCs w:val="24"/>
          <w:rtl/>
        </w:rPr>
        <w:t>ממוצע שנתי</w:t>
      </w:r>
      <w:r w:rsidR="00EB7A45" w:rsidRPr="00031240">
        <w:rPr>
          <w:rFonts w:ascii="Times New Roman" w:eastAsia="Calibri" w:hAnsi="Times New Roman" w:cs="David"/>
          <w:vertAlign w:val="superscript"/>
          <w:rtl/>
        </w:rPr>
        <w:footnoteReference w:id="7"/>
      </w:r>
      <w:r w:rsidR="00EB7A45" w:rsidRPr="00031240">
        <w:rPr>
          <w:rFonts w:ascii="David" w:hAnsi="David" w:cs="David" w:hint="cs"/>
          <w:sz w:val="24"/>
          <w:szCs w:val="24"/>
          <w:rtl/>
        </w:rPr>
        <w:t xml:space="preserve">, </w:t>
      </w:r>
      <w:r w:rsidR="004F01E2" w:rsidRPr="00031240">
        <w:rPr>
          <w:rFonts w:ascii="David" w:hAnsi="David" w:cs="David" w:hint="cs"/>
          <w:sz w:val="24"/>
          <w:szCs w:val="24"/>
          <w:rtl/>
        </w:rPr>
        <w:t>איור 5</w:t>
      </w:r>
      <w:r w:rsidR="00EB7A45" w:rsidRPr="00031240">
        <w:rPr>
          <w:rFonts w:ascii="David" w:hAnsi="David" w:cs="David" w:hint="cs"/>
          <w:sz w:val="24"/>
          <w:szCs w:val="24"/>
          <w:rtl/>
        </w:rPr>
        <w:t xml:space="preserve">), וזאת </w:t>
      </w:r>
      <w:r w:rsidR="004772BD" w:rsidRPr="00031240">
        <w:rPr>
          <w:rFonts w:ascii="David" w:hAnsi="David" w:cs="David" w:hint="cs"/>
          <w:sz w:val="24"/>
          <w:szCs w:val="24"/>
          <w:rtl/>
        </w:rPr>
        <w:t xml:space="preserve">בגלל </w:t>
      </w:r>
      <w:r w:rsidR="00EB7A45" w:rsidRPr="00031240">
        <w:rPr>
          <w:rFonts w:ascii="David" w:hAnsi="David" w:cs="David" w:hint="cs"/>
          <w:sz w:val="24"/>
          <w:szCs w:val="24"/>
          <w:rtl/>
        </w:rPr>
        <w:t xml:space="preserve">החשיפה המשמעותית </w:t>
      </w:r>
      <w:r w:rsidR="00F50D89" w:rsidRPr="00031240">
        <w:rPr>
          <w:rFonts w:ascii="David" w:hAnsi="David" w:cs="David" w:hint="cs"/>
          <w:sz w:val="24"/>
          <w:szCs w:val="24"/>
          <w:rtl/>
        </w:rPr>
        <w:t xml:space="preserve">של התיק </w:t>
      </w:r>
      <w:r w:rsidR="00EB7A45" w:rsidRPr="00031240">
        <w:rPr>
          <w:rFonts w:ascii="David" w:hAnsi="David" w:cs="David" w:hint="cs"/>
          <w:sz w:val="24"/>
          <w:szCs w:val="24"/>
          <w:rtl/>
        </w:rPr>
        <w:t xml:space="preserve">לאשראי זה. </w:t>
      </w:r>
    </w:p>
    <w:p w:rsidR="003A054D" w:rsidRPr="00031240" w:rsidRDefault="003A054D" w:rsidP="0026032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31240">
        <w:rPr>
          <w:rFonts w:ascii="David" w:hAnsi="David" w:cs="David" w:hint="cs"/>
          <w:sz w:val="24"/>
          <w:szCs w:val="24"/>
          <w:rtl/>
        </w:rPr>
        <w:t>באשר לענף הבינוי והנדל"ן, המשבר בשוק הדיור</w:t>
      </w:r>
      <w:r w:rsidR="00F50D89" w:rsidRPr="00031240">
        <w:rPr>
          <w:rFonts w:ascii="David" w:hAnsi="David" w:cs="David" w:hint="cs"/>
          <w:sz w:val="24"/>
          <w:szCs w:val="24"/>
          <w:rtl/>
        </w:rPr>
        <w:t xml:space="preserve">, </w:t>
      </w:r>
      <w:r w:rsidRPr="00031240">
        <w:rPr>
          <w:rFonts w:ascii="David" w:hAnsi="David" w:cs="David" w:hint="cs"/>
          <w:sz w:val="24"/>
          <w:szCs w:val="24"/>
          <w:rtl/>
        </w:rPr>
        <w:t xml:space="preserve">המשתקף בתרחיש בין היתר בירידה </w:t>
      </w:r>
      <w:r w:rsidR="00F50D89" w:rsidRPr="00031240">
        <w:rPr>
          <w:rFonts w:ascii="David" w:hAnsi="David" w:cs="David" w:hint="cs"/>
          <w:sz w:val="24"/>
          <w:szCs w:val="24"/>
          <w:rtl/>
        </w:rPr>
        <w:t xml:space="preserve">משמעותית של מחירי </w:t>
      </w:r>
      <w:r w:rsidRPr="00031240">
        <w:rPr>
          <w:rFonts w:ascii="David" w:hAnsi="David" w:cs="David" w:hint="cs"/>
          <w:sz w:val="24"/>
          <w:szCs w:val="24"/>
          <w:rtl/>
        </w:rPr>
        <w:t>הדירות</w:t>
      </w:r>
      <w:r w:rsidR="00F50D89" w:rsidRPr="00031240">
        <w:rPr>
          <w:rFonts w:ascii="David" w:hAnsi="David" w:cs="David" w:hint="cs"/>
          <w:sz w:val="24"/>
          <w:szCs w:val="24"/>
          <w:rtl/>
        </w:rPr>
        <w:t xml:space="preserve">, </w:t>
      </w:r>
      <w:r w:rsidRPr="00031240">
        <w:rPr>
          <w:rFonts w:ascii="David" w:hAnsi="David" w:cs="David" w:hint="cs"/>
          <w:sz w:val="24"/>
          <w:szCs w:val="24"/>
          <w:rtl/>
        </w:rPr>
        <w:t>צפוי</w:t>
      </w:r>
      <w:r w:rsidR="000371FC" w:rsidRPr="00031240">
        <w:rPr>
          <w:rFonts w:ascii="David" w:hAnsi="David" w:cs="David" w:hint="cs"/>
          <w:sz w:val="24"/>
          <w:szCs w:val="24"/>
          <w:rtl/>
        </w:rPr>
        <w:t xml:space="preserve"> אף הוא</w:t>
      </w:r>
      <w:r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0371FC" w:rsidRPr="00031240">
        <w:rPr>
          <w:rFonts w:ascii="David" w:hAnsi="David" w:cs="David" w:hint="cs"/>
          <w:sz w:val="24"/>
          <w:szCs w:val="24"/>
          <w:rtl/>
        </w:rPr>
        <w:t xml:space="preserve">לגרור הפסדים </w:t>
      </w:r>
      <w:r w:rsidR="00E40FDC" w:rsidRPr="00031240">
        <w:rPr>
          <w:rFonts w:ascii="David" w:hAnsi="David" w:cs="David" w:hint="cs"/>
          <w:sz w:val="24"/>
          <w:szCs w:val="24"/>
          <w:rtl/>
        </w:rPr>
        <w:t xml:space="preserve">משמעותיים </w:t>
      </w:r>
      <w:r w:rsidR="000371FC" w:rsidRPr="00031240">
        <w:rPr>
          <w:rFonts w:ascii="David" w:hAnsi="David" w:cs="David" w:hint="cs"/>
          <w:sz w:val="24"/>
          <w:szCs w:val="24"/>
          <w:rtl/>
        </w:rPr>
        <w:t>בתרחיש הקיצון</w:t>
      </w:r>
      <w:r w:rsidRPr="00031240">
        <w:rPr>
          <w:rFonts w:ascii="David" w:hAnsi="David" w:cs="David"/>
          <w:sz w:val="24"/>
          <w:szCs w:val="24"/>
          <w:rtl/>
        </w:rPr>
        <w:t>.</w:t>
      </w:r>
      <w:r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F158CD" w:rsidRPr="00031240">
        <w:rPr>
          <w:rFonts w:ascii="David" w:hAnsi="David" w:cs="David" w:hint="cs"/>
          <w:sz w:val="24"/>
          <w:szCs w:val="24"/>
          <w:rtl/>
        </w:rPr>
        <w:t xml:space="preserve">יחד </w:t>
      </w:r>
      <w:r w:rsidR="000371FC" w:rsidRPr="00031240">
        <w:rPr>
          <w:rFonts w:ascii="David" w:hAnsi="David" w:cs="David" w:hint="cs"/>
          <w:sz w:val="24"/>
          <w:szCs w:val="24"/>
          <w:rtl/>
        </w:rPr>
        <w:t>עם ה</w:t>
      </w:r>
      <w:r w:rsidRPr="00031240">
        <w:rPr>
          <w:rFonts w:ascii="David" w:hAnsi="David" w:cs="David" w:hint="cs"/>
          <w:sz w:val="24"/>
          <w:szCs w:val="24"/>
          <w:rtl/>
        </w:rPr>
        <w:t xml:space="preserve">פגיעה שספג תיק האשראי לדיור </w:t>
      </w:r>
      <w:r w:rsidR="00F158CD" w:rsidRPr="00031240">
        <w:rPr>
          <w:rFonts w:ascii="David" w:hAnsi="David" w:cs="David" w:hint="cs"/>
          <w:sz w:val="24"/>
          <w:szCs w:val="24"/>
          <w:rtl/>
        </w:rPr>
        <w:t>בעקבות</w:t>
      </w:r>
      <w:r w:rsidRPr="00031240">
        <w:rPr>
          <w:rFonts w:ascii="David" w:hAnsi="David" w:cs="David" w:hint="cs"/>
          <w:sz w:val="24"/>
          <w:szCs w:val="24"/>
          <w:rtl/>
        </w:rPr>
        <w:t xml:space="preserve"> עליית האבטלה ועליית הריבית</w:t>
      </w:r>
      <w:r w:rsidR="00F158CD" w:rsidRPr="00031240">
        <w:rPr>
          <w:rFonts w:ascii="David" w:hAnsi="David" w:cs="David" w:hint="cs"/>
          <w:sz w:val="24"/>
          <w:szCs w:val="24"/>
          <w:rtl/>
        </w:rPr>
        <w:t xml:space="preserve"> מדובר במוקד</w:t>
      </w:r>
      <w:r w:rsidR="000371FC" w:rsidRPr="00031240">
        <w:rPr>
          <w:rFonts w:ascii="David" w:hAnsi="David" w:cs="David" w:hint="cs"/>
          <w:sz w:val="24"/>
          <w:szCs w:val="24"/>
          <w:rtl/>
        </w:rPr>
        <w:t>י</w:t>
      </w:r>
      <w:r w:rsidR="00F158CD" w:rsidRPr="00031240">
        <w:rPr>
          <w:rFonts w:ascii="David" w:hAnsi="David" w:cs="David" w:hint="cs"/>
          <w:sz w:val="24"/>
          <w:szCs w:val="24"/>
          <w:rtl/>
        </w:rPr>
        <w:t xml:space="preserve"> סיכון משמעותי</w:t>
      </w:r>
      <w:r w:rsidR="000371FC" w:rsidRPr="00031240">
        <w:rPr>
          <w:rFonts w:ascii="David" w:hAnsi="David" w:cs="David" w:hint="cs"/>
          <w:sz w:val="24"/>
          <w:szCs w:val="24"/>
          <w:rtl/>
        </w:rPr>
        <w:t>ים</w:t>
      </w:r>
      <w:r w:rsidR="00F158CD" w:rsidRPr="00031240">
        <w:rPr>
          <w:rFonts w:ascii="David" w:hAnsi="David" w:cs="David" w:hint="cs"/>
          <w:sz w:val="24"/>
          <w:szCs w:val="24"/>
          <w:rtl/>
        </w:rPr>
        <w:t xml:space="preserve"> למערכת הבנקאית</w:t>
      </w:r>
      <w:r w:rsidR="00F50D89" w:rsidRPr="00031240">
        <w:rPr>
          <w:rFonts w:ascii="David" w:hAnsi="David" w:cs="David" w:hint="cs"/>
          <w:sz w:val="24"/>
          <w:szCs w:val="24"/>
          <w:rtl/>
        </w:rPr>
        <w:t xml:space="preserve">. זאת </w:t>
      </w:r>
      <w:r w:rsidR="000371FC" w:rsidRPr="00031240">
        <w:rPr>
          <w:rFonts w:ascii="David" w:hAnsi="David" w:cs="David" w:hint="cs"/>
          <w:sz w:val="24"/>
          <w:szCs w:val="24"/>
          <w:rtl/>
        </w:rPr>
        <w:t>הן</w:t>
      </w:r>
      <w:r w:rsidR="00F158CD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F50D89" w:rsidRPr="00031240">
        <w:rPr>
          <w:rFonts w:ascii="David" w:hAnsi="David" w:cs="David" w:hint="cs"/>
          <w:sz w:val="24"/>
          <w:szCs w:val="24"/>
          <w:rtl/>
        </w:rPr>
        <w:t xml:space="preserve">מפני המתאם הגבוה בין </w:t>
      </w:r>
      <w:r w:rsidR="00F158CD" w:rsidRPr="00031240">
        <w:rPr>
          <w:rFonts w:ascii="David" w:hAnsi="David" w:cs="David" w:hint="cs"/>
          <w:sz w:val="24"/>
          <w:szCs w:val="24"/>
          <w:rtl/>
        </w:rPr>
        <w:t>שני ענפים אלו</w:t>
      </w:r>
      <w:r w:rsidR="00F50D89" w:rsidRPr="00031240">
        <w:rPr>
          <w:rFonts w:ascii="David" w:hAnsi="David" w:cs="David" w:hint="cs"/>
          <w:sz w:val="24"/>
          <w:szCs w:val="24"/>
          <w:rtl/>
        </w:rPr>
        <w:t>, ש</w:t>
      </w:r>
      <w:r w:rsidRPr="00031240">
        <w:rPr>
          <w:rFonts w:ascii="David" w:hAnsi="David" w:cs="David" w:hint="cs"/>
          <w:sz w:val="24"/>
          <w:szCs w:val="24"/>
          <w:rtl/>
        </w:rPr>
        <w:t xml:space="preserve">צפוי להעצים את ההפסדים הנרשמים בהם דרך </w:t>
      </w:r>
      <w:proofErr w:type="spellStart"/>
      <w:r w:rsidRPr="00031240">
        <w:rPr>
          <w:rFonts w:ascii="David" w:hAnsi="David" w:cs="David" w:hint="cs"/>
          <w:sz w:val="24"/>
          <w:szCs w:val="24"/>
          <w:rtl/>
        </w:rPr>
        <w:t>היזונים</w:t>
      </w:r>
      <w:proofErr w:type="spellEnd"/>
      <w:r w:rsidRPr="00031240">
        <w:rPr>
          <w:rFonts w:ascii="David" w:hAnsi="David" w:cs="David" w:hint="cs"/>
          <w:sz w:val="24"/>
          <w:szCs w:val="24"/>
          <w:rtl/>
        </w:rPr>
        <w:t xml:space="preserve"> חוזרים</w:t>
      </w:r>
      <w:r w:rsidR="00F50D89" w:rsidRPr="00031240">
        <w:rPr>
          <w:rFonts w:ascii="David" w:hAnsi="David" w:cs="David" w:hint="cs"/>
          <w:sz w:val="24"/>
          <w:szCs w:val="24"/>
          <w:rtl/>
        </w:rPr>
        <w:t xml:space="preserve">, </w:t>
      </w:r>
      <w:r w:rsidR="000371FC" w:rsidRPr="00031240">
        <w:rPr>
          <w:rFonts w:ascii="David" w:hAnsi="David" w:cs="David" w:hint="cs"/>
          <w:sz w:val="24"/>
          <w:szCs w:val="24"/>
          <w:rtl/>
        </w:rPr>
        <w:t xml:space="preserve">והן </w:t>
      </w:r>
      <w:r w:rsidR="00F50D89" w:rsidRPr="00031240">
        <w:rPr>
          <w:rFonts w:ascii="David" w:hAnsi="David" w:cs="David" w:hint="cs"/>
          <w:sz w:val="24"/>
          <w:szCs w:val="24"/>
          <w:rtl/>
        </w:rPr>
        <w:t>מפני</w:t>
      </w:r>
      <w:r w:rsidR="004772BD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0371FC" w:rsidRPr="00031240">
        <w:rPr>
          <w:rFonts w:ascii="David" w:hAnsi="David" w:cs="David" w:hint="cs"/>
          <w:sz w:val="24"/>
          <w:szCs w:val="24"/>
          <w:rtl/>
        </w:rPr>
        <w:t>היקפם ומשקלם הגבוה</w:t>
      </w:r>
      <w:r w:rsidR="00F50D89" w:rsidRPr="00031240">
        <w:rPr>
          <w:rFonts w:ascii="David" w:hAnsi="David" w:cs="David" w:hint="cs"/>
          <w:sz w:val="24"/>
          <w:szCs w:val="24"/>
          <w:rtl/>
        </w:rPr>
        <w:t>ים</w:t>
      </w:r>
      <w:r w:rsidR="000371FC" w:rsidRPr="00031240">
        <w:rPr>
          <w:rFonts w:ascii="David" w:hAnsi="David" w:cs="David" w:hint="cs"/>
          <w:sz w:val="24"/>
          <w:szCs w:val="24"/>
          <w:rtl/>
        </w:rPr>
        <w:t xml:space="preserve"> בסך תיק האשראי</w:t>
      </w:r>
      <w:r w:rsidRPr="00031240">
        <w:rPr>
          <w:rFonts w:ascii="David" w:hAnsi="David" w:cs="David" w:hint="cs"/>
          <w:sz w:val="24"/>
          <w:szCs w:val="24"/>
          <w:rtl/>
        </w:rPr>
        <w:t xml:space="preserve">. </w:t>
      </w:r>
      <w:r w:rsidR="00F158CD" w:rsidRPr="00031240">
        <w:rPr>
          <w:rFonts w:ascii="David" w:hAnsi="David" w:cs="David" w:hint="cs"/>
          <w:sz w:val="24"/>
          <w:szCs w:val="24"/>
          <w:rtl/>
        </w:rPr>
        <w:t xml:space="preserve">עם זאת חשוב לציין כי בשני ענפים אלו </w:t>
      </w:r>
      <w:r w:rsidR="00484ABA" w:rsidRPr="00031240">
        <w:rPr>
          <w:rFonts w:ascii="David" w:hAnsi="David" w:cs="David" w:hint="cs"/>
          <w:sz w:val="24"/>
          <w:szCs w:val="24"/>
          <w:rtl/>
        </w:rPr>
        <w:t xml:space="preserve">הסיכון הולך ויורד </w:t>
      </w:r>
      <w:r w:rsidR="00F158CD" w:rsidRPr="00031240">
        <w:rPr>
          <w:rFonts w:ascii="David" w:hAnsi="David" w:cs="David" w:hint="cs"/>
          <w:sz w:val="24"/>
          <w:szCs w:val="24"/>
          <w:rtl/>
        </w:rPr>
        <w:t>לאורך השנים האחרונות</w:t>
      </w:r>
      <w:r w:rsidR="00484ABA" w:rsidRPr="00031240">
        <w:rPr>
          <w:rFonts w:ascii="David" w:hAnsi="David" w:cs="David" w:hint="cs"/>
          <w:sz w:val="24"/>
          <w:szCs w:val="24"/>
          <w:rtl/>
        </w:rPr>
        <w:t xml:space="preserve"> – מגמה</w:t>
      </w:r>
      <w:r w:rsidR="004772BD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484ABA" w:rsidRPr="00031240">
        <w:rPr>
          <w:rFonts w:ascii="David" w:hAnsi="David" w:cs="David" w:hint="cs"/>
          <w:sz w:val="24"/>
          <w:szCs w:val="24"/>
          <w:rtl/>
        </w:rPr>
        <w:t xml:space="preserve">המשתקפת </w:t>
      </w:r>
      <w:r w:rsidR="000371FC" w:rsidRPr="00031240">
        <w:rPr>
          <w:rFonts w:ascii="David" w:hAnsi="David" w:cs="David" w:hint="cs"/>
          <w:sz w:val="24"/>
          <w:szCs w:val="24"/>
          <w:rtl/>
        </w:rPr>
        <w:t>ב</w:t>
      </w:r>
      <w:r w:rsidR="00484ABA" w:rsidRPr="00031240">
        <w:rPr>
          <w:rFonts w:ascii="David" w:hAnsi="David" w:cs="David" w:hint="cs"/>
          <w:sz w:val="24"/>
          <w:szCs w:val="24"/>
          <w:rtl/>
        </w:rPr>
        <w:t xml:space="preserve">ירידת </w:t>
      </w:r>
      <w:r w:rsidR="000371FC" w:rsidRPr="00031240">
        <w:rPr>
          <w:rFonts w:ascii="David" w:hAnsi="David" w:cs="David" w:hint="cs"/>
          <w:sz w:val="24"/>
          <w:szCs w:val="24"/>
          <w:rtl/>
        </w:rPr>
        <w:t>שיעורי ההפסד ב</w:t>
      </w:r>
      <w:r w:rsidR="00484ABA" w:rsidRPr="00031240">
        <w:rPr>
          <w:rFonts w:ascii="David" w:hAnsi="David" w:cs="David" w:hint="cs"/>
          <w:sz w:val="24"/>
          <w:szCs w:val="24"/>
          <w:rtl/>
        </w:rPr>
        <w:t xml:space="preserve">הם. </w:t>
      </w:r>
      <w:r w:rsidR="000371FC" w:rsidRPr="00031240">
        <w:rPr>
          <w:rFonts w:ascii="David" w:hAnsi="David" w:cs="David" w:hint="cs"/>
          <w:sz w:val="24"/>
          <w:szCs w:val="24"/>
          <w:rtl/>
        </w:rPr>
        <w:t>(</w:t>
      </w:r>
      <w:r w:rsidR="000371FC" w:rsidRPr="00031240">
        <w:rPr>
          <w:rFonts w:ascii="David" w:hAnsi="David" w:cs="David" w:hint="eastAsia"/>
          <w:sz w:val="24"/>
          <w:szCs w:val="24"/>
          <w:rtl/>
        </w:rPr>
        <w:t>הרחבה</w:t>
      </w:r>
      <w:r w:rsidR="000371FC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7973C7" w:rsidRPr="00031240">
        <w:rPr>
          <w:rFonts w:ascii="David" w:hAnsi="David" w:cs="David" w:hint="eastAsia"/>
          <w:sz w:val="24"/>
          <w:szCs w:val="24"/>
          <w:rtl/>
        </w:rPr>
        <w:t>רא</w:t>
      </w:r>
      <w:r w:rsidR="007973C7" w:rsidRPr="00031240">
        <w:rPr>
          <w:rFonts w:ascii="David" w:hAnsi="David" w:cs="David" w:hint="cs"/>
          <w:sz w:val="24"/>
          <w:szCs w:val="24"/>
          <w:rtl/>
        </w:rPr>
        <w:t>ו</w:t>
      </w:r>
      <w:r w:rsidR="007973C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0371FC" w:rsidRPr="00031240">
        <w:rPr>
          <w:rFonts w:ascii="David" w:hAnsi="David" w:cs="David" w:hint="eastAsia"/>
          <w:sz w:val="24"/>
          <w:szCs w:val="24"/>
          <w:rtl/>
        </w:rPr>
        <w:t>בפרק</w:t>
      </w:r>
      <w:r w:rsidR="000371FC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7973C7" w:rsidRPr="00031240">
        <w:rPr>
          <w:rFonts w:ascii="David" w:hAnsi="David" w:cs="David" w:hint="cs"/>
          <w:sz w:val="24"/>
          <w:szCs w:val="24"/>
          <w:rtl/>
        </w:rPr>
        <w:t xml:space="preserve">על </w:t>
      </w:r>
      <w:r w:rsidR="000371FC" w:rsidRPr="00031240">
        <w:rPr>
          <w:rFonts w:ascii="David" w:hAnsi="David" w:cs="David" w:hint="eastAsia"/>
          <w:sz w:val="24"/>
          <w:szCs w:val="24"/>
          <w:rtl/>
        </w:rPr>
        <w:t>סיכון</w:t>
      </w:r>
      <w:r w:rsidR="000371FC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0371FC" w:rsidRPr="00031240">
        <w:rPr>
          <w:rFonts w:ascii="David" w:hAnsi="David" w:cs="David" w:hint="eastAsia"/>
          <w:sz w:val="24"/>
          <w:szCs w:val="24"/>
          <w:rtl/>
        </w:rPr>
        <w:t>האשראי</w:t>
      </w:r>
      <w:r w:rsidR="00260329" w:rsidRPr="00031240">
        <w:rPr>
          <w:rFonts w:ascii="David" w:hAnsi="David" w:cs="David" w:hint="cs"/>
          <w:sz w:val="24"/>
          <w:szCs w:val="24"/>
          <w:rtl/>
        </w:rPr>
        <w:t xml:space="preserve"> בסקירה השנתית של הפיקוח על הבנקים לשנת 2018 אשר </w:t>
      </w:r>
      <w:r w:rsidR="00260329" w:rsidRPr="00031240">
        <w:rPr>
          <w:rFonts w:ascii="David" w:hAnsi="David" w:cs="David" w:hint="cs"/>
          <w:sz w:val="24"/>
          <w:szCs w:val="24"/>
          <w:rtl/>
        </w:rPr>
        <w:lastRenderedPageBreak/>
        <w:t>תפורסם בימים הקרובים</w:t>
      </w:r>
      <w:r w:rsidR="000371FC" w:rsidRPr="00031240">
        <w:rPr>
          <w:rFonts w:ascii="David" w:hAnsi="David" w:cs="David"/>
          <w:sz w:val="24"/>
          <w:szCs w:val="24"/>
          <w:rtl/>
        </w:rPr>
        <w:t xml:space="preserve">. </w:t>
      </w:r>
      <w:r w:rsidR="007973C7" w:rsidRPr="00031240">
        <w:rPr>
          <w:rFonts w:ascii="David" w:hAnsi="David" w:cs="David"/>
          <w:sz w:val="24"/>
          <w:szCs w:val="24"/>
          <w:rtl/>
        </w:rPr>
        <w:t>לגבי</w:t>
      </w:r>
      <w:r w:rsidR="000371FC" w:rsidRPr="00031240">
        <w:rPr>
          <w:rFonts w:ascii="David" w:hAnsi="David" w:cs="David"/>
          <w:sz w:val="24"/>
          <w:szCs w:val="24"/>
          <w:rtl/>
        </w:rPr>
        <w:t xml:space="preserve"> האשראי לדיור</w:t>
      </w:r>
      <w:r w:rsidR="00CA6F4F" w:rsidRPr="00031240">
        <w:rPr>
          <w:rFonts w:ascii="David" w:hAnsi="David" w:cs="David" w:hint="cs"/>
          <w:sz w:val="24"/>
          <w:szCs w:val="24"/>
          <w:rtl/>
        </w:rPr>
        <w:t xml:space="preserve"> רא</w:t>
      </w:r>
      <w:r w:rsidR="00053589" w:rsidRPr="00031240">
        <w:rPr>
          <w:rFonts w:ascii="David" w:hAnsi="David" w:cs="David" w:hint="cs"/>
          <w:sz w:val="24"/>
          <w:szCs w:val="24"/>
          <w:rtl/>
        </w:rPr>
        <w:t>ו</w:t>
      </w:r>
      <w:r w:rsidR="007973C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484ABA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1A6DAD" w:rsidRPr="00031240">
        <w:rPr>
          <w:rFonts w:ascii="David" w:hAnsi="David" w:cs="David" w:hint="cs"/>
          <w:sz w:val="24"/>
          <w:szCs w:val="24"/>
          <w:rtl/>
        </w:rPr>
        <w:t>ה</w:t>
      </w:r>
      <w:r w:rsidR="000371FC" w:rsidRPr="00031240">
        <w:rPr>
          <w:rFonts w:ascii="David" w:hAnsi="David" w:cs="David"/>
          <w:sz w:val="24"/>
          <w:szCs w:val="24"/>
          <w:rtl/>
        </w:rPr>
        <w:t xml:space="preserve">תיבה </w:t>
      </w:r>
      <w:r w:rsidR="00CA6F4F" w:rsidRPr="00031240">
        <w:rPr>
          <w:rFonts w:ascii="David" w:hAnsi="David" w:cs="David" w:hint="cs"/>
          <w:sz w:val="24"/>
          <w:szCs w:val="24"/>
          <w:rtl/>
        </w:rPr>
        <w:t>"</w:t>
      </w:r>
      <w:r w:rsidR="00CA6F4F" w:rsidRPr="00031240">
        <w:rPr>
          <w:rFonts w:ascii="David" w:hAnsi="David" w:cs="David"/>
          <w:sz w:val="24"/>
          <w:szCs w:val="24"/>
          <w:rtl/>
        </w:rPr>
        <w:t>השפעות תרחיש הקיצון המקרו-כלכלי על תיק האשראי לדיור</w:t>
      </w:r>
      <w:r w:rsidR="00CA6F4F" w:rsidRPr="00031240">
        <w:rPr>
          <w:rFonts w:ascii="David" w:hAnsi="David" w:cs="David" w:hint="cs"/>
          <w:sz w:val="24"/>
          <w:szCs w:val="24"/>
          <w:rtl/>
        </w:rPr>
        <w:t>"</w:t>
      </w:r>
      <w:r w:rsidR="00260329" w:rsidRPr="00031240">
        <w:rPr>
          <w:rFonts w:ascii="David" w:hAnsi="David" w:cs="David" w:hint="cs"/>
          <w:sz w:val="24"/>
          <w:szCs w:val="24"/>
          <w:rtl/>
        </w:rPr>
        <w:t xml:space="preserve"> אשר פורסמה לציבור</w:t>
      </w:r>
      <w:r w:rsidR="007973C7" w:rsidRPr="00031240">
        <w:rPr>
          <w:rFonts w:ascii="David" w:hAnsi="David" w:cs="David"/>
          <w:sz w:val="24"/>
          <w:szCs w:val="24"/>
          <w:rtl/>
        </w:rPr>
        <w:t>.</w:t>
      </w:r>
      <w:r w:rsidR="007973C7" w:rsidRPr="00031240">
        <w:rPr>
          <w:rFonts w:ascii="David" w:hAnsi="David" w:cs="David" w:hint="cs"/>
          <w:sz w:val="24"/>
          <w:szCs w:val="24"/>
          <w:rtl/>
        </w:rPr>
        <w:t>)</w:t>
      </w:r>
    </w:p>
    <w:p w:rsidR="00683563" w:rsidRPr="00031240" w:rsidRDefault="00123C42" w:rsidP="0026032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האשראי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הצרכני</w:t>
      </w:r>
      <w:r w:rsidR="0035031A"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A054D" w:rsidRPr="00031240">
        <w:rPr>
          <w:rFonts w:ascii="David" w:hAnsi="David" w:cs="David" w:hint="cs"/>
          <w:b/>
          <w:bCs/>
          <w:sz w:val="24"/>
          <w:szCs w:val="24"/>
          <w:rtl/>
        </w:rPr>
        <w:t xml:space="preserve">הוא שמגיע לשיעורי ההפסד הגבוהים ביותר בתרחיש </w:t>
      </w:r>
      <w:r w:rsidR="0035031A" w:rsidRPr="00031240">
        <w:rPr>
          <w:rFonts w:ascii="David" w:hAnsi="David" w:cs="David" w:hint="cs"/>
          <w:sz w:val="24"/>
          <w:szCs w:val="24"/>
          <w:rtl/>
        </w:rPr>
        <w:t>(</w:t>
      </w:r>
      <w:r w:rsidRPr="00031240">
        <w:rPr>
          <w:rFonts w:ascii="David" w:hAnsi="David" w:cs="David" w:hint="cs"/>
          <w:sz w:val="24"/>
          <w:szCs w:val="24"/>
          <w:rtl/>
        </w:rPr>
        <w:t>שיעור הפסד</w:t>
      </w:r>
      <w:r w:rsidR="00AC2342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Pr="00031240">
        <w:rPr>
          <w:rFonts w:ascii="David" w:hAnsi="David" w:cs="David" w:hint="cs"/>
          <w:sz w:val="24"/>
          <w:szCs w:val="24"/>
          <w:rtl/>
        </w:rPr>
        <w:t xml:space="preserve">שנתי ממוצע </w:t>
      </w:r>
      <w:r w:rsidR="001A6DAD" w:rsidRPr="00031240">
        <w:rPr>
          <w:rFonts w:ascii="David" w:hAnsi="David" w:cs="David" w:hint="cs"/>
          <w:sz w:val="24"/>
          <w:szCs w:val="24"/>
          <w:rtl/>
        </w:rPr>
        <w:t xml:space="preserve">בשיעור </w:t>
      </w:r>
      <w:r w:rsidRPr="00031240">
        <w:rPr>
          <w:rFonts w:ascii="David" w:hAnsi="David" w:cs="David" w:hint="cs"/>
          <w:sz w:val="24"/>
          <w:szCs w:val="24"/>
          <w:rtl/>
        </w:rPr>
        <w:t>של כ-2%</w:t>
      </w:r>
      <w:r w:rsidRPr="00031240">
        <w:rPr>
          <w:rFonts w:ascii="Times New Roman" w:eastAsia="Calibri" w:hAnsi="Times New Roman" w:cs="David"/>
          <w:vertAlign w:val="superscript"/>
          <w:rtl/>
        </w:rPr>
        <w:footnoteReference w:id="8"/>
      </w:r>
      <w:r w:rsidR="00832007" w:rsidRPr="00031240">
        <w:rPr>
          <w:rFonts w:ascii="David" w:hAnsi="David" w:cs="David" w:hint="cs"/>
          <w:sz w:val="24"/>
          <w:szCs w:val="24"/>
          <w:rtl/>
        </w:rPr>
        <w:t>, איור 5</w:t>
      </w:r>
      <w:r w:rsidR="0035031A" w:rsidRPr="00031240">
        <w:rPr>
          <w:rFonts w:ascii="David" w:hAnsi="David" w:cs="David" w:hint="cs"/>
          <w:sz w:val="24"/>
          <w:szCs w:val="24"/>
          <w:rtl/>
        </w:rPr>
        <w:t>)</w:t>
      </w:r>
      <w:r w:rsidRPr="00031240">
        <w:rPr>
          <w:rFonts w:ascii="David" w:hAnsi="David" w:cs="David" w:hint="cs"/>
          <w:sz w:val="24"/>
          <w:szCs w:val="24"/>
          <w:rtl/>
        </w:rPr>
        <w:t xml:space="preserve">. שיעורי ההפסד הגבוהים בתיק זה </w:t>
      </w:r>
      <w:r w:rsidR="003A054D" w:rsidRPr="00031240">
        <w:rPr>
          <w:rFonts w:ascii="David" w:hAnsi="David" w:cs="David" w:hint="cs"/>
          <w:sz w:val="24"/>
          <w:szCs w:val="24"/>
          <w:rtl/>
        </w:rPr>
        <w:t>נובעים בעיקר מה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עלייה החדה </w:t>
      </w:r>
      <w:r w:rsidR="00484ABA" w:rsidRPr="00031240">
        <w:rPr>
          <w:rFonts w:ascii="David" w:hAnsi="David" w:cs="David" w:hint="cs"/>
          <w:sz w:val="24"/>
          <w:szCs w:val="24"/>
          <w:rtl/>
        </w:rPr>
        <w:t xml:space="preserve">של שיעור </w:t>
      </w:r>
      <w:r w:rsidRPr="00031240">
        <w:rPr>
          <w:rFonts w:ascii="David" w:hAnsi="David" w:cs="David" w:hint="cs"/>
          <w:sz w:val="24"/>
          <w:szCs w:val="24"/>
          <w:rtl/>
        </w:rPr>
        <w:t>האבטלה</w:t>
      </w:r>
      <w:r w:rsidR="003A054D" w:rsidRPr="00031240">
        <w:rPr>
          <w:rFonts w:ascii="David" w:hAnsi="David" w:cs="David" w:hint="cs"/>
          <w:sz w:val="24"/>
          <w:szCs w:val="24"/>
          <w:rtl/>
        </w:rPr>
        <w:t xml:space="preserve">, </w:t>
      </w:r>
      <w:r w:rsidR="003A054D" w:rsidRPr="00031240">
        <w:rPr>
          <w:rFonts w:ascii="David" w:hAnsi="David" w:cs="David" w:hint="eastAsia"/>
          <w:sz w:val="24"/>
          <w:szCs w:val="24"/>
          <w:rtl/>
        </w:rPr>
        <w:t>אך</w:t>
      </w:r>
      <w:r w:rsidR="003A054D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3A054D" w:rsidRPr="00031240">
        <w:rPr>
          <w:rFonts w:ascii="David" w:hAnsi="David" w:cs="David" w:hint="eastAsia"/>
          <w:sz w:val="24"/>
          <w:szCs w:val="24"/>
          <w:rtl/>
        </w:rPr>
        <w:t>מושפעים</w:t>
      </w:r>
      <w:r w:rsidR="003A054D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3A054D" w:rsidRPr="00031240">
        <w:rPr>
          <w:rFonts w:ascii="David" w:hAnsi="David" w:cs="David" w:hint="eastAsia"/>
          <w:sz w:val="24"/>
          <w:szCs w:val="24"/>
          <w:rtl/>
        </w:rPr>
        <w:t>לרעה</w:t>
      </w:r>
      <w:r w:rsidR="003A054D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484ABA" w:rsidRPr="00031240">
        <w:rPr>
          <w:rFonts w:ascii="David" w:hAnsi="David" w:cs="David" w:hint="cs"/>
          <w:sz w:val="24"/>
          <w:szCs w:val="24"/>
          <w:rtl/>
        </w:rPr>
        <w:t xml:space="preserve">גם </w:t>
      </w:r>
      <w:r w:rsidR="003A054D" w:rsidRPr="00031240">
        <w:rPr>
          <w:rFonts w:ascii="David" w:hAnsi="David" w:cs="David" w:hint="eastAsia"/>
          <w:sz w:val="24"/>
          <w:szCs w:val="24"/>
          <w:rtl/>
        </w:rPr>
        <w:t>מ</w:t>
      </w:r>
      <w:r w:rsidRPr="00031240">
        <w:rPr>
          <w:rFonts w:ascii="David" w:hAnsi="David" w:cs="David" w:hint="eastAsia"/>
          <w:sz w:val="24"/>
          <w:szCs w:val="24"/>
          <w:rtl/>
        </w:rPr>
        <w:t>עליית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הריבית</w:t>
      </w:r>
      <w:r w:rsidR="003A054D" w:rsidRPr="00031240">
        <w:rPr>
          <w:rFonts w:ascii="David" w:hAnsi="David" w:cs="David"/>
          <w:sz w:val="24"/>
          <w:szCs w:val="24"/>
          <w:rtl/>
        </w:rPr>
        <w:t xml:space="preserve">, </w:t>
      </w:r>
      <w:r w:rsidR="003A054D" w:rsidRPr="00031240">
        <w:rPr>
          <w:rFonts w:ascii="David" w:hAnsi="David" w:cs="David" w:hint="eastAsia"/>
          <w:sz w:val="24"/>
          <w:szCs w:val="24"/>
          <w:rtl/>
        </w:rPr>
        <w:t>בפרט</w:t>
      </w:r>
      <w:r w:rsidR="003A054D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3A054D" w:rsidRPr="00031240">
        <w:rPr>
          <w:rFonts w:ascii="David" w:hAnsi="David" w:cs="David" w:hint="eastAsia"/>
          <w:sz w:val="24"/>
          <w:szCs w:val="24"/>
          <w:rtl/>
        </w:rPr>
        <w:t>בקרב</w:t>
      </w:r>
      <w:r w:rsidRPr="00031240">
        <w:rPr>
          <w:rFonts w:ascii="David" w:hAnsi="David" w:cs="David"/>
          <w:sz w:val="24"/>
          <w:szCs w:val="24"/>
          <w:rtl/>
        </w:rPr>
        <w:t xml:space="preserve"> הלווים ב</w:t>
      </w:r>
      <w:r w:rsidR="00C95B42" w:rsidRPr="00031240">
        <w:rPr>
          <w:rFonts w:ascii="David" w:hAnsi="David" w:cs="David" w:hint="eastAsia"/>
          <w:sz w:val="24"/>
          <w:szCs w:val="24"/>
          <w:rtl/>
        </w:rPr>
        <w:t>עלי</w:t>
      </w:r>
      <w:r w:rsidR="00C95B42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C95B42" w:rsidRPr="00031240">
        <w:rPr>
          <w:rFonts w:ascii="David" w:hAnsi="David" w:cs="David" w:hint="eastAsia"/>
          <w:sz w:val="24"/>
          <w:szCs w:val="24"/>
          <w:rtl/>
        </w:rPr>
        <w:t>ה</w:t>
      </w:r>
      <w:r w:rsidRPr="00031240">
        <w:rPr>
          <w:rFonts w:ascii="David" w:hAnsi="David" w:cs="David" w:hint="eastAsia"/>
          <w:sz w:val="24"/>
          <w:szCs w:val="24"/>
          <w:rtl/>
        </w:rPr>
        <w:t>הכנסות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הנמוכות</w:t>
      </w:r>
      <w:r w:rsidR="00484ABA" w:rsidRPr="00031240">
        <w:rPr>
          <w:rFonts w:ascii="David" w:hAnsi="David" w:cs="David" w:hint="cs"/>
          <w:sz w:val="24"/>
          <w:szCs w:val="24"/>
          <w:rtl/>
        </w:rPr>
        <w:t>,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="004772BD" w:rsidRPr="00031240">
        <w:rPr>
          <w:rFonts w:ascii="David" w:hAnsi="David" w:cs="David" w:hint="cs"/>
          <w:sz w:val="24"/>
          <w:szCs w:val="24"/>
          <w:rtl/>
        </w:rPr>
        <w:t xml:space="preserve">שהם פגיעים 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יותר</w:t>
      </w:r>
      <w:r w:rsidR="005B5B95" w:rsidRPr="00031240">
        <w:rPr>
          <w:rStyle w:val="a9"/>
          <w:rFonts w:ascii="David" w:hAnsi="David" w:cs="David"/>
          <w:sz w:val="24"/>
          <w:szCs w:val="24"/>
          <w:rtl/>
        </w:rPr>
        <w:footnoteReference w:id="9"/>
      </w:r>
      <w:r w:rsidR="00484ABA" w:rsidRPr="00031240">
        <w:rPr>
          <w:rFonts w:ascii="David" w:hAnsi="David" w:cs="David" w:hint="cs"/>
          <w:sz w:val="24"/>
          <w:szCs w:val="24"/>
          <w:rtl/>
        </w:rPr>
        <w:t xml:space="preserve">, </w:t>
      </w:r>
      <w:r w:rsidRPr="00031240">
        <w:rPr>
          <w:rFonts w:ascii="David" w:hAnsi="David" w:cs="David" w:hint="eastAsia"/>
          <w:sz w:val="24"/>
          <w:szCs w:val="24"/>
          <w:rtl/>
        </w:rPr>
        <w:t>והלווים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="00484ABA" w:rsidRPr="00031240">
        <w:rPr>
          <w:rFonts w:ascii="David" w:hAnsi="David" w:cs="David" w:hint="cs"/>
          <w:sz w:val="24"/>
          <w:szCs w:val="24"/>
          <w:rtl/>
        </w:rPr>
        <w:t>ששיעור</w:t>
      </w:r>
      <w:r w:rsidR="00FE0036" w:rsidRPr="00031240">
        <w:rPr>
          <w:rFonts w:ascii="David" w:hAnsi="David" w:cs="David"/>
          <w:sz w:val="24"/>
          <w:szCs w:val="24"/>
          <w:rtl/>
        </w:rPr>
        <w:t xml:space="preserve"> חוב</w:t>
      </w:r>
      <w:r w:rsidR="00484ABA" w:rsidRPr="00031240">
        <w:rPr>
          <w:rFonts w:ascii="David" w:hAnsi="David" w:cs="David" w:hint="cs"/>
          <w:sz w:val="24"/>
          <w:szCs w:val="24"/>
          <w:rtl/>
        </w:rPr>
        <w:t>ם</w:t>
      </w:r>
      <w:r w:rsidR="00FE0036" w:rsidRPr="00031240">
        <w:rPr>
          <w:rFonts w:ascii="David" w:hAnsi="David" w:cs="David"/>
          <w:sz w:val="24"/>
          <w:szCs w:val="24"/>
          <w:rtl/>
        </w:rPr>
        <w:t xml:space="preserve"> ביחס </w:t>
      </w:r>
      <w:r w:rsidR="00484ABA" w:rsidRPr="00031240">
        <w:rPr>
          <w:rFonts w:ascii="David" w:hAnsi="David" w:cs="David"/>
          <w:sz w:val="24"/>
          <w:szCs w:val="24"/>
          <w:rtl/>
        </w:rPr>
        <w:t>להכנס</w:t>
      </w:r>
      <w:r w:rsidR="00484ABA" w:rsidRPr="00031240">
        <w:rPr>
          <w:rFonts w:ascii="David" w:hAnsi="David" w:cs="David" w:hint="cs"/>
          <w:sz w:val="24"/>
          <w:szCs w:val="24"/>
          <w:rtl/>
        </w:rPr>
        <w:t>תם גבוה</w:t>
      </w:r>
      <w:r w:rsidR="00484ABA"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/>
          <w:sz w:val="24"/>
          <w:szCs w:val="24"/>
          <w:rtl/>
        </w:rPr>
        <w:t>(</w:t>
      </w:r>
      <w:r w:rsidR="00484ABA" w:rsidRPr="00031240">
        <w:rPr>
          <w:rFonts w:ascii="David" w:hAnsi="David" w:cs="David" w:hint="cs"/>
          <w:sz w:val="24"/>
          <w:szCs w:val="24"/>
          <w:rtl/>
        </w:rPr>
        <w:t>ש</w:t>
      </w:r>
      <w:r w:rsidRPr="00031240">
        <w:rPr>
          <w:rFonts w:ascii="David" w:hAnsi="David" w:cs="David" w:hint="eastAsia"/>
          <w:sz w:val="24"/>
          <w:szCs w:val="24"/>
          <w:rtl/>
        </w:rPr>
        <w:t>חלקם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הם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="00484ABA" w:rsidRPr="00031240">
        <w:rPr>
          <w:rFonts w:ascii="David" w:hAnsi="David" w:cs="David" w:hint="eastAsia"/>
          <w:sz w:val="24"/>
          <w:szCs w:val="24"/>
          <w:rtl/>
        </w:rPr>
        <w:t>אל</w:t>
      </w:r>
      <w:r w:rsidR="00484ABA" w:rsidRPr="00031240">
        <w:rPr>
          <w:rFonts w:ascii="David" w:hAnsi="David" w:cs="David" w:hint="cs"/>
          <w:sz w:val="24"/>
          <w:szCs w:val="24"/>
          <w:rtl/>
        </w:rPr>
        <w:t>ה</w:t>
      </w:r>
      <w:r w:rsidR="00484ABA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484ABA" w:rsidRPr="00031240">
        <w:rPr>
          <w:rFonts w:ascii="David" w:hAnsi="David" w:cs="David" w:hint="cs"/>
          <w:sz w:val="24"/>
          <w:szCs w:val="24"/>
          <w:rtl/>
        </w:rPr>
        <w:t xml:space="preserve">שנטלו </w:t>
      </w:r>
      <w:r w:rsidR="00484ABA"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במקביל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הלוואה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לדיור</w:t>
      </w:r>
      <w:r w:rsidR="00AC16D3" w:rsidRPr="00031240">
        <w:rPr>
          <w:rFonts w:ascii="David" w:hAnsi="David" w:cs="David" w:hint="cs"/>
          <w:sz w:val="24"/>
          <w:szCs w:val="24"/>
          <w:rtl/>
        </w:rPr>
        <w:t>;</w:t>
      </w:r>
      <w:r w:rsidR="00484ABA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להרחבה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="00484ABA" w:rsidRPr="00031240">
        <w:rPr>
          <w:rFonts w:ascii="David" w:hAnsi="David" w:cs="David" w:hint="cs"/>
          <w:sz w:val="24"/>
          <w:szCs w:val="24"/>
          <w:rtl/>
        </w:rPr>
        <w:t>על</w:t>
      </w:r>
      <w:r w:rsidR="00484ABA"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/>
          <w:sz w:val="24"/>
          <w:szCs w:val="24"/>
          <w:rtl/>
        </w:rPr>
        <w:t xml:space="preserve">השתתפות משקי הבית בשוק ההלוואות ופגיעותם הפיננסית </w:t>
      </w:r>
      <w:r w:rsidR="00484ABA" w:rsidRPr="00031240">
        <w:rPr>
          <w:rFonts w:ascii="David" w:hAnsi="David" w:cs="David"/>
          <w:sz w:val="24"/>
          <w:szCs w:val="24"/>
          <w:rtl/>
        </w:rPr>
        <w:t>רא</w:t>
      </w:r>
      <w:r w:rsidR="00484ABA" w:rsidRPr="00031240">
        <w:rPr>
          <w:rFonts w:ascii="David" w:hAnsi="David" w:cs="David" w:hint="cs"/>
          <w:sz w:val="24"/>
          <w:szCs w:val="24"/>
          <w:rtl/>
        </w:rPr>
        <w:t>ו</w:t>
      </w:r>
      <w:r w:rsidR="00484ABA"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/>
          <w:sz w:val="24"/>
          <w:szCs w:val="24"/>
          <w:rtl/>
        </w:rPr>
        <w:t>תיבה א'-2 בסקירה השנתית של הפיקוח על הבנקים לשנת 2016</w:t>
      </w:r>
      <w:r w:rsidR="007973C7" w:rsidRPr="00031240">
        <w:rPr>
          <w:rFonts w:ascii="David" w:hAnsi="David" w:cs="David" w:hint="cs"/>
          <w:sz w:val="24"/>
          <w:szCs w:val="24"/>
          <w:rtl/>
        </w:rPr>
        <w:t>.</w:t>
      </w:r>
      <w:r w:rsidR="004772BD" w:rsidRPr="00031240">
        <w:rPr>
          <w:rFonts w:ascii="David" w:hAnsi="David" w:cs="David" w:hint="cs"/>
          <w:sz w:val="24"/>
          <w:szCs w:val="24"/>
          <w:rtl/>
        </w:rPr>
        <w:t>)</w:t>
      </w:r>
      <w:r w:rsidR="00AC16D3" w:rsidRPr="00031240">
        <w:rPr>
          <w:rFonts w:ascii="David" w:hAnsi="David" w:cs="David" w:hint="cs"/>
          <w:sz w:val="24"/>
          <w:szCs w:val="24"/>
          <w:rtl/>
        </w:rPr>
        <w:t>.</w:t>
      </w:r>
      <w:r w:rsidR="004772BD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484ABA" w:rsidRPr="00031240">
        <w:rPr>
          <w:rFonts w:ascii="David" w:hAnsi="David" w:cs="David" w:hint="cs"/>
          <w:sz w:val="24"/>
          <w:szCs w:val="24"/>
          <w:rtl/>
        </w:rPr>
        <w:t>ל</w:t>
      </w:r>
      <w:r w:rsidRPr="00031240">
        <w:rPr>
          <w:rFonts w:ascii="David" w:hAnsi="David" w:cs="David" w:hint="cs"/>
          <w:sz w:val="24"/>
          <w:szCs w:val="24"/>
          <w:rtl/>
        </w:rPr>
        <w:t xml:space="preserve">נוכח </w:t>
      </w:r>
      <w:r w:rsidR="003A054D" w:rsidRPr="00031240">
        <w:rPr>
          <w:rFonts w:ascii="David" w:hAnsi="David" w:cs="David" w:hint="cs"/>
          <w:sz w:val="24"/>
          <w:szCs w:val="24"/>
          <w:rtl/>
        </w:rPr>
        <w:t>ה</w:t>
      </w:r>
      <w:r w:rsidRPr="00031240">
        <w:rPr>
          <w:rFonts w:ascii="David" w:hAnsi="David" w:cs="David" w:hint="cs"/>
          <w:sz w:val="24"/>
          <w:szCs w:val="24"/>
          <w:rtl/>
        </w:rPr>
        <w:t xml:space="preserve">סיכון </w:t>
      </w:r>
      <w:r w:rsidR="003A054D" w:rsidRPr="00031240">
        <w:rPr>
          <w:rFonts w:ascii="David" w:hAnsi="David" w:cs="David" w:hint="cs"/>
          <w:sz w:val="24"/>
          <w:szCs w:val="24"/>
          <w:rtl/>
        </w:rPr>
        <w:t>הגלום באשראי הצרכני</w:t>
      </w:r>
      <w:r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484ABA" w:rsidRPr="00031240">
        <w:rPr>
          <w:rFonts w:ascii="David" w:hAnsi="David" w:cs="David" w:hint="cs"/>
          <w:sz w:val="24"/>
          <w:szCs w:val="24"/>
          <w:rtl/>
        </w:rPr>
        <w:t xml:space="preserve">מיתנו רוב </w:t>
      </w:r>
      <w:r w:rsidRPr="00031240">
        <w:rPr>
          <w:rFonts w:ascii="David" w:hAnsi="David" w:cs="David" w:hint="cs"/>
          <w:sz w:val="24"/>
          <w:szCs w:val="24"/>
          <w:rtl/>
        </w:rPr>
        <w:t>הבנקים משמעותית את קצב צמיחתו.</w:t>
      </w:r>
      <w:r w:rsidR="00484ABA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Pr="00031240">
        <w:rPr>
          <w:rFonts w:ascii="David" w:hAnsi="David" w:cs="David" w:hint="cs"/>
          <w:sz w:val="24"/>
          <w:szCs w:val="24"/>
          <w:rtl/>
        </w:rPr>
        <w:t>(</w:t>
      </w:r>
      <w:r w:rsidR="00260329" w:rsidRPr="00031240">
        <w:rPr>
          <w:rFonts w:ascii="David" w:hAnsi="David" w:cs="David" w:hint="eastAsia"/>
          <w:sz w:val="24"/>
          <w:szCs w:val="24"/>
          <w:rtl/>
        </w:rPr>
        <w:t>הרחבה</w:t>
      </w:r>
      <w:r w:rsidR="00260329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260329" w:rsidRPr="00031240">
        <w:rPr>
          <w:rFonts w:ascii="David" w:hAnsi="David" w:cs="David" w:hint="eastAsia"/>
          <w:sz w:val="24"/>
          <w:szCs w:val="24"/>
          <w:rtl/>
        </w:rPr>
        <w:t>רא</w:t>
      </w:r>
      <w:r w:rsidR="00260329" w:rsidRPr="00031240">
        <w:rPr>
          <w:rFonts w:ascii="David" w:hAnsi="David" w:cs="David" w:hint="cs"/>
          <w:sz w:val="24"/>
          <w:szCs w:val="24"/>
          <w:rtl/>
        </w:rPr>
        <w:t>ו</w:t>
      </w:r>
      <w:r w:rsidR="00260329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260329" w:rsidRPr="00031240">
        <w:rPr>
          <w:rFonts w:ascii="David" w:hAnsi="David" w:cs="David" w:hint="eastAsia"/>
          <w:sz w:val="24"/>
          <w:szCs w:val="24"/>
          <w:rtl/>
        </w:rPr>
        <w:t>בפרק</w:t>
      </w:r>
      <w:r w:rsidR="00260329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260329" w:rsidRPr="00031240">
        <w:rPr>
          <w:rFonts w:ascii="David" w:hAnsi="David" w:cs="David" w:hint="cs"/>
          <w:sz w:val="24"/>
          <w:szCs w:val="24"/>
          <w:rtl/>
        </w:rPr>
        <w:t xml:space="preserve">על </w:t>
      </w:r>
      <w:r w:rsidR="00260329" w:rsidRPr="00031240">
        <w:rPr>
          <w:rFonts w:ascii="David" w:hAnsi="David" w:cs="David" w:hint="eastAsia"/>
          <w:sz w:val="24"/>
          <w:szCs w:val="24"/>
          <w:rtl/>
        </w:rPr>
        <w:t>סיכון</w:t>
      </w:r>
      <w:r w:rsidR="00260329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260329" w:rsidRPr="00031240">
        <w:rPr>
          <w:rFonts w:ascii="David" w:hAnsi="David" w:cs="David" w:hint="eastAsia"/>
          <w:sz w:val="24"/>
          <w:szCs w:val="24"/>
          <w:rtl/>
        </w:rPr>
        <w:t>האשראי</w:t>
      </w:r>
      <w:r w:rsidR="00260329" w:rsidRPr="00031240">
        <w:rPr>
          <w:rFonts w:ascii="David" w:hAnsi="David" w:cs="David" w:hint="cs"/>
          <w:sz w:val="24"/>
          <w:szCs w:val="24"/>
          <w:rtl/>
        </w:rPr>
        <w:t xml:space="preserve"> בסקירה השנתית של הפיקוח על הבנקים לשנת 2018 אשר תפורסם בימים הקרובים</w:t>
      </w:r>
      <w:r w:rsidR="00260329" w:rsidRPr="00031240">
        <w:rPr>
          <w:rFonts w:ascii="David" w:hAnsi="David" w:cs="David"/>
          <w:sz w:val="24"/>
          <w:szCs w:val="24"/>
          <w:rtl/>
        </w:rPr>
        <w:t>.</w:t>
      </w:r>
      <w:r w:rsidRPr="00031240">
        <w:rPr>
          <w:rFonts w:ascii="David" w:hAnsi="David" w:cs="David" w:hint="cs"/>
          <w:sz w:val="24"/>
          <w:szCs w:val="24"/>
          <w:rtl/>
        </w:rPr>
        <w:t xml:space="preserve">) </w:t>
      </w:r>
    </w:p>
    <w:p w:rsidR="00123C42" w:rsidRPr="00031240" w:rsidRDefault="00123C42" w:rsidP="005040B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31240">
        <w:rPr>
          <w:rFonts w:ascii="David" w:hAnsi="David" w:cs="David" w:hint="cs"/>
          <w:sz w:val="24"/>
          <w:szCs w:val="24"/>
          <w:rtl/>
        </w:rPr>
        <w:lastRenderedPageBreak/>
        <w:t xml:space="preserve">מקור נוסף להפסדים 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הצפויים </w:t>
      </w:r>
      <w:r w:rsidRPr="00031240">
        <w:rPr>
          <w:rFonts w:ascii="David" w:hAnsi="David" w:cs="David" w:hint="cs"/>
          <w:sz w:val="24"/>
          <w:szCs w:val="24"/>
          <w:rtl/>
        </w:rPr>
        <w:t xml:space="preserve">בתרחיש הקיצון השנה </w:t>
      </w:r>
      <w:r w:rsidR="00367453" w:rsidRPr="00031240">
        <w:rPr>
          <w:rFonts w:ascii="David" w:hAnsi="David" w:cs="David" w:hint="cs"/>
          <w:sz w:val="24"/>
          <w:szCs w:val="24"/>
          <w:rtl/>
        </w:rPr>
        <w:t xml:space="preserve">הוא </w:t>
      </w:r>
      <w:r w:rsidRPr="00031240">
        <w:rPr>
          <w:rFonts w:ascii="David" w:hAnsi="David" w:cs="David" w:hint="cs"/>
          <w:sz w:val="24"/>
          <w:szCs w:val="24"/>
          <w:rtl/>
        </w:rPr>
        <w:t xml:space="preserve">הפסדים בתיק ניירות הערך, </w:t>
      </w:r>
      <w:r w:rsidR="00367453" w:rsidRPr="00031240">
        <w:rPr>
          <w:rFonts w:ascii="David" w:hAnsi="David" w:cs="David" w:hint="cs"/>
          <w:sz w:val="24"/>
          <w:szCs w:val="24"/>
          <w:rtl/>
        </w:rPr>
        <w:t>על רקע</w:t>
      </w:r>
      <w:r w:rsidRPr="00031240">
        <w:rPr>
          <w:rFonts w:ascii="David" w:hAnsi="David" w:cs="David" w:hint="cs"/>
          <w:sz w:val="24"/>
          <w:szCs w:val="24"/>
          <w:rtl/>
        </w:rPr>
        <w:t xml:space="preserve"> העלייה החדה </w:t>
      </w:r>
      <w:r w:rsidR="00484ABA" w:rsidRPr="00031240">
        <w:rPr>
          <w:rFonts w:ascii="David" w:hAnsi="David" w:cs="David" w:hint="cs"/>
          <w:sz w:val="24"/>
          <w:szCs w:val="24"/>
          <w:rtl/>
        </w:rPr>
        <w:t>של הריביות</w:t>
      </w:r>
      <w:r w:rsidRPr="00031240">
        <w:rPr>
          <w:rFonts w:ascii="David" w:hAnsi="David" w:cs="David" w:hint="cs"/>
          <w:sz w:val="24"/>
          <w:szCs w:val="24"/>
          <w:rtl/>
        </w:rPr>
        <w:t xml:space="preserve">. כיום הבנקים מנהלים תיק ניירות ערך סולידי, המורכב </w:t>
      </w:r>
      <w:r w:rsidR="00484ABA" w:rsidRPr="00031240">
        <w:rPr>
          <w:rFonts w:ascii="David" w:hAnsi="David" w:cs="David" w:hint="cs"/>
          <w:sz w:val="24"/>
          <w:szCs w:val="24"/>
          <w:rtl/>
        </w:rPr>
        <w:t xml:space="preserve">בעיקר מניירות ערך </w:t>
      </w:r>
      <w:r w:rsidRPr="00031240">
        <w:rPr>
          <w:rFonts w:ascii="David" w:hAnsi="David" w:cs="David" w:hint="cs"/>
          <w:sz w:val="24"/>
          <w:szCs w:val="24"/>
          <w:rtl/>
        </w:rPr>
        <w:t>בסיכון נמוך</w:t>
      </w:r>
      <w:r w:rsidR="007A547A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484ABA" w:rsidRPr="00031240">
        <w:rPr>
          <w:rFonts w:ascii="David" w:hAnsi="David" w:cs="David" w:hint="eastAsia"/>
          <w:sz w:val="24"/>
          <w:szCs w:val="24"/>
          <w:rtl/>
        </w:rPr>
        <w:t>–</w:t>
      </w:r>
      <w:r w:rsidR="00484ABA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Pr="00031240">
        <w:rPr>
          <w:rFonts w:ascii="David" w:hAnsi="David" w:cs="David" w:hint="cs"/>
          <w:sz w:val="24"/>
          <w:szCs w:val="24"/>
          <w:rtl/>
        </w:rPr>
        <w:t>א</w:t>
      </w:r>
      <w:r w:rsidR="00484ABA" w:rsidRPr="00031240">
        <w:rPr>
          <w:rFonts w:ascii="David" w:hAnsi="David" w:cs="David" w:hint="cs"/>
          <w:sz w:val="24"/>
          <w:szCs w:val="24"/>
          <w:rtl/>
        </w:rPr>
        <w:t>י</w:t>
      </w:r>
      <w:r w:rsidRPr="00031240">
        <w:rPr>
          <w:rFonts w:ascii="David" w:hAnsi="David" w:cs="David" w:hint="cs"/>
          <w:sz w:val="24"/>
          <w:szCs w:val="24"/>
          <w:rtl/>
        </w:rPr>
        <w:t xml:space="preserve">גרות חוב ממשלתיות (כ-61%), </w:t>
      </w:r>
      <w:r w:rsidR="00484ABA" w:rsidRPr="00031240">
        <w:rPr>
          <w:rFonts w:ascii="David" w:hAnsi="David" w:cs="David" w:hint="cs"/>
          <w:sz w:val="24"/>
          <w:szCs w:val="24"/>
          <w:rtl/>
        </w:rPr>
        <w:t>ה</w:t>
      </w:r>
      <w:r w:rsidRPr="00031240">
        <w:rPr>
          <w:rFonts w:ascii="David" w:hAnsi="David" w:cs="David" w:hint="cs"/>
          <w:sz w:val="24"/>
          <w:szCs w:val="24"/>
          <w:rtl/>
        </w:rPr>
        <w:t xml:space="preserve">מאבדות מערכן </w:t>
      </w:r>
      <w:r w:rsidR="00484ABA" w:rsidRPr="00031240">
        <w:rPr>
          <w:rFonts w:ascii="David" w:hAnsi="David" w:cs="David" w:hint="cs"/>
          <w:sz w:val="24"/>
          <w:szCs w:val="24"/>
          <w:rtl/>
        </w:rPr>
        <w:t>כשהריבית עולה</w:t>
      </w:r>
      <w:r w:rsidRPr="00031240">
        <w:rPr>
          <w:rFonts w:ascii="David" w:hAnsi="David" w:cs="David" w:hint="cs"/>
          <w:sz w:val="24"/>
          <w:szCs w:val="24"/>
          <w:rtl/>
        </w:rPr>
        <w:t>. יתרת התיק רובה א</w:t>
      </w:r>
      <w:r w:rsidR="00484ABA" w:rsidRPr="00031240">
        <w:rPr>
          <w:rFonts w:ascii="David" w:hAnsi="David" w:cs="David" w:hint="cs"/>
          <w:sz w:val="24"/>
          <w:szCs w:val="24"/>
          <w:rtl/>
        </w:rPr>
        <w:t>י</w:t>
      </w:r>
      <w:r w:rsidRPr="00031240">
        <w:rPr>
          <w:rFonts w:ascii="David" w:hAnsi="David" w:cs="David" w:hint="cs"/>
          <w:sz w:val="24"/>
          <w:szCs w:val="24"/>
          <w:rtl/>
        </w:rPr>
        <w:t>גרות חוב בחו"ל בד</w:t>
      </w:r>
      <w:r w:rsidR="00484ABA" w:rsidRPr="00031240">
        <w:rPr>
          <w:rFonts w:ascii="David" w:hAnsi="David" w:cs="David" w:hint="cs"/>
          <w:sz w:val="24"/>
          <w:szCs w:val="24"/>
          <w:rtl/>
        </w:rPr>
        <w:t>י</w:t>
      </w:r>
      <w:r w:rsidRPr="00031240">
        <w:rPr>
          <w:rFonts w:ascii="David" w:hAnsi="David" w:cs="David" w:hint="cs"/>
          <w:sz w:val="24"/>
          <w:szCs w:val="24"/>
          <w:rtl/>
        </w:rPr>
        <w:t>רוג גבוה, שפגיעותן בתרחיש נמוכה</w:t>
      </w:r>
      <w:r w:rsidR="001A6DAD" w:rsidRPr="00031240">
        <w:rPr>
          <w:rFonts w:ascii="David" w:hAnsi="David" w:cs="David" w:hint="cs"/>
          <w:sz w:val="24"/>
          <w:szCs w:val="24"/>
          <w:rtl/>
        </w:rPr>
        <w:t xml:space="preserve">, בהיותו </w:t>
      </w:r>
      <w:r w:rsidRPr="00031240">
        <w:rPr>
          <w:rFonts w:ascii="David" w:hAnsi="David" w:cs="David" w:hint="cs"/>
          <w:sz w:val="24"/>
          <w:szCs w:val="24"/>
          <w:rtl/>
        </w:rPr>
        <w:t xml:space="preserve">תרחיש מקומי. </w:t>
      </w:r>
    </w:p>
    <w:p w:rsidR="00B871D5" w:rsidRPr="00527C1D" w:rsidRDefault="00B871D5" w:rsidP="00527C1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27C1D">
        <w:rPr>
          <w:rFonts w:ascii="David" w:hAnsi="David" w:cs="David" w:hint="cs"/>
          <w:b/>
          <w:bCs/>
          <w:sz w:val="24"/>
          <w:szCs w:val="24"/>
          <w:rtl/>
        </w:rPr>
        <w:t>התרחיש השנה לעומת תרחישי</w:t>
      </w:r>
      <w:r w:rsidR="00E65D3C" w:rsidRPr="00527C1D">
        <w:rPr>
          <w:rFonts w:ascii="David" w:hAnsi="David" w:cs="David" w:hint="cs"/>
          <w:b/>
          <w:bCs/>
          <w:sz w:val="24"/>
          <w:szCs w:val="24"/>
          <w:rtl/>
        </w:rPr>
        <w:t xml:space="preserve"> עבר</w:t>
      </w:r>
    </w:p>
    <w:p w:rsidR="0054665D" w:rsidRPr="00031240" w:rsidRDefault="00B10874" w:rsidP="00D7767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31240">
        <w:rPr>
          <w:rFonts w:ascii="David" w:hAnsi="David" w:cs="David" w:hint="cs"/>
          <w:sz w:val="24"/>
          <w:szCs w:val="24"/>
          <w:rtl/>
        </w:rPr>
        <w:t xml:space="preserve"> מבחני ה</w:t>
      </w:r>
      <w:r w:rsidR="001E724C" w:rsidRPr="00031240">
        <w:rPr>
          <w:rFonts w:ascii="David" w:hAnsi="David" w:cs="David" w:hint="cs"/>
          <w:sz w:val="24"/>
          <w:szCs w:val="24"/>
          <w:rtl/>
        </w:rPr>
        <w:t>קיצון</w:t>
      </w:r>
      <w:r w:rsidR="007973C7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Pr="00031240">
        <w:rPr>
          <w:rFonts w:ascii="David" w:hAnsi="David" w:cs="David" w:hint="cs"/>
          <w:sz w:val="24"/>
          <w:szCs w:val="24"/>
          <w:rtl/>
        </w:rPr>
        <w:t>בודקים את</w:t>
      </w:r>
      <w:r w:rsidR="001E724C" w:rsidRPr="00031240">
        <w:rPr>
          <w:rFonts w:ascii="David" w:hAnsi="David" w:cs="David" w:hint="cs"/>
          <w:sz w:val="24"/>
          <w:szCs w:val="24"/>
          <w:rtl/>
        </w:rPr>
        <w:t xml:space="preserve"> המערכת הבנקאית </w:t>
      </w:r>
      <w:r w:rsidRPr="00031240">
        <w:rPr>
          <w:rFonts w:ascii="David" w:hAnsi="David" w:cs="David" w:hint="cs"/>
          <w:sz w:val="24"/>
          <w:szCs w:val="24"/>
          <w:rtl/>
        </w:rPr>
        <w:t>ב</w:t>
      </w:r>
      <w:r w:rsidR="001E724C" w:rsidRPr="00031240">
        <w:rPr>
          <w:rFonts w:ascii="David" w:hAnsi="David" w:cs="David" w:hint="cs"/>
          <w:sz w:val="24"/>
          <w:szCs w:val="24"/>
          <w:rtl/>
        </w:rPr>
        <w:t>תרחיש</w:t>
      </w:r>
      <w:r w:rsidRPr="00031240">
        <w:rPr>
          <w:rFonts w:ascii="David" w:hAnsi="David" w:cs="David" w:hint="cs"/>
          <w:sz w:val="24"/>
          <w:szCs w:val="24"/>
          <w:rtl/>
        </w:rPr>
        <w:t>ים</w:t>
      </w:r>
      <w:r w:rsidR="001E724C" w:rsidRPr="00031240">
        <w:rPr>
          <w:rFonts w:ascii="David" w:hAnsi="David" w:cs="David" w:hint="cs"/>
          <w:sz w:val="24"/>
          <w:szCs w:val="24"/>
          <w:rtl/>
        </w:rPr>
        <w:t xml:space="preserve"> מקרו-כלכלי</w:t>
      </w:r>
      <w:r w:rsidRPr="00031240">
        <w:rPr>
          <w:rFonts w:ascii="David" w:hAnsi="David" w:cs="David" w:hint="cs"/>
          <w:sz w:val="24"/>
          <w:szCs w:val="24"/>
          <w:rtl/>
        </w:rPr>
        <w:t>ים</w:t>
      </w:r>
      <w:r w:rsidR="001E724C" w:rsidRPr="00031240">
        <w:rPr>
          <w:rFonts w:ascii="David" w:hAnsi="David" w:cs="David" w:hint="cs"/>
          <w:sz w:val="24"/>
          <w:szCs w:val="24"/>
          <w:rtl/>
        </w:rPr>
        <w:t xml:space="preserve"> חמור</w:t>
      </w:r>
      <w:r w:rsidRPr="00031240">
        <w:rPr>
          <w:rFonts w:ascii="David" w:hAnsi="David" w:cs="David" w:hint="cs"/>
          <w:sz w:val="24"/>
          <w:szCs w:val="24"/>
          <w:rtl/>
        </w:rPr>
        <w:t>ים</w:t>
      </w:r>
      <w:r w:rsidR="007973C7" w:rsidRPr="00031240">
        <w:rPr>
          <w:rFonts w:ascii="David" w:hAnsi="David" w:cs="David" w:hint="cs"/>
          <w:sz w:val="24"/>
          <w:szCs w:val="24"/>
          <w:rtl/>
        </w:rPr>
        <w:t>,</w:t>
      </w:r>
      <w:r w:rsidRPr="00031240">
        <w:rPr>
          <w:rFonts w:ascii="David" w:hAnsi="David" w:cs="David" w:hint="cs"/>
          <w:sz w:val="24"/>
          <w:szCs w:val="24"/>
          <w:rtl/>
        </w:rPr>
        <w:t xml:space="preserve"> ומקורו של המשבר שונה ממבחן למבחן</w:t>
      </w:r>
      <w:r w:rsidR="001E724C" w:rsidRPr="00031240">
        <w:rPr>
          <w:rFonts w:ascii="David" w:hAnsi="David" w:cs="David" w:hint="cs"/>
          <w:sz w:val="24"/>
          <w:szCs w:val="24"/>
          <w:rtl/>
        </w:rPr>
        <w:t xml:space="preserve">. ישנם מבחנים, כדוגמת המבחן הנוכחי, </w:t>
      </w:r>
      <w:r w:rsidRPr="00031240">
        <w:rPr>
          <w:rFonts w:ascii="David" w:hAnsi="David" w:cs="David" w:hint="cs"/>
          <w:sz w:val="24"/>
          <w:szCs w:val="24"/>
          <w:rtl/>
        </w:rPr>
        <w:t xml:space="preserve">שבהם </w:t>
      </w:r>
      <w:r w:rsidR="001E724C" w:rsidRPr="00031240">
        <w:rPr>
          <w:rFonts w:ascii="David" w:hAnsi="David" w:cs="David" w:hint="cs"/>
          <w:sz w:val="24"/>
          <w:szCs w:val="24"/>
          <w:rtl/>
        </w:rPr>
        <w:t xml:space="preserve">מקור התרחיש הוא במשבר מקומי, </w:t>
      </w:r>
      <w:r w:rsidRPr="00031240">
        <w:rPr>
          <w:rFonts w:ascii="David" w:hAnsi="David" w:cs="David" w:hint="cs"/>
          <w:sz w:val="24"/>
          <w:szCs w:val="24"/>
          <w:rtl/>
        </w:rPr>
        <w:t xml:space="preserve">ואילו בתרחישים </w:t>
      </w:r>
      <w:r w:rsidR="001E724C" w:rsidRPr="00031240">
        <w:rPr>
          <w:rFonts w:ascii="David" w:hAnsi="David" w:cs="David" w:hint="cs"/>
          <w:sz w:val="24"/>
          <w:szCs w:val="24"/>
          <w:rtl/>
        </w:rPr>
        <w:t>אחרים</w:t>
      </w:r>
      <w:r w:rsidRPr="00031240">
        <w:rPr>
          <w:rFonts w:ascii="David" w:hAnsi="David" w:cs="David" w:hint="cs"/>
          <w:sz w:val="24"/>
          <w:szCs w:val="24"/>
          <w:rtl/>
        </w:rPr>
        <w:t xml:space="preserve"> המקור הוא</w:t>
      </w:r>
      <w:r w:rsidR="001E724C" w:rsidRPr="00031240">
        <w:rPr>
          <w:rFonts w:ascii="David" w:hAnsi="David" w:cs="David" w:hint="cs"/>
          <w:sz w:val="24"/>
          <w:szCs w:val="24"/>
          <w:rtl/>
        </w:rPr>
        <w:t xml:space="preserve"> משבר גלובלי. עם זאת, כל התרחישים מגלמים פגיעה קשה בתוצר המקומי, עלייה חדה באבטלה, נפילות בשווקים הפיננסי</w:t>
      </w:r>
      <w:r w:rsidRPr="00031240">
        <w:rPr>
          <w:rFonts w:ascii="David" w:hAnsi="David" w:cs="David" w:hint="cs"/>
          <w:sz w:val="24"/>
          <w:szCs w:val="24"/>
          <w:rtl/>
        </w:rPr>
        <w:t>י</w:t>
      </w:r>
      <w:r w:rsidR="001E724C" w:rsidRPr="00031240">
        <w:rPr>
          <w:rFonts w:ascii="David" w:hAnsi="David" w:cs="David" w:hint="cs"/>
          <w:sz w:val="24"/>
          <w:szCs w:val="24"/>
          <w:rtl/>
        </w:rPr>
        <w:t>ם ו</w:t>
      </w:r>
      <w:r w:rsidR="0054665D" w:rsidRPr="00031240">
        <w:rPr>
          <w:rFonts w:ascii="David" w:hAnsi="David" w:cs="David" w:hint="cs"/>
          <w:sz w:val="24"/>
          <w:szCs w:val="24"/>
          <w:rtl/>
        </w:rPr>
        <w:t xml:space="preserve">ירידה </w:t>
      </w:r>
      <w:r w:rsidRPr="00031240">
        <w:rPr>
          <w:rFonts w:ascii="David" w:hAnsi="David" w:cs="David" w:hint="cs"/>
          <w:sz w:val="24"/>
          <w:szCs w:val="24"/>
          <w:rtl/>
        </w:rPr>
        <w:t xml:space="preserve">של מחירי </w:t>
      </w:r>
      <w:r w:rsidR="001E724C" w:rsidRPr="00031240">
        <w:rPr>
          <w:rFonts w:ascii="David" w:hAnsi="David" w:cs="David" w:hint="cs"/>
          <w:sz w:val="24"/>
          <w:szCs w:val="24"/>
          <w:rtl/>
        </w:rPr>
        <w:t xml:space="preserve">הדיור. לצד המשתנים הנפגעים </w:t>
      </w:r>
      <w:r w:rsidRPr="00031240">
        <w:rPr>
          <w:rFonts w:ascii="David" w:hAnsi="David" w:cs="David" w:hint="cs"/>
          <w:sz w:val="24"/>
          <w:szCs w:val="24"/>
          <w:rtl/>
        </w:rPr>
        <w:t xml:space="preserve">בכל </w:t>
      </w:r>
      <w:r w:rsidR="001E724C" w:rsidRPr="00031240">
        <w:rPr>
          <w:rFonts w:ascii="David" w:hAnsi="David" w:cs="David" w:hint="cs"/>
          <w:sz w:val="24"/>
          <w:szCs w:val="24"/>
          <w:rtl/>
        </w:rPr>
        <w:t xml:space="preserve">תרחיש ישנם משתנים </w:t>
      </w:r>
      <w:r w:rsidR="00D7767B" w:rsidRPr="00031240">
        <w:rPr>
          <w:rFonts w:ascii="David" w:hAnsi="David" w:cs="David" w:hint="cs"/>
          <w:sz w:val="24"/>
          <w:szCs w:val="24"/>
          <w:rtl/>
        </w:rPr>
        <w:t xml:space="preserve">המאפיינים את </w:t>
      </w:r>
      <w:r w:rsidR="0023090B" w:rsidRPr="00031240">
        <w:rPr>
          <w:rFonts w:ascii="David" w:hAnsi="David" w:cs="David" w:hint="cs"/>
          <w:sz w:val="24"/>
          <w:szCs w:val="24"/>
          <w:rtl/>
        </w:rPr>
        <w:t xml:space="preserve">התרחיש הספציפי הנבחן, כדוגמת רמת הריבית המקומית, תשואות </w:t>
      </w:r>
      <w:proofErr w:type="spellStart"/>
      <w:r w:rsidR="0023090B" w:rsidRPr="00031240">
        <w:rPr>
          <w:rFonts w:ascii="David" w:hAnsi="David" w:cs="David" w:hint="cs"/>
          <w:sz w:val="24"/>
          <w:szCs w:val="24"/>
          <w:rtl/>
        </w:rPr>
        <w:t>האג"ח</w:t>
      </w:r>
      <w:proofErr w:type="spellEnd"/>
      <w:r w:rsidR="0023090B" w:rsidRPr="00031240">
        <w:rPr>
          <w:rFonts w:ascii="David" w:hAnsi="David" w:cs="David" w:hint="cs"/>
          <w:sz w:val="24"/>
          <w:szCs w:val="24"/>
          <w:rtl/>
        </w:rPr>
        <w:t xml:space="preserve"> הממשלתי</w:t>
      </w:r>
      <w:r w:rsidRPr="00031240">
        <w:rPr>
          <w:rFonts w:ascii="David" w:hAnsi="David" w:cs="David" w:hint="cs"/>
          <w:sz w:val="24"/>
          <w:szCs w:val="24"/>
          <w:rtl/>
        </w:rPr>
        <w:t>ו</w:t>
      </w:r>
      <w:r w:rsidR="0023090B" w:rsidRPr="00031240">
        <w:rPr>
          <w:rFonts w:ascii="David" w:hAnsi="David" w:cs="David" w:hint="cs"/>
          <w:sz w:val="24"/>
          <w:szCs w:val="24"/>
          <w:rtl/>
        </w:rPr>
        <w:t>ת, שע</w:t>
      </w:r>
      <w:r w:rsidRPr="00031240">
        <w:rPr>
          <w:rFonts w:ascii="David" w:hAnsi="David" w:cs="David" w:hint="cs"/>
          <w:sz w:val="24"/>
          <w:szCs w:val="24"/>
          <w:rtl/>
        </w:rPr>
        <w:t>ר החליפין</w:t>
      </w:r>
      <w:r w:rsidR="0023090B" w:rsidRPr="00031240">
        <w:rPr>
          <w:rFonts w:ascii="David" w:hAnsi="David" w:cs="David" w:hint="cs"/>
          <w:sz w:val="24"/>
          <w:szCs w:val="24"/>
          <w:rtl/>
        </w:rPr>
        <w:t xml:space="preserve"> של השקל מול מטבעות שונים בעולם ומדדים המשקפים את הפעילות הכלכלית בחו"ל.</w:t>
      </w:r>
    </w:p>
    <w:p w:rsidR="00FB2127" w:rsidRPr="00031240" w:rsidRDefault="0054665D" w:rsidP="00FB212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31240">
        <w:rPr>
          <w:rFonts w:ascii="David" w:hAnsi="David" w:cs="David" w:hint="cs"/>
          <w:sz w:val="24"/>
          <w:szCs w:val="24"/>
          <w:rtl/>
        </w:rPr>
        <w:t xml:space="preserve">כאשר בוחנים את תוצאות מבחן הקיצון הנוכחי </w:t>
      </w:r>
      <w:r w:rsidR="00D710A1" w:rsidRPr="00031240">
        <w:rPr>
          <w:rFonts w:ascii="David" w:hAnsi="David" w:cs="David" w:hint="cs"/>
          <w:sz w:val="24"/>
          <w:szCs w:val="24"/>
          <w:rtl/>
        </w:rPr>
        <w:t>בהשוואה</w:t>
      </w:r>
      <w:r w:rsidRPr="00031240">
        <w:rPr>
          <w:rFonts w:ascii="David" w:hAnsi="David" w:cs="David" w:hint="cs"/>
          <w:sz w:val="24"/>
          <w:szCs w:val="24"/>
          <w:rtl/>
        </w:rPr>
        <w:t xml:space="preserve"> למבחני עבר יש </w:t>
      </w:r>
      <w:r w:rsidR="00B10874" w:rsidRPr="00031240">
        <w:rPr>
          <w:rFonts w:ascii="David" w:hAnsi="David" w:cs="David" w:hint="cs"/>
          <w:sz w:val="24"/>
          <w:szCs w:val="24"/>
          <w:rtl/>
        </w:rPr>
        <w:t xml:space="preserve">להבחין בין </w:t>
      </w:r>
      <w:r w:rsidRPr="00031240">
        <w:rPr>
          <w:rFonts w:ascii="David" w:hAnsi="David" w:cs="David" w:hint="cs"/>
          <w:sz w:val="24"/>
          <w:szCs w:val="24"/>
          <w:rtl/>
        </w:rPr>
        <w:t>הבדלים הנובעים מאופי התרחיש עצמו</w:t>
      </w:r>
      <w:r w:rsidR="00B10874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B10874" w:rsidRPr="00031240">
        <w:rPr>
          <w:rFonts w:ascii="David" w:hAnsi="David" w:cs="David" w:hint="cs"/>
          <w:sz w:val="24"/>
          <w:szCs w:val="24"/>
          <w:rtl/>
        </w:rPr>
        <w:t xml:space="preserve">להבדלים </w:t>
      </w:r>
      <w:r w:rsidRPr="00031240">
        <w:rPr>
          <w:rFonts w:ascii="David" w:hAnsi="David" w:cs="David" w:hint="cs"/>
          <w:sz w:val="24"/>
          <w:szCs w:val="24"/>
          <w:rtl/>
        </w:rPr>
        <w:t xml:space="preserve">הנובעים משינוי במאפייני הסיכון של הבנק. כך תרחיש הקיצון שנערך בשנת 2016 מקורו בזעזוע באירופה </w:t>
      </w:r>
      <w:r w:rsidR="00666791" w:rsidRPr="00031240">
        <w:rPr>
          <w:rFonts w:ascii="David" w:hAnsi="David" w:cs="David" w:hint="cs"/>
          <w:sz w:val="24"/>
          <w:szCs w:val="24"/>
          <w:rtl/>
        </w:rPr>
        <w:lastRenderedPageBreak/>
        <w:t xml:space="preserve">לצד זעזוע בשוק הדיור המקומי </w:t>
      </w:r>
      <w:r w:rsidR="00B10874" w:rsidRPr="00031240">
        <w:rPr>
          <w:rFonts w:ascii="David" w:hAnsi="David" w:cs="David" w:hint="cs"/>
          <w:sz w:val="24"/>
          <w:szCs w:val="24"/>
          <w:rtl/>
        </w:rPr>
        <w:t>ו</w:t>
      </w:r>
      <w:r w:rsidR="00666791" w:rsidRPr="00031240">
        <w:rPr>
          <w:rFonts w:ascii="David" w:hAnsi="David" w:cs="David" w:hint="cs"/>
          <w:sz w:val="24"/>
          <w:szCs w:val="24"/>
          <w:rtl/>
        </w:rPr>
        <w:t>בסביבת ריבית הנותרת נמוכה</w:t>
      </w:r>
      <w:r w:rsidR="00B10874" w:rsidRPr="00031240">
        <w:rPr>
          <w:rFonts w:ascii="David" w:hAnsi="David" w:cs="David" w:hint="cs"/>
          <w:sz w:val="24"/>
          <w:szCs w:val="24"/>
          <w:rtl/>
        </w:rPr>
        <w:t>.</w:t>
      </w:r>
      <w:r w:rsidR="00C578E7" w:rsidRPr="00031240">
        <w:rPr>
          <w:rFonts w:ascii="David" w:hAnsi="David" w:cs="David" w:hint="cs"/>
          <w:sz w:val="24"/>
          <w:szCs w:val="24"/>
          <w:rtl/>
        </w:rPr>
        <w:t xml:space="preserve"> (</w:t>
      </w:r>
      <w:r w:rsidR="00C578E7" w:rsidRPr="00031240">
        <w:rPr>
          <w:rFonts w:ascii="David" w:hAnsi="David" w:cs="David" w:hint="eastAsia"/>
          <w:sz w:val="24"/>
          <w:szCs w:val="24"/>
          <w:rtl/>
        </w:rPr>
        <w:t>להרחבה</w:t>
      </w:r>
      <w:r w:rsidR="00C578E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B10874" w:rsidRPr="00031240">
        <w:rPr>
          <w:rFonts w:ascii="David" w:hAnsi="David" w:cs="David" w:hint="cs"/>
          <w:sz w:val="24"/>
          <w:szCs w:val="24"/>
          <w:rtl/>
        </w:rPr>
        <w:t>על</w:t>
      </w:r>
      <w:r w:rsidR="00B10874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C578E7" w:rsidRPr="00031240">
        <w:rPr>
          <w:rFonts w:ascii="David" w:hAnsi="David" w:cs="David" w:hint="eastAsia"/>
          <w:sz w:val="24"/>
          <w:szCs w:val="24"/>
          <w:rtl/>
        </w:rPr>
        <w:t>מבחן</w:t>
      </w:r>
      <w:r w:rsidR="00C578E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C578E7" w:rsidRPr="00031240">
        <w:rPr>
          <w:rFonts w:ascii="David" w:hAnsi="David" w:cs="David" w:hint="eastAsia"/>
          <w:sz w:val="24"/>
          <w:szCs w:val="24"/>
          <w:rtl/>
        </w:rPr>
        <w:t>הקיצון</w:t>
      </w:r>
      <w:r w:rsidR="00C578E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C578E7" w:rsidRPr="00031240">
        <w:rPr>
          <w:rFonts w:ascii="David" w:hAnsi="David" w:cs="David" w:hint="eastAsia"/>
          <w:sz w:val="24"/>
          <w:szCs w:val="24"/>
          <w:rtl/>
        </w:rPr>
        <w:t>המקרו</w:t>
      </w:r>
      <w:r w:rsidR="00C578E7" w:rsidRPr="00031240">
        <w:rPr>
          <w:rFonts w:ascii="David" w:hAnsi="David" w:cs="David"/>
          <w:sz w:val="24"/>
          <w:szCs w:val="24"/>
          <w:rtl/>
        </w:rPr>
        <w:t xml:space="preserve">-כלכלי </w:t>
      </w:r>
      <w:r w:rsidR="00C578E7" w:rsidRPr="00031240">
        <w:rPr>
          <w:rFonts w:ascii="David" w:hAnsi="David" w:cs="David" w:hint="eastAsia"/>
          <w:sz w:val="24"/>
          <w:szCs w:val="24"/>
          <w:rtl/>
        </w:rPr>
        <w:t>שנערך</w:t>
      </w:r>
      <w:r w:rsidR="00C578E7" w:rsidRPr="00031240">
        <w:rPr>
          <w:rFonts w:ascii="David" w:hAnsi="David" w:cs="David"/>
          <w:sz w:val="24"/>
          <w:szCs w:val="24"/>
          <w:rtl/>
        </w:rPr>
        <w:t xml:space="preserve"> בשנת 2016 </w:t>
      </w:r>
      <w:r w:rsidR="00B10874" w:rsidRPr="00031240">
        <w:rPr>
          <w:rFonts w:ascii="David" w:hAnsi="David" w:cs="David" w:hint="eastAsia"/>
          <w:sz w:val="24"/>
          <w:szCs w:val="24"/>
          <w:rtl/>
        </w:rPr>
        <w:t>רא</w:t>
      </w:r>
      <w:r w:rsidR="00B10874" w:rsidRPr="00031240">
        <w:rPr>
          <w:rFonts w:ascii="David" w:hAnsi="David" w:cs="David" w:hint="cs"/>
          <w:sz w:val="24"/>
          <w:szCs w:val="24"/>
          <w:rtl/>
        </w:rPr>
        <w:t>ו</w:t>
      </w:r>
      <w:r w:rsidR="00B10874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C578E7" w:rsidRPr="00031240">
        <w:rPr>
          <w:rFonts w:ascii="David" w:hAnsi="David" w:cs="David"/>
          <w:sz w:val="24"/>
          <w:szCs w:val="24"/>
          <w:rtl/>
        </w:rPr>
        <w:t xml:space="preserve">תיבה א'-2 </w:t>
      </w:r>
      <w:r w:rsidR="00C578E7" w:rsidRPr="00031240">
        <w:rPr>
          <w:rFonts w:ascii="David" w:hAnsi="David" w:cs="David" w:hint="eastAsia"/>
          <w:sz w:val="24"/>
          <w:szCs w:val="24"/>
          <w:rtl/>
        </w:rPr>
        <w:t>בסקירה</w:t>
      </w:r>
      <w:r w:rsidR="00C578E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C578E7" w:rsidRPr="00031240">
        <w:rPr>
          <w:rFonts w:ascii="David" w:hAnsi="David" w:cs="David" w:hint="eastAsia"/>
          <w:sz w:val="24"/>
          <w:szCs w:val="24"/>
          <w:rtl/>
        </w:rPr>
        <w:t>השנתית</w:t>
      </w:r>
      <w:r w:rsidR="00C578E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C578E7" w:rsidRPr="00031240">
        <w:rPr>
          <w:rFonts w:ascii="David" w:hAnsi="David" w:cs="David" w:hint="eastAsia"/>
          <w:sz w:val="24"/>
          <w:szCs w:val="24"/>
          <w:rtl/>
        </w:rPr>
        <w:t>של</w:t>
      </w:r>
      <w:r w:rsidR="00C578E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C578E7" w:rsidRPr="00031240">
        <w:rPr>
          <w:rFonts w:ascii="David" w:hAnsi="David" w:cs="David" w:hint="eastAsia"/>
          <w:sz w:val="24"/>
          <w:szCs w:val="24"/>
          <w:rtl/>
        </w:rPr>
        <w:t>הפיקוח</w:t>
      </w:r>
      <w:r w:rsidR="00C578E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C578E7" w:rsidRPr="00031240">
        <w:rPr>
          <w:rFonts w:ascii="David" w:hAnsi="David" w:cs="David" w:hint="eastAsia"/>
          <w:sz w:val="24"/>
          <w:szCs w:val="24"/>
          <w:rtl/>
        </w:rPr>
        <w:t>על</w:t>
      </w:r>
      <w:r w:rsidR="00C578E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C578E7" w:rsidRPr="00031240">
        <w:rPr>
          <w:rFonts w:ascii="David" w:hAnsi="David" w:cs="David" w:hint="eastAsia"/>
          <w:sz w:val="24"/>
          <w:szCs w:val="24"/>
          <w:rtl/>
        </w:rPr>
        <w:t>הבנקים</w:t>
      </w:r>
      <w:r w:rsidR="00C578E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C578E7" w:rsidRPr="00031240">
        <w:rPr>
          <w:rFonts w:ascii="David" w:hAnsi="David" w:cs="David" w:hint="eastAsia"/>
          <w:sz w:val="24"/>
          <w:szCs w:val="24"/>
          <w:rtl/>
        </w:rPr>
        <w:t>לשנת</w:t>
      </w:r>
      <w:r w:rsidR="00C578E7" w:rsidRPr="00031240">
        <w:rPr>
          <w:rFonts w:ascii="David" w:hAnsi="David" w:cs="David"/>
          <w:sz w:val="24"/>
          <w:szCs w:val="24"/>
          <w:rtl/>
        </w:rPr>
        <w:t xml:space="preserve"> 2016</w:t>
      </w:r>
      <w:r w:rsidR="00666791" w:rsidRPr="00031240">
        <w:rPr>
          <w:rFonts w:ascii="David" w:hAnsi="David" w:cs="David" w:hint="cs"/>
          <w:sz w:val="24"/>
          <w:szCs w:val="24"/>
          <w:rtl/>
        </w:rPr>
        <w:t>.</w:t>
      </w:r>
      <w:r w:rsidR="00B10874" w:rsidRPr="00031240">
        <w:rPr>
          <w:rFonts w:ascii="David" w:hAnsi="David" w:cs="David" w:hint="cs"/>
          <w:sz w:val="24"/>
          <w:szCs w:val="24"/>
          <w:rtl/>
        </w:rPr>
        <w:t>)</w:t>
      </w:r>
      <w:r w:rsidR="00666791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B10874" w:rsidRPr="00031240">
        <w:rPr>
          <w:rFonts w:ascii="David" w:hAnsi="David" w:cs="David" w:hint="cs"/>
          <w:sz w:val="24"/>
          <w:szCs w:val="24"/>
          <w:rtl/>
        </w:rPr>
        <w:t>מכאן</w:t>
      </w:r>
      <w:r w:rsidR="00666791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B10874" w:rsidRPr="00031240">
        <w:rPr>
          <w:rFonts w:ascii="David" w:hAnsi="David" w:cs="David" w:hint="cs"/>
          <w:sz w:val="24"/>
          <w:szCs w:val="24"/>
          <w:rtl/>
        </w:rPr>
        <w:t>ש</w:t>
      </w:r>
      <w:r w:rsidR="00666791" w:rsidRPr="00031240">
        <w:rPr>
          <w:rFonts w:ascii="David" w:hAnsi="David" w:cs="David" w:hint="cs"/>
          <w:sz w:val="24"/>
          <w:szCs w:val="24"/>
          <w:rtl/>
        </w:rPr>
        <w:t xml:space="preserve">ההבדלים </w:t>
      </w:r>
      <w:r w:rsidR="00B10874" w:rsidRPr="00031240">
        <w:rPr>
          <w:rFonts w:ascii="David" w:hAnsi="David" w:cs="David" w:hint="eastAsia"/>
          <w:sz w:val="24"/>
          <w:szCs w:val="24"/>
          <w:rtl/>
        </w:rPr>
        <w:t>בין</w:t>
      </w:r>
      <w:r w:rsidR="00B10874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B10874" w:rsidRPr="00031240">
        <w:rPr>
          <w:rFonts w:ascii="David" w:hAnsi="David" w:cs="David" w:hint="cs"/>
          <w:sz w:val="24"/>
          <w:szCs w:val="24"/>
          <w:rtl/>
        </w:rPr>
        <w:t xml:space="preserve">תוצאות </w:t>
      </w:r>
      <w:r w:rsidR="00D7767B" w:rsidRPr="00031240">
        <w:rPr>
          <w:rFonts w:ascii="David" w:hAnsi="David" w:cs="David" w:hint="cs"/>
          <w:sz w:val="24"/>
          <w:szCs w:val="24"/>
          <w:rtl/>
        </w:rPr>
        <w:t>התרחיש הקודם</w:t>
      </w:r>
      <w:r w:rsidR="00B10874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D7767B" w:rsidRPr="00031240">
        <w:rPr>
          <w:rFonts w:ascii="David" w:hAnsi="David" w:cs="David" w:hint="cs"/>
          <w:sz w:val="24"/>
          <w:szCs w:val="24"/>
          <w:rtl/>
        </w:rPr>
        <w:t>ל</w:t>
      </w:r>
      <w:r w:rsidR="00B10874" w:rsidRPr="00031240">
        <w:rPr>
          <w:rFonts w:ascii="David" w:hAnsi="David" w:cs="David" w:hint="eastAsia"/>
          <w:sz w:val="24"/>
          <w:szCs w:val="24"/>
          <w:rtl/>
        </w:rPr>
        <w:t>תרחיש</w:t>
      </w:r>
      <w:r w:rsidR="00B10874" w:rsidRPr="00031240">
        <w:rPr>
          <w:rFonts w:ascii="David" w:hAnsi="David" w:cs="David"/>
          <w:sz w:val="24"/>
          <w:szCs w:val="24"/>
          <w:rtl/>
        </w:rPr>
        <w:t xml:space="preserve"> הנוכחי</w:t>
      </w:r>
      <w:r w:rsidR="00B10874" w:rsidRPr="00031240">
        <w:rPr>
          <w:rFonts w:ascii="David" w:hAnsi="David" w:cs="David" w:hint="cs"/>
          <w:sz w:val="24"/>
          <w:szCs w:val="24"/>
          <w:rtl/>
        </w:rPr>
        <w:t xml:space="preserve"> </w:t>
      </w:r>
      <w:r w:rsidR="00666791" w:rsidRPr="00031240">
        <w:rPr>
          <w:rFonts w:ascii="David" w:hAnsi="David" w:cs="David" w:hint="cs"/>
          <w:sz w:val="24"/>
          <w:szCs w:val="24"/>
          <w:rtl/>
        </w:rPr>
        <w:t xml:space="preserve">מקורם בעיקר ברמת הריבית הגבוהה </w:t>
      </w:r>
      <w:r w:rsidR="00C578E7" w:rsidRPr="00031240">
        <w:rPr>
          <w:rFonts w:ascii="David" w:hAnsi="David" w:cs="David"/>
          <w:sz w:val="24"/>
          <w:szCs w:val="24"/>
          <w:rtl/>
        </w:rPr>
        <w:t>ו</w:t>
      </w:r>
      <w:r w:rsidR="007973C7" w:rsidRPr="00031240">
        <w:rPr>
          <w:rFonts w:ascii="David" w:hAnsi="David" w:cs="David" w:hint="cs"/>
          <w:sz w:val="24"/>
          <w:szCs w:val="24"/>
          <w:rtl/>
        </w:rPr>
        <w:t>ב</w:t>
      </w:r>
      <w:r w:rsidR="00C578E7" w:rsidRPr="00031240">
        <w:rPr>
          <w:rFonts w:ascii="David" w:hAnsi="David" w:cs="David"/>
          <w:sz w:val="24"/>
          <w:szCs w:val="24"/>
          <w:rtl/>
        </w:rPr>
        <w:t>העדר פגיעה בשוקי העולם בתרחיש הנוכחי.</w:t>
      </w:r>
      <w:r w:rsidR="00FB2127" w:rsidRPr="00031240">
        <w:rPr>
          <w:rFonts w:ascii="David" w:hAnsi="David" w:cs="David" w:hint="cs"/>
          <w:sz w:val="24"/>
          <w:szCs w:val="24"/>
          <w:rtl/>
        </w:rPr>
        <w:t xml:space="preserve"> עם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FB2127" w:rsidRPr="00031240">
        <w:rPr>
          <w:rFonts w:ascii="David" w:hAnsi="David" w:cs="David" w:hint="eastAsia"/>
          <w:sz w:val="24"/>
          <w:szCs w:val="24"/>
          <w:rtl/>
        </w:rPr>
        <w:t>זאת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FB2127" w:rsidRPr="00031240">
        <w:rPr>
          <w:rFonts w:ascii="David" w:hAnsi="David" w:cs="David" w:hint="eastAsia"/>
          <w:sz w:val="24"/>
          <w:szCs w:val="24"/>
          <w:rtl/>
        </w:rPr>
        <w:t>אנו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FB2127" w:rsidRPr="00031240">
        <w:rPr>
          <w:rFonts w:ascii="David" w:hAnsi="David" w:cs="David" w:hint="eastAsia"/>
          <w:sz w:val="24"/>
          <w:szCs w:val="24"/>
          <w:rtl/>
        </w:rPr>
        <w:t>עדים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FB2127" w:rsidRPr="00031240">
        <w:rPr>
          <w:rFonts w:ascii="David" w:hAnsi="David" w:cs="David" w:hint="eastAsia"/>
          <w:sz w:val="24"/>
          <w:szCs w:val="24"/>
          <w:rtl/>
        </w:rPr>
        <w:t>גם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FB2127" w:rsidRPr="00031240">
        <w:rPr>
          <w:rFonts w:ascii="David" w:hAnsi="David" w:cs="David" w:hint="eastAsia"/>
          <w:sz w:val="24"/>
          <w:szCs w:val="24"/>
          <w:rtl/>
        </w:rPr>
        <w:t>להבדלים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FB2127" w:rsidRPr="00031240">
        <w:rPr>
          <w:rFonts w:ascii="David" w:hAnsi="David" w:cs="David" w:hint="cs"/>
          <w:sz w:val="24"/>
          <w:szCs w:val="24"/>
          <w:rtl/>
        </w:rPr>
        <w:t>הנובעים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FB2127" w:rsidRPr="00031240">
        <w:rPr>
          <w:rFonts w:ascii="David" w:hAnsi="David" w:cs="David" w:hint="cs"/>
          <w:sz w:val="24"/>
          <w:szCs w:val="24"/>
          <w:rtl/>
        </w:rPr>
        <w:t>משינויים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FB2127" w:rsidRPr="00031240">
        <w:rPr>
          <w:rFonts w:ascii="David" w:hAnsi="David" w:cs="David" w:hint="cs"/>
          <w:sz w:val="24"/>
          <w:szCs w:val="24"/>
          <w:rtl/>
        </w:rPr>
        <w:t>במערכת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FB2127" w:rsidRPr="00031240">
        <w:rPr>
          <w:rFonts w:ascii="David" w:hAnsi="David" w:cs="David" w:hint="cs"/>
          <w:sz w:val="24"/>
          <w:szCs w:val="24"/>
          <w:rtl/>
        </w:rPr>
        <w:t>הבנקאית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FB2127" w:rsidRPr="00031240">
        <w:rPr>
          <w:rFonts w:ascii="David" w:hAnsi="David" w:cs="David" w:hint="cs"/>
          <w:sz w:val="24"/>
          <w:szCs w:val="24"/>
          <w:rtl/>
        </w:rPr>
        <w:t>שחיזקו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FB2127" w:rsidRPr="00031240">
        <w:rPr>
          <w:rFonts w:ascii="David" w:hAnsi="David" w:cs="David" w:hint="cs"/>
          <w:sz w:val="24"/>
          <w:szCs w:val="24"/>
          <w:rtl/>
        </w:rPr>
        <w:t>את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FB2127" w:rsidRPr="00031240">
        <w:rPr>
          <w:rFonts w:ascii="David" w:hAnsi="David" w:cs="David" w:hint="cs"/>
          <w:sz w:val="24"/>
          <w:szCs w:val="24"/>
          <w:rtl/>
        </w:rPr>
        <w:t>יציבותה ורווחיותה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. </w:t>
      </w:r>
      <w:r w:rsidR="00FB2127" w:rsidRPr="00031240">
        <w:rPr>
          <w:rFonts w:ascii="David" w:hAnsi="David" w:cs="David" w:hint="cs"/>
          <w:sz w:val="24"/>
          <w:szCs w:val="24"/>
          <w:rtl/>
        </w:rPr>
        <w:t>לעליית הריבית השפעות מנוגדות על עוצמת הפגיעה במערכת הבנקאית. מחד גיסא היא מיתנה את השפעת התרחיש עקב עלייה של הכנסות הריבית נטו לצד ירידה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FB2127" w:rsidRPr="00031240">
        <w:rPr>
          <w:rFonts w:ascii="David" w:hAnsi="David" w:cs="David" w:hint="cs"/>
          <w:sz w:val="24"/>
          <w:szCs w:val="24"/>
          <w:rtl/>
        </w:rPr>
        <w:t>בהתחייבויות הפנסיוניות,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FB2127" w:rsidRPr="00031240">
        <w:rPr>
          <w:rFonts w:ascii="David" w:hAnsi="David" w:cs="David" w:hint="cs"/>
          <w:sz w:val="24"/>
          <w:szCs w:val="24"/>
          <w:rtl/>
        </w:rPr>
        <w:t xml:space="preserve">ומאידך העצימה את הפסדי האשראי בענפים המקומיים. לעומת זאת לא נרשמים בתרחיש השנה הפסדים באשראי לחו"ל. לפיכך בשורה התחתונה סך הפסדי </w:t>
      </w:r>
      <w:r w:rsidR="00FB2127" w:rsidRPr="00031240">
        <w:rPr>
          <w:rFonts w:ascii="David" w:hAnsi="David" w:cs="David" w:hint="eastAsia"/>
          <w:sz w:val="24"/>
          <w:szCs w:val="24"/>
          <w:rtl/>
        </w:rPr>
        <w:t>האשראי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 דומים. </w:t>
      </w:r>
      <w:r w:rsidR="00FB2127" w:rsidRPr="00031240">
        <w:rPr>
          <w:rFonts w:ascii="David" w:hAnsi="David" w:cs="David" w:hint="eastAsia"/>
          <w:sz w:val="24"/>
          <w:szCs w:val="24"/>
          <w:rtl/>
        </w:rPr>
        <w:t>מקור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 ההפסדים בתיק </w:t>
      </w:r>
      <w:r w:rsidR="00FB2127" w:rsidRPr="00031240">
        <w:rPr>
          <w:rFonts w:ascii="David" w:hAnsi="David" w:cs="David" w:hint="eastAsia"/>
          <w:sz w:val="24"/>
          <w:szCs w:val="24"/>
          <w:rtl/>
        </w:rPr>
        <w:t>ניירות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 הערך שונ</w:t>
      </w:r>
      <w:r w:rsidR="00FB2127" w:rsidRPr="00031240">
        <w:rPr>
          <w:rFonts w:ascii="David" w:hAnsi="David" w:cs="David" w:hint="eastAsia"/>
          <w:sz w:val="24"/>
          <w:szCs w:val="24"/>
          <w:rtl/>
        </w:rPr>
        <w:t>ה</w:t>
      </w:r>
      <w:r w:rsidR="00FB2127" w:rsidRPr="00031240">
        <w:rPr>
          <w:rFonts w:ascii="David" w:hAnsi="David" w:cs="David"/>
          <w:sz w:val="24"/>
          <w:szCs w:val="24"/>
          <w:rtl/>
        </w:rPr>
        <w:t xml:space="preserve"> בין התרחישים.</w:t>
      </w:r>
    </w:p>
    <w:p w:rsidR="004F01E2" w:rsidRPr="00031240" w:rsidRDefault="007338AE" w:rsidP="0083507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31240">
        <w:rPr>
          <w:rFonts w:ascii="David" w:hAnsi="David" w:cs="David" w:hint="eastAsia"/>
          <w:sz w:val="24"/>
          <w:szCs w:val="24"/>
          <w:rtl/>
        </w:rPr>
        <w:t>מבחן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זה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="001A2E70" w:rsidRPr="00031240">
        <w:rPr>
          <w:rFonts w:ascii="David" w:hAnsi="David" w:cs="David" w:hint="eastAsia"/>
          <w:sz w:val="24"/>
          <w:szCs w:val="24"/>
          <w:rtl/>
        </w:rPr>
        <w:t>מ</w:t>
      </w:r>
      <w:r w:rsidR="001A2E70" w:rsidRPr="00031240">
        <w:rPr>
          <w:rFonts w:ascii="David" w:hAnsi="David" w:cs="David" w:hint="cs"/>
          <w:sz w:val="24"/>
          <w:szCs w:val="24"/>
          <w:rtl/>
        </w:rPr>
        <w:t>ראה</w:t>
      </w:r>
      <w:r w:rsidR="001A2E70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D607F1" w:rsidRPr="00031240">
        <w:rPr>
          <w:rFonts w:ascii="David" w:hAnsi="David" w:cs="David" w:hint="cs"/>
          <w:sz w:val="24"/>
          <w:szCs w:val="24"/>
          <w:rtl/>
        </w:rPr>
        <w:t xml:space="preserve">אפוא </w:t>
      </w:r>
      <w:r w:rsidR="001A2E70" w:rsidRPr="00031240">
        <w:rPr>
          <w:rFonts w:ascii="David" w:hAnsi="David" w:cs="David" w:hint="cs"/>
          <w:sz w:val="24"/>
          <w:szCs w:val="24"/>
          <w:rtl/>
        </w:rPr>
        <w:t>ש</w:t>
      </w:r>
      <w:r w:rsidRPr="00031240">
        <w:rPr>
          <w:rFonts w:ascii="David" w:hAnsi="David" w:cs="David" w:hint="eastAsia"/>
          <w:sz w:val="24"/>
          <w:szCs w:val="24"/>
          <w:rtl/>
        </w:rPr>
        <w:t>המערכת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הבנקאית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="001A2E70" w:rsidRPr="00031240">
        <w:rPr>
          <w:rFonts w:ascii="David" w:hAnsi="David" w:cs="David" w:hint="cs"/>
          <w:sz w:val="24"/>
          <w:szCs w:val="24"/>
          <w:rtl/>
        </w:rPr>
        <w:t xml:space="preserve">עמידה </w:t>
      </w:r>
      <w:r w:rsidRPr="00031240">
        <w:rPr>
          <w:rFonts w:ascii="David" w:hAnsi="David" w:cs="David" w:hint="eastAsia"/>
          <w:sz w:val="24"/>
          <w:szCs w:val="24"/>
          <w:rtl/>
        </w:rPr>
        <w:t>לתרחיש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קיצון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מ</w:t>
      </w:r>
      <w:r w:rsidR="001A2E70" w:rsidRPr="00031240">
        <w:rPr>
          <w:rFonts w:ascii="David" w:hAnsi="David" w:cs="David" w:hint="cs"/>
          <w:sz w:val="24"/>
          <w:szCs w:val="24"/>
          <w:rtl/>
        </w:rPr>
        <w:t>ה</w:t>
      </w:r>
      <w:r w:rsidRPr="00031240">
        <w:rPr>
          <w:rFonts w:ascii="David" w:hAnsi="David" w:cs="David" w:hint="eastAsia"/>
          <w:sz w:val="24"/>
          <w:szCs w:val="24"/>
          <w:rtl/>
        </w:rPr>
        <w:t>סוג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="001A2E70" w:rsidRPr="00031240">
        <w:rPr>
          <w:rFonts w:ascii="David" w:hAnsi="David" w:cs="David" w:hint="cs"/>
          <w:sz w:val="24"/>
          <w:szCs w:val="24"/>
          <w:rtl/>
        </w:rPr>
        <w:t>שנבדק</w:t>
      </w:r>
      <w:r w:rsidRPr="00031240">
        <w:rPr>
          <w:rFonts w:ascii="David" w:hAnsi="David" w:cs="David"/>
          <w:sz w:val="24"/>
          <w:szCs w:val="24"/>
          <w:rtl/>
        </w:rPr>
        <w:t xml:space="preserve">. </w:t>
      </w:r>
      <w:r w:rsidRPr="00031240">
        <w:rPr>
          <w:rFonts w:ascii="David" w:hAnsi="David" w:cs="David" w:hint="eastAsia"/>
          <w:sz w:val="24"/>
          <w:szCs w:val="24"/>
          <w:rtl/>
        </w:rPr>
        <w:t>עמידות</w:t>
      </w:r>
      <w:r w:rsidR="001A2E70" w:rsidRPr="00031240">
        <w:rPr>
          <w:rFonts w:ascii="David" w:hAnsi="David" w:cs="David" w:hint="cs"/>
          <w:sz w:val="24"/>
          <w:szCs w:val="24"/>
          <w:rtl/>
        </w:rPr>
        <w:t>ה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היא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תוצר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של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מכלול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צעדים</w:t>
      </w:r>
      <w:r w:rsidR="0013507A" w:rsidRPr="00031240">
        <w:rPr>
          <w:rFonts w:ascii="David" w:hAnsi="David" w:cs="David" w:hint="cs"/>
          <w:sz w:val="24"/>
          <w:szCs w:val="24"/>
          <w:rtl/>
        </w:rPr>
        <w:t>,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="00557C5F" w:rsidRPr="00031240">
        <w:rPr>
          <w:rFonts w:ascii="David" w:hAnsi="David" w:cs="David" w:hint="cs"/>
          <w:sz w:val="24"/>
          <w:szCs w:val="24"/>
          <w:rtl/>
        </w:rPr>
        <w:t>שהוביל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הפיקוח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על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הבנקים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במטרה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לשמור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על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יציבות</w:t>
      </w:r>
      <w:r w:rsidR="001A2E70" w:rsidRPr="00031240">
        <w:rPr>
          <w:rFonts w:ascii="David" w:hAnsi="David" w:cs="David" w:hint="cs"/>
          <w:sz w:val="24"/>
          <w:szCs w:val="24"/>
          <w:rtl/>
        </w:rPr>
        <w:t>ה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גם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בעתות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משבר</w:t>
      </w:r>
      <w:r w:rsidRPr="00031240">
        <w:rPr>
          <w:rFonts w:ascii="David" w:hAnsi="David" w:cs="David"/>
          <w:sz w:val="24"/>
          <w:szCs w:val="24"/>
          <w:rtl/>
        </w:rPr>
        <w:t xml:space="preserve">. </w:t>
      </w:r>
      <w:r w:rsidRPr="00031240">
        <w:rPr>
          <w:rFonts w:ascii="David" w:hAnsi="David" w:cs="David" w:hint="eastAsia"/>
          <w:sz w:val="24"/>
          <w:szCs w:val="24"/>
          <w:rtl/>
        </w:rPr>
        <w:t>הניסיון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מל</w:t>
      </w:r>
      <w:r w:rsidR="00E65D3C" w:rsidRPr="00031240">
        <w:rPr>
          <w:rFonts w:ascii="David" w:hAnsi="David" w:cs="David" w:hint="cs"/>
          <w:sz w:val="24"/>
          <w:szCs w:val="24"/>
          <w:rtl/>
        </w:rPr>
        <w:t>מ</w:t>
      </w:r>
      <w:r w:rsidRPr="00031240">
        <w:rPr>
          <w:rFonts w:ascii="David" w:hAnsi="David" w:cs="David" w:hint="eastAsia"/>
          <w:sz w:val="24"/>
          <w:szCs w:val="24"/>
          <w:rtl/>
        </w:rPr>
        <w:t>ד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כי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משברים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כלכליים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הם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קשים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לחיזוי</w:t>
      </w:r>
      <w:r w:rsidRPr="00031240">
        <w:rPr>
          <w:rFonts w:ascii="David" w:hAnsi="David" w:cs="David"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sz w:val="24"/>
          <w:szCs w:val="24"/>
          <w:rtl/>
        </w:rPr>
        <w:t>מראש</w:t>
      </w:r>
      <w:r w:rsidR="00AA60E4" w:rsidRPr="00031240">
        <w:rPr>
          <w:rFonts w:ascii="David" w:hAnsi="David" w:cs="David"/>
          <w:sz w:val="24"/>
          <w:szCs w:val="24"/>
          <w:rtl/>
        </w:rPr>
        <w:t xml:space="preserve">, </w:t>
      </w:r>
      <w:r w:rsidR="00AA60E4" w:rsidRPr="00031240">
        <w:rPr>
          <w:rFonts w:ascii="David" w:hAnsi="David" w:cs="David" w:hint="eastAsia"/>
          <w:sz w:val="24"/>
          <w:szCs w:val="24"/>
          <w:rtl/>
        </w:rPr>
        <w:t>הן</w:t>
      </w:r>
      <w:r w:rsidR="00AA60E4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AA60E4" w:rsidRPr="00031240">
        <w:rPr>
          <w:rFonts w:ascii="David" w:hAnsi="David" w:cs="David" w:hint="eastAsia"/>
          <w:sz w:val="24"/>
          <w:szCs w:val="24"/>
          <w:rtl/>
        </w:rPr>
        <w:t>בתזמונם</w:t>
      </w:r>
      <w:r w:rsidR="00AA60E4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AA60E4" w:rsidRPr="00031240">
        <w:rPr>
          <w:rFonts w:ascii="David" w:hAnsi="David" w:cs="David" w:hint="eastAsia"/>
          <w:sz w:val="24"/>
          <w:szCs w:val="24"/>
          <w:rtl/>
        </w:rPr>
        <w:t>והן</w:t>
      </w:r>
      <w:r w:rsidR="00AA60E4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AA60E4" w:rsidRPr="00031240">
        <w:rPr>
          <w:rFonts w:ascii="David" w:hAnsi="David" w:cs="David" w:hint="eastAsia"/>
          <w:sz w:val="24"/>
          <w:szCs w:val="24"/>
          <w:rtl/>
        </w:rPr>
        <w:t>באופיים</w:t>
      </w:r>
      <w:r w:rsidR="007571D4" w:rsidRPr="00031240">
        <w:rPr>
          <w:rFonts w:ascii="David" w:hAnsi="David" w:cs="David" w:hint="cs"/>
          <w:sz w:val="24"/>
          <w:szCs w:val="24"/>
          <w:rtl/>
        </w:rPr>
        <w:t>, ו</w:t>
      </w:r>
      <w:r w:rsidR="007571D4" w:rsidRPr="00031240">
        <w:rPr>
          <w:rFonts w:ascii="David" w:hAnsi="David" w:cs="David" w:hint="eastAsia"/>
          <w:sz w:val="24"/>
          <w:szCs w:val="24"/>
          <w:rtl/>
        </w:rPr>
        <w:t>לכן</w:t>
      </w:r>
      <w:r w:rsidR="007571D4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7571D4" w:rsidRPr="00031240">
        <w:rPr>
          <w:rFonts w:ascii="David" w:hAnsi="David" w:cs="David" w:hint="eastAsia"/>
          <w:sz w:val="24"/>
          <w:szCs w:val="24"/>
          <w:rtl/>
        </w:rPr>
        <w:t>יש</w:t>
      </w:r>
      <w:r w:rsidR="007571D4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7571D4" w:rsidRPr="00031240">
        <w:rPr>
          <w:rFonts w:ascii="David" w:hAnsi="David" w:cs="David" w:hint="eastAsia"/>
          <w:sz w:val="24"/>
          <w:szCs w:val="24"/>
          <w:rtl/>
        </w:rPr>
        <w:t>להמשיך</w:t>
      </w:r>
      <w:r w:rsidR="007571D4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7571D4" w:rsidRPr="00031240">
        <w:rPr>
          <w:rFonts w:ascii="David" w:hAnsi="David" w:cs="David" w:hint="eastAsia"/>
          <w:sz w:val="24"/>
          <w:szCs w:val="24"/>
          <w:rtl/>
        </w:rPr>
        <w:t>ולפעול</w:t>
      </w:r>
      <w:r w:rsidR="007571D4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7571D4" w:rsidRPr="00031240">
        <w:rPr>
          <w:rFonts w:ascii="David" w:hAnsi="David" w:cs="David" w:hint="eastAsia"/>
          <w:sz w:val="24"/>
          <w:szCs w:val="24"/>
          <w:rtl/>
        </w:rPr>
        <w:t>לחיזוק</w:t>
      </w:r>
      <w:r w:rsidR="007571D4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7571D4" w:rsidRPr="00031240">
        <w:rPr>
          <w:rFonts w:ascii="David" w:hAnsi="David" w:cs="David" w:hint="eastAsia"/>
          <w:sz w:val="24"/>
          <w:szCs w:val="24"/>
          <w:rtl/>
        </w:rPr>
        <w:t>המערכת</w:t>
      </w:r>
      <w:r w:rsidR="007571D4" w:rsidRPr="00031240">
        <w:rPr>
          <w:rFonts w:ascii="David" w:hAnsi="David" w:cs="David" w:hint="cs"/>
          <w:sz w:val="24"/>
          <w:szCs w:val="24"/>
          <w:rtl/>
        </w:rPr>
        <w:t xml:space="preserve"> הבנקאית </w:t>
      </w:r>
      <w:r w:rsidR="007571D4" w:rsidRPr="00031240">
        <w:rPr>
          <w:rFonts w:ascii="David" w:hAnsi="David" w:cs="David" w:hint="eastAsia"/>
          <w:sz w:val="24"/>
          <w:szCs w:val="24"/>
          <w:rtl/>
        </w:rPr>
        <w:t>ולשמירה</w:t>
      </w:r>
      <w:r w:rsidR="007571D4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7571D4" w:rsidRPr="00031240">
        <w:rPr>
          <w:rFonts w:ascii="David" w:hAnsi="David" w:cs="David" w:hint="eastAsia"/>
          <w:sz w:val="24"/>
          <w:szCs w:val="24"/>
          <w:rtl/>
        </w:rPr>
        <w:t>על</w:t>
      </w:r>
      <w:r w:rsidR="007571D4" w:rsidRPr="00031240">
        <w:rPr>
          <w:rFonts w:ascii="David" w:hAnsi="David" w:cs="David"/>
          <w:sz w:val="24"/>
          <w:szCs w:val="24"/>
          <w:rtl/>
        </w:rPr>
        <w:t xml:space="preserve"> </w:t>
      </w:r>
      <w:r w:rsidR="007571D4" w:rsidRPr="00031240">
        <w:rPr>
          <w:rFonts w:ascii="David" w:hAnsi="David" w:cs="David" w:hint="eastAsia"/>
          <w:sz w:val="24"/>
          <w:szCs w:val="24"/>
          <w:rtl/>
        </w:rPr>
        <w:t>יציבותה</w:t>
      </w:r>
      <w:r w:rsidR="007571D4" w:rsidRPr="00031240">
        <w:rPr>
          <w:rFonts w:ascii="David" w:hAnsi="David" w:cs="David"/>
          <w:sz w:val="24"/>
          <w:szCs w:val="24"/>
          <w:rtl/>
        </w:rPr>
        <w:t xml:space="preserve">. </w:t>
      </w:r>
      <w:r w:rsidR="007571D4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המערכת חשופה </w:t>
      </w:r>
      <w:r w:rsidR="007E3EE5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גם </w:t>
      </w:r>
      <w:r w:rsidR="00B63128" w:rsidRPr="00031240">
        <w:rPr>
          <w:rFonts w:ascii="Times New Roman" w:eastAsia="Calibri" w:hAnsi="Times New Roman" w:cs="David" w:hint="cs"/>
          <w:sz w:val="24"/>
          <w:szCs w:val="24"/>
          <w:rtl/>
        </w:rPr>
        <w:t>ל</w:t>
      </w:r>
      <w:r w:rsidR="007571D4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סיכונים שונים </w:t>
      </w:r>
      <w:r w:rsidR="00B63128" w:rsidRPr="00031240">
        <w:rPr>
          <w:rFonts w:ascii="Times New Roman" w:eastAsia="Calibri" w:hAnsi="Times New Roman" w:cs="David" w:hint="cs"/>
          <w:sz w:val="24"/>
          <w:szCs w:val="24"/>
          <w:rtl/>
        </w:rPr>
        <w:t>ה</w:t>
      </w:r>
      <w:r w:rsidR="007571D4" w:rsidRPr="00031240">
        <w:rPr>
          <w:rFonts w:ascii="Times New Roman" w:eastAsia="Calibri" w:hAnsi="Times New Roman" w:cs="David" w:hint="cs"/>
          <w:sz w:val="24"/>
          <w:szCs w:val="24"/>
          <w:rtl/>
        </w:rPr>
        <w:t>מתעצמים בשנים האחרונות, ובהם הסיכונים התפעוליים ובראשם סיכוני סייבר וטכנולוגיה</w:t>
      </w:r>
      <w:r w:rsidR="00B63128" w:rsidRPr="00031240">
        <w:rPr>
          <w:rFonts w:ascii="Times New Roman" w:eastAsia="Calibri" w:hAnsi="Times New Roman" w:cs="David" w:hint="cs"/>
          <w:sz w:val="24"/>
          <w:szCs w:val="24"/>
          <w:rtl/>
        </w:rPr>
        <w:t>.</w:t>
      </w:r>
      <w:r w:rsidR="007571D4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</w:t>
      </w:r>
      <w:r w:rsidR="00B63128" w:rsidRPr="00031240">
        <w:rPr>
          <w:rFonts w:ascii="Times New Roman" w:eastAsia="Calibri" w:hAnsi="Times New Roman" w:cs="David" w:hint="cs"/>
          <w:sz w:val="24"/>
          <w:szCs w:val="24"/>
          <w:rtl/>
        </w:rPr>
        <w:t>נדרשת</w:t>
      </w:r>
      <w:r w:rsidR="007571D4" w:rsidRPr="00031240">
        <w:rPr>
          <w:rFonts w:ascii="Times New Roman" w:eastAsia="Calibri" w:hAnsi="Times New Roman" w:cs="David" w:hint="cs"/>
          <w:sz w:val="24"/>
          <w:szCs w:val="24"/>
          <w:rtl/>
        </w:rPr>
        <w:t xml:space="preserve"> בחינה של יציבות המערכת גם מול סיכונים מסוג זה.</w:t>
      </w:r>
      <w:r w:rsidR="007571D4" w:rsidRPr="00031240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F01E2" w:rsidRPr="00031240" w:rsidRDefault="004F01E2">
      <w:pPr>
        <w:bidi w:val="0"/>
        <w:rPr>
          <w:rFonts w:cs="David"/>
          <w:sz w:val="24"/>
          <w:szCs w:val="24"/>
          <w:rtl/>
        </w:rPr>
      </w:pPr>
      <w:r w:rsidRPr="00031240">
        <w:rPr>
          <w:rFonts w:ascii="David" w:hAnsi="David" w:cs="David"/>
          <w:sz w:val="24"/>
          <w:szCs w:val="24"/>
          <w:rtl/>
        </w:rPr>
        <w:lastRenderedPageBreak/>
        <w:br w:type="page"/>
      </w:r>
    </w:p>
    <w:p w:rsidR="002545BD" w:rsidRDefault="003E0C7C" w:rsidP="002545BD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lastRenderedPageBreak/>
        <w:t>איור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1</w:t>
      </w:r>
    </w:p>
    <w:p w:rsidR="00367453" w:rsidRPr="00031240" w:rsidRDefault="003E0C7C" w:rsidP="002545BD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תרחיש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קיצון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מקרו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כלכלי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חמור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הכולל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אבטלה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גואה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עליה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בריבית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בנק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ישראל</w:t>
      </w:r>
      <w:r w:rsidRPr="0003124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31240">
        <w:rPr>
          <w:rFonts w:ascii="David" w:hAnsi="David" w:cs="David" w:hint="eastAsia"/>
          <w:b/>
          <w:bCs/>
          <w:sz w:val="24"/>
          <w:szCs w:val="24"/>
          <w:rtl/>
        </w:rPr>
        <w:t>ונפילה</w:t>
      </w:r>
      <w:r w:rsidRPr="00031240">
        <w:rPr>
          <w:rFonts w:ascii="David" w:hAnsi="David" w:cs="David" w:hint="cs"/>
          <w:b/>
          <w:bCs/>
          <w:sz w:val="24"/>
          <w:szCs w:val="24"/>
          <w:rtl/>
        </w:rPr>
        <w:t xml:space="preserve"> של מחירי הדיור</w:t>
      </w:r>
    </w:p>
    <w:p w:rsidR="00123C42" w:rsidRPr="00031240" w:rsidRDefault="00DB5BF2" w:rsidP="00123C4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B5BF2">
        <w:rPr>
          <w:noProof/>
          <w:rtl/>
        </w:rPr>
        <w:lastRenderedPageBreak/>
        <w:drawing>
          <wp:inline distT="0" distB="0" distL="0" distR="0">
            <wp:extent cx="5449086" cy="7286920"/>
            <wp:effectExtent l="0" t="0" r="0" b="952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845" cy="729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C42" w:rsidRPr="00031240" w:rsidRDefault="00123C42" w:rsidP="00123C4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487785" w:rsidRDefault="00487785" w:rsidP="002545BD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545BD" w:rsidRDefault="00123C42" w:rsidP="002545BD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545BD">
        <w:rPr>
          <w:rFonts w:ascii="David" w:hAnsi="David" w:cs="David" w:hint="cs"/>
          <w:b/>
          <w:bCs/>
          <w:sz w:val="24"/>
          <w:szCs w:val="24"/>
          <w:rtl/>
        </w:rPr>
        <w:t>איור 2</w:t>
      </w:r>
    </w:p>
    <w:p w:rsidR="00123C42" w:rsidRPr="002545BD" w:rsidRDefault="00123C42" w:rsidP="002545BD">
      <w:pPr>
        <w:spacing w:line="360" w:lineRule="auto"/>
        <w:jc w:val="center"/>
        <w:rPr>
          <w:b/>
          <w:bCs/>
          <w:noProof/>
          <w:rtl/>
        </w:rPr>
      </w:pPr>
      <w:r w:rsidRPr="002545BD">
        <w:rPr>
          <w:rFonts w:ascii="David" w:hAnsi="David" w:cs="David" w:hint="cs"/>
          <w:b/>
          <w:bCs/>
          <w:sz w:val="24"/>
          <w:szCs w:val="24"/>
          <w:rtl/>
        </w:rPr>
        <w:t>כלל המערכת הבנקאית שמרה על יחסי ההון המינימאליים הנדרשים לאורך תרחיש</w:t>
      </w:r>
      <w:r w:rsidRPr="002545BD">
        <w:rPr>
          <w:rFonts w:ascii="David" w:hAnsi="David" w:cs="David"/>
          <w:b/>
          <w:bCs/>
          <w:sz w:val="24"/>
          <w:szCs w:val="24"/>
        </w:rPr>
        <w:t xml:space="preserve"> </w:t>
      </w:r>
      <w:r w:rsidRPr="002545BD">
        <w:rPr>
          <w:rFonts w:ascii="David" w:hAnsi="David" w:cs="David" w:hint="cs"/>
          <w:b/>
          <w:bCs/>
          <w:sz w:val="24"/>
          <w:szCs w:val="24"/>
          <w:rtl/>
        </w:rPr>
        <w:t xml:space="preserve"> הקיצון</w:t>
      </w:r>
    </w:p>
    <w:p w:rsidR="00123C42" w:rsidRPr="00031240" w:rsidRDefault="00123C42" w:rsidP="00123C42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31240">
        <w:rPr>
          <w:noProof/>
        </w:rPr>
        <w:lastRenderedPageBreak/>
        <w:drawing>
          <wp:inline distT="0" distB="0" distL="0" distR="0" wp14:anchorId="0B045752" wp14:editId="4096A334">
            <wp:extent cx="4714875" cy="3171825"/>
            <wp:effectExtent l="0" t="0" r="9525" b="9525"/>
            <wp:docPr id="5" name="תרשים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23C42" w:rsidRPr="00031240" w:rsidRDefault="00123C42" w:rsidP="00123C42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2545BD" w:rsidRDefault="00123C42" w:rsidP="002545BD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545BD">
        <w:rPr>
          <w:rFonts w:ascii="David" w:hAnsi="David" w:cs="David" w:hint="cs"/>
          <w:b/>
          <w:bCs/>
          <w:sz w:val="24"/>
          <w:szCs w:val="24"/>
          <w:rtl/>
        </w:rPr>
        <w:t xml:space="preserve">איור </w:t>
      </w:r>
      <w:r w:rsidR="002545BD">
        <w:rPr>
          <w:rFonts w:ascii="David" w:hAnsi="David" w:cs="David" w:hint="cs"/>
          <w:b/>
          <w:bCs/>
          <w:sz w:val="24"/>
          <w:szCs w:val="24"/>
          <w:rtl/>
        </w:rPr>
        <w:t>3</w:t>
      </w:r>
    </w:p>
    <w:p w:rsidR="00123C42" w:rsidRPr="002545BD" w:rsidRDefault="00123C42" w:rsidP="002545BD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545BD">
        <w:rPr>
          <w:rFonts w:ascii="David" w:hAnsi="David" w:cs="David" w:hint="cs"/>
          <w:b/>
          <w:bCs/>
          <w:sz w:val="24"/>
          <w:szCs w:val="24"/>
          <w:rtl/>
        </w:rPr>
        <w:t xml:space="preserve"> פגיעה משמעותית בתשואה להון במהלך תרחיש הקיצון</w:t>
      </w:r>
    </w:p>
    <w:p w:rsidR="00123C42" w:rsidRPr="00031240" w:rsidRDefault="00D27F0E" w:rsidP="00123C42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31240">
        <w:rPr>
          <w:noProof/>
        </w:rPr>
        <w:lastRenderedPageBreak/>
        <w:drawing>
          <wp:inline distT="0" distB="0" distL="0" distR="0" wp14:anchorId="023DDC9F" wp14:editId="2AC1F75F">
            <wp:extent cx="5274310" cy="3205480"/>
            <wp:effectExtent l="0" t="0" r="2540" b="13970"/>
            <wp:docPr id="10" name="תרשים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23C42" w:rsidRPr="00031240" w:rsidRDefault="00123C42" w:rsidP="00123C42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487785" w:rsidRDefault="00487785" w:rsidP="002545BD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545BD" w:rsidRPr="002545BD" w:rsidRDefault="00123C42" w:rsidP="002545BD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545BD">
        <w:rPr>
          <w:rFonts w:ascii="David" w:hAnsi="David" w:cs="David" w:hint="cs"/>
          <w:b/>
          <w:bCs/>
          <w:sz w:val="24"/>
          <w:szCs w:val="24"/>
          <w:rtl/>
        </w:rPr>
        <w:t>איור 4</w:t>
      </w:r>
    </w:p>
    <w:p w:rsidR="00367453" w:rsidRPr="002545BD" w:rsidRDefault="00367453" w:rsidP="002545BD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545BD">
        <w:rPr>
          <w:rFonts w:ascii="David" w:hAnsi="David" w:cs="David" w:hint="cs"/>
          <w:b/>
          <w:bCs/>
          <w:sz w:val="24"/>
          <w:szCs w:val="24"/>
          <w:rtl/>
        </w:rPr>
        <w:t xml:space="preserve">במהלך השנים </w:t>
      </w:r>
      <w:r w:rsidR="00123C42" w:rsidRPr="002545BD">
        <w:rPr>
          <w:rFonts w:ascii="David" w:hAnsi="David" w:cs="David" w:hint="cs"/>
          <w:b/>
          <w:bCs/>
          <w:sz w:val="24"/>
          <w:szCs w:val="24"/>
          <w:rtl/>
        </w:rPr>
        <w:t>המערכת</w:t>
      </w:r>
      <w:r w:rsidR="00123C42" w:rsidRPr="002545BD">
        <w:rPr>
          <w:rFonts w:ascii="David" w:hAnsi="David" w:cs="David"/>
          <w:b/>
          <w:bCs/>
          <w:sz w:val="24"/>
          <w:szCs w:val="24"/>
        </w:rPr>
        <w:t xml:space="preserve"> </w:t>
      </w:r>
      <w:r w:rsidR="00123C42" w:rsidRPr="002545BD">
        <w:rPr>
          <w:rFonts w:ascii="David" w:hAnsi="David" w:cs="David" w:hint="cs"/>
          <w:b/>
          <w:bCs/>
          <w:sz w:val="24"/>
          <w:szCs w:val="24"/>
          <w:rtl/>
        </w:rPr>
        <w:t xml:space="preserve"> הבנקאית צמצמה באופן משמעותי את החשיפה לקבוצות לווים גדולות</w:t>
      </w:r>
    </w:p>
    <w:p w:rsidR="00123C42" w:rsidRPr="00031240" w:rsidRDefault="00123C42" w:rsidP="00123C42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31240">
        <w:rPr>
          <w:noProof/>
        </w:rPr>
        <w:lastRenderedPageBreak/>
        <w:drawing>
          <wp:inline distT="0" distB="0" distL="0" distR="0" wp14:anchorId="51A5129B" wp14:editId="44C7ADF5">
            <wp:extent cx="4438650" cy="3009900"/>
            <wp:effectExtent l="0" t="0" r="0" b="0"/>
            <wp:docPr id="3" name="תרשים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7453" w:rsidRPr="00031240" w:rsidRDefault="00367453" w:rsidP="00123C42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2545BD" w:rsidRPr="002545BD" w:rsidRDefault="004F01E2" w:rsidP="002545BD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545BD">
        <w:rPr>
          <w:rFonts w:ascii="David" w:hAnsi="David" w:cs="David" w:hint="cs"/>
          <w:b/>
          <w:bCs/>
          <w:sz w:val="24"/>
          <w:szCs w:val="24"/>
          <w:rtl/>
        </w:rPr>
        <w:lastRenderedPageBreak/>
        <w:t>איור 5</w:t>
      </w:r>
    </w:p>
    <w:p w:rsidR="00123C42" w:rsidRPr="002545BD" w:rsidRDefault="00123C42" w:rsidP="002545BD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545BD">
        <w:rPr>
          <w:rFonts w:ascii="David" w:hAnsi="David" w:cs="David" w:hint="cs"/>
          <w:b/>
          <w:bCs/>
          <w:sz w:val="24"/>
          <w:szCs w:val="24"/>
          <w:rtl/>
        </w:rPr>
        <w:t>עיקר שיעורי הפסד</w:t>
      </w:r>
      <w:r w:rsidR="003E0C7C" w:rsidRPr="002545BD">
        <w:rPr>
          <w:rFonts w:ascii="David" w:hAnsi="David" w:cs="David" w:hint="cs"/>
          <w:b/>
          <w:bCs/>
          <w:sz w:val="24"/>
          <w:szCs w:val="24"/>
          <w:rtl/>
        </w:rPr>
        <w:t>י האשראי</w:t>
      </w:r>
      <w:r w:rsidRPr="002545BD">
        <w:rPr>
          <w:rFonts w:ascii="David" w:hAnsi="David" w:cs="David" w:hint="cs"/>
          <w:b/>
          <w:bCs/>
          <w:sz w:val="24"/>
          <w:szCs w:val="24"/>
          <w:rtl/>
        </w:rPr>
        <w:t xml:space="preserve"> ביחס להון נרשמו בתיק האשראי העסקי</w:t>
      </w:r>
    </w:p>
    <w:p w:rsidR="001B0DEF" w:rsidRPr="00031240" w:rsidRDefault="004A6746" w:rsidP="00B15C88">
      <w:pPr>
        <w:spacing w:line="360" w:lineRule="auto"/>
        <w:jc w:val="both"/>
        <w:rPr>
          <w:rFonts w:ascii="Times New Roman" w:eastAsia="Calibri" w:hAnsi="Times New Roman" w:cs="David"/>
          <w:sz w:val="24"/>
          <w:szCs w:val="24"/>
          <w:rtl/>
        </w:rPr>
      </w:pPr>
      <w:r w:rsidRPr="00031240">
        <w:rPr>
          <w:noProof/>
        </w:rPr>
        <w:lastRenderedPageBreak/>
        <w:drawing>
          <wp:inline distT="0" distB="0" distL="0" distR="0" wp14:anchorId="7AD91D1F" wp14:editId="763F3894">
            <wp:extent cx="5467350" cy="3314065"/>
            <wp:effectExtent l="0" t="0" r="0" b="635"/>
            <wp:docPr id="7" name="תרשים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C2EDF" w:rsidRPr="00031240" w:rsidRDefault="006C2EDF" w:rsidP="006C2EDF">
      <w:pPr>
        <w:spacing w:line="360" w:lineRule="auto"/>
        <w:jc w:val="both"/>
        <w:rPr>
          <w:rFonts w:ascii="Times New Roman" w:eastAsia="Calibri" w:hAnsi="Times New Roman" w:cs="David"/>
          <w:sz w:val="24"/>
          <w:szCs w:val="24"/>
        </w:rPr>
      </w:pPr>
    </w:p>
    <w:sectPr w:rsidR="006C2EDF" w:rsidRPr="00031240" w:rsidSect="00CC7E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67" w:rsidRDefault="00773867" w:rsidP="00123C42">
      <w:pPr>
        <w:spacing w:after="0" w:line="240" w:lineRule="auto"/>
      </w:pPr>
      <w:r>
        <w:separator/>
      </w:r>
    </w:p>
  </w:endnote>
  <w:endnote w:type="continuationSeparator" w:id="0">
    <w:p w:rsidR="00773867" w:rsidRDefault="00773867" w:rsidP="0012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67" w:rsidRDefault="00773867" w:rsidP="00123C42">
      <w:pPr>
        <w:spacing w:after="0" w:line="240" w:lineRule="auto"/>
      </w:pPr>
      <w:r>
        <w:separator/>
      </w:r>
    </w:p>
  </w:footnote>
  <w:footnote w:type="continuationSeparator" w:id="0">
    <w:p w:rsidR="00773867" w:rsidRDefault="00773867" w:rsidP="00123C42">
      <w:pPr>
        <w:spacing w:after="0" w:line="240" w:lineRule="auto"/>
      </w:pPr>
      <w:r>
        <w:continuationSeparator/>
      </w:r>
    </w:p>
  </w:footnote>
  <w:footnote w:id="1">
    <w:p w:rsidR="00484ABA" w:rsidRPr="00D4534A" w:rsidRDefault="00484ABA" w:rsidP="004D0637">
      <w:pPr>
        <w:pStyle w:val="a7"/>
        <w:jc w:val="both"/>
        <w:rPr>
          <w:rFonts w:ascii="David" w:hAnsi="David" w:cs="David"/>
        </w:rPr>
      </w:pPr>
      <w:r w:rsidRPr="00D4534A">
        <w:rPr>
          <w:rStyle w:val="a9"/>
          <w:rFonts w:ascii="David" w:hAnsi="David" w:cs="David"/>
        </w:rPr>
        <w:footnoteRef/>
      </w:r>
      <w:r w:rsidRPr="00D4534A">
        <w:rPr>
          <w:rFonts w:ascii="David" w:hAnsi="David" w:cs="David"/>
          <w:rtl/>
        </w:rPr>
        <w:t xml:space="preserve"> </w:t>
      </w:r>
      <w:r w:rsidRPr="006C6EAE">
        <w:rPr>
          <w:rFonts w:ascii="David" w:hAnsi="David" w:cs="David"/>
          <w:rtl/>
        </w:rPr>
        <w:t xml:space="preserve">התאגידים הבנקאיים </w:t>
      </w:r>
      <w:r w:rsidRPr="006C6EAE">
        <w:rPr>
          <w:rFonts w:ascii="David" w:hAnsi="David" w:cs="David" w:hint="cs"/>
          <w:rtl/>
        </w:rPr>
        <w:t>הנבדקים</w:t>
      </w:r>
      <w:r w:rsidRPr="006C6EAE">
        <w:rPr>
          <w:rFonts w:ascii="David" w:hAnsi="David" w:cs="David"/>
          <w:rtl/>
        </w:rPr>
        <w:t xml:space="preserve"> במבחן הקיצון הם</w:t>
      </w:r>
      <w:r w:rsidR="008C7F76" w:rsidRPr="006C6EAE">
        <w:rPr>
          <w:rFonts w:ascii="David" w:hAnsi="David" w:cs="David" w:hint="cs"/>
          <w:rtl/>
        </w:rPr>
        <w:t xml:space="preserve"> </w:t>
      </w:r>
      <w:r w:rsidRPr="006C6EAE">
        <w:rPr>
          <w:rFonts w:ascii="David" w:hAnsi="David" w:cs="David"/>
          <w:rtl/>
        </w:rPr>
        <w:t>לאומי, הפועלים, דיסקונט, מזרחי-טפחות, הבינלאומי, אגוד וירושלים</w:t>
      </w:r>
      <w:r w:rsidRPr="00D4534A">
        <w:rPr>
          <w:rFonts w:ascii="David" w:hAnsi="David" w:cs="David"/>
          <w:rtl/>
        </w:rPr>
        <w:t>.</w:t>
      </w:r>
    </w:p>
  </w:footnote>
  <w:footnote w:id="2">
    <w:p w:rsidR="00C4747B" w:rsidRPr="00D4534A" w:rsidRDefault="00C4747B" w:rsidP="00C4747B">
      <w:pPr>
        <w:pStyle w:val="a7"/>
        <w:rPr>
          <w:rFonts w:ascii="David" w:hAnsi="David" w:cs="David"/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="000B1409">
        <w:rPr>
          <w:rFonts w:ascii="David" w:hAnsi="David" w:cs="David" w:hint="cs"/>
          <w:rtl/>
        </w:rPr>
        <w:t>זאת</w:t>
      </w:r>
      <w:r>
        <w:rPr>
          <w:rFonts w:ascii="David" w:hAnsi="David" w:cs="David" w:hint="cs"/>
          <w:rtl/>
        </w:rPr>
        <w:t xml:space="preserve"> לא בהכרח</w:t>
      </w:r>
      <w:r w:rsidR="000B1409">
        <w:rPr>
          <w:rFonts w:ascii="David" w:hAnsi="David" w:cs="David" w:hint="cs"/>
          <w:rtl/>
        </w:rPr>
        <w:t>:</w:t>
      </w:r>
      <w:r>
        <w:rPr>
          <w:rFonts w:ascii="David" w:hAnsi="David" w:cs="David" w:hint="cs"/>
          <w:rtl/>
        </w:rPr>
        <w:t xml:space="preserve"> </w:t>
      </w:r>
      <w:r w:rsidR="000B1409">
        <w:rPr>
          <w:rFonts w:ascii="David" w:hAnsi="David" w:cs="David" w:hint="cs"/>
          <w:rtl/>
        </w:rPr>
        <w:t xml:space="preserve">ייתכן </w:t>
      </w:r>
      <w:r>
        <w:rPr>
          <w:rFonts w:ascii="David" w:hAnsi="David" w:cs="David" w:hint="cs"/>
          <w:rtl/>
        </w:rPr>
        <w:t>ש</w:t>
      </w:r>
      <w:r w:rsidRPr="003E0C7C">
        <w:rPr>
          <w:rFonts w:ascii="David" w:hAnsi="David" w:cs="David"/>
          <w:rtl/>
        </w:rPr>
        <w:t xml:space="preserve">פעולה </w:t>
      </w:r>
      <w:r>
        <w:rPr>
          <w:rFonts w:ascii="David" w:hAnsi="David" w:cs="David" w:hint="cs"/>
          <w:rtl/>
        </w:rPr>
        <w:t xml:space="preserve">אשר תנקוט </w:t>
      </w:r>
      <w:r w:rsidRPr="003E0C7C">
        <w:rPr>
          <w:rFonts w:ascii="David" w:hAnsi="David" w:cs="David"/>
          <w:rtl/>
        </w:rPr>
        <w:t xml:space="preserve">הנהלה של </w:t>
      </w:r>
      <w:r>
        <w:rPr>
          <w:rFonts w:ascii="David" w:hAnsi="David" w:cs="David" w:hint="cs"/>
          <w:rtl/>
        </w:rPr>
        <w:t>אחד ה</w:t>
      </w:r>
      <w:r w:rsidRPr="003E0C7C">
        <w:rPr>
          <w:rFonts w:ascii="David" w:hAnsi="David" w:cs="David"/>
          <w:rtl/>
        </w:rPr>
        <w:t>תאגיד</w:t>
      </w:r>
      <w:r>
        <w:rPr>
          <w:rFonts w:ascii="David" w:hAnsi="David" w:cs="David" w:hint="cs"/>
          <w:rtl/>
        </w:rPr>
        <w:t>ים</w:t>
      </w:r>
      <w:r w:rsidRPr="003E0C7C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ה</w:t>
      </w:r>
      <w:r w:rsidRPr="003E0C7C">
        <w:rPr>
          <w:rFonts w:ascii="David" w:hAnsi="David" w:cs="David"/>
          <w:rtl/>
        </w:rPr>
        <w:t>בנקאי</w:t>
      </w:r>
      <w:r>
        <w:rPr>
          <w:rFonts w:ascii="David" w:hAnsi="David" w:cs="David" w:hint="cs"/>
          <w:rtl/>
        </w:rPr>
        <w:t>ים</w:t>
      </w:r>
      <w:r w:rsidRPr="003E0C7C">
        <w:rPr>
          <w:rFonts w:ascii="David" w:hAnsi="David" w:cs="David"/>
          <w:rtl/>
        </w:rPr>
        <w:t xml:space="preserve"> תעצים את הפגיעה הצפויה בתאגיד בנקאי אחר.</w:t>
      </w:r>
    </w:p>
    <w:p w:rsidR="00C4747B" w:rsidRDefault="00C4747B">
      <w:pPr>
        <w:pStyle w:val="a7"/>
        <w:rPr>
          <w:rtl/>
        </w:rPr>
      </w:pPr>
    </w:p>
  </w:footnote>
  <w:footnote w:id="3">
    <w:p w:rsidR="00484ABA" w:rsidRPr="00D4534A" w:rsidRDefault="00484ABA" w:rsidP="00C4747B">
      <w:pPr>
        <w:pStyle w:val="a7"/>
        <w:rPr>
          <w:rFonts w:ascii="David" w:hAnsi="David" w:cs="David"/>
          <w:rtl/>
        </w:rPr>
      </w:pPr>
      <w:r w:rsidRPr="003E0C7C">
        <w:rPr>
          <w:rStyle w:val="a9"/>
          <w:rFonts w:ascii="David" w:hAnsi="David" w:cs="David"/>
        </w:rPr>
        <w:footnoteRef/>
      </w:r>
      <w:r w:rsidRPr="003E0C7C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י</w:t>
      </w:r>
      <w:r w:rsidRPr="003E0C7C">
        <w:rPr>
          <w:rFonts w:ascii="David" w:hAnsi="David" w:cs="David"/>
          <w:rtl/>
        </w:rPr>
        <w:t xml:space="preserve">תכן </w:t>
      </w:r>
      <w:r>
        <w:rPr>
          <w:rFonts w:ascii="David" w:hAnsi="David" w:cs="David" w:hint="cs"/>
          <w:rtl/>
        </w:rPr>
        <w:t>ש</w:t>
      </w:r>
      <w:r w:rsidRPr="003E0C7C">
        <w:rPr>
          <w:rFonts w:ascii="David" w:hAnsi="David" w:cs="David"/>
          <w:rtl/>
        </w:rPr>
        <w:t xml:space="preserve">פעולה </w:t>
      </w:r>
      <w:r>
        <w:rPr>
          <w:rFonts w:ascii="David" w:hAnsi="David" w:cs="David" w:hint="cs"/>
          <w:rtl/>
        </w:rPr>
        <w:t xml:space="preserve">אשר תנקוט </w:t>
      </w:r>
      <w:r w:rsidRPr="003E0C7C">
        <w:rPr>
          <w:rFonts w:ascii="David" w:hAnsi="David" w:cs="David"/>
          <w:rtl/>
        </w:rPr>
        <w:t xml:space="preserve">הנהלה של </w:t>
      </w:r>
      <w:r>
        <w:rPr>
          <w:rFonts w:ascii="David" w:hAnsi="David" w:cs="David" w:hint="cs"/>
          <w:rtl/>
        </w:rPr>
        <w:t>אחד ה</w:t>
      </w:r>
      <w:r w:rsidRPr="003E0C7C">
        <w:rPr>
          <w:rFonts w:ascii="David" w:hAnsi="David" w:cs="David"/>
          <w:rtl/>
        </w:rPr>
        <w:t>תאגיד</w:t>
      </w:r>
      <w:r>
        <w:rPr>
          <w:rFonts w:ascii="David" w:hAnsi="David" w:cs="David" w:hint="cs"/>
          <w:rtl/>
        </w:rPr>
        <w:t>ים</w:t>
      </w:r>
      <w:r w:rsidRPr="003E0C7C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ה</w:t>
      </w:r>
      <w:r w:rsidRPr="003E0C7C">
        <w:rPr>
          <w:rFonts w:ascii="David" w:hAnsi="David" w:cs="David"/>
          <w:rtl/>
        </w:rPr>
        <w:t>בנקאי</w:t>
      </w:r>
      <w:r>
        <w:rPr>
          <w:rFonts w:ascii="David" w:hAnsi="David" w:cs="David" w:hint="cs"/>
          <w:rtl/>
        </w:rPr>
        <w:t>ים</w:t>
      </w:r>
      <w:r w:rsidRPr="003E0C7C">
        <w:rPr>
          <w:rFonts w:ascii="David" w:hAnsi="David" w:cs="David"/>
          <w:rtl/>
        </w:rPr>
        <w:t xml:space="preserve"> תעצים את הפגיעה הצפויה בתאגיד בנקאי אחר.</w:t>
      </w:r>
    </w:p>
  </w:footnote>
  <w:footnote w:id="4">
    <w:p w:rsidR="00484ABA" w:rsidRDefault="00484ABA" w:rsidP="005040B9">
      <w:pPr>
        <w:pStyle w:val="a7"/>
        <w:jc w:val="both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Pr="00D7767B">
        <w:rPr>
          <w:rFonts w:ascii="David" w:hAnsi="David" w:cs="David" w:hint="cs"/>
          <w:rtl/>
        </w:rPr>
        <w:t xml:space="preserve">גם </w:t>
      </w:r>
      <w:r w:rsidRPr="005040B9">
        <w:rPr>
          <w:rFonts w:ascii="David" w:hAnsi="David" w:cs="David" w:hint="eastAsia"/>
          <w:rtl/>
        </w:rPr>
        <w:t>יחס</w:t>
      </w:r>
      <w:r w:rsidRPr="005040B9">
        <w:rPr>
          <w:rFonts w:ascii="David" w:hAnsi="David" w:cs="David"/>
          <w:rtl/>
        </w:rPr>
        <w:t xml:space="preserve"> </w:t>
      </w:r>
      <w:r w:rsidRPr="005040B9">
        <w:rPr>
          <w:rFonts w:ascii="David" w:hAnsi="David" w:cs="David" w:hint="eastAsia"/>
          <w:rtl/>
        </w:rPr>
        <w:t>המינוף</w:t>
      </w:r>
      <w:r w:rsidRPr="005040B9">
        <w:rPr>
          <w:rFonts w:ascii="David" w:hAnsi="David" w:cs="David"/>
          <w:rtl/>
        </w:rPr>
        <w:t xml:space="preserve"> </w:t>
      </w:r>
      <w:r w:rsidRPr="005040B9">
        <w:rPr>
          <w:rFonts w:ascii="David" w:hAnsi="David" w:cs="David" w:hint="eastAsia"/>
          <w:rtl/>
        </w:rPr>
        <w:t>משקף</w:t>
      </w:r>
      <w:r w:rsidRPr="005040B9">
        <w:rPr>
          <w:rFonts w:ascii="David" w:hAnsi="David" w:cs="David"/>
          <w:rtl/>
        </w:rPr>
        <w:t xml:space="preserve"> </w:t>
      </w:r>
      <w:r w:rsidRPr="005040B9">
        <w:rPr>
          <w:rFonts w:ascii="David" w:hAnsi="David" w:cs="David" w:hint="eastAsia"/>
          <w:rtl/>
        </w:rPr>
        <w:t>את</w:t>
      </w:r>
      <w:r w:rsidRPr="005040B9">
        <w:rPr>
          <w:rFonts w:ascii="David" w:hAnsi="David" w:cs="David"/>
          <w:rtl/>
        </w:rPr>
        <w:t xml:space="preserve"> </w:t>
      </w:r>
      <w:r w:rsidRPr="005040B9">
        <w:rPr>
          <w:rFonts w:ascii="David" w:hAnsi="David" w:cs="David" w:hint="eastAsia"/>
          <w:rtl/>
        </w:rPr>
        <w:t>עמידות</w:t>
      </w:r>
      <w:r w:rsidRPr="005040B9">
        <w:rPr>
          <w:rFonts w:ascii="David" w:hAnsi="David" w:cs="David"/>
          <w:rtl/>
        </w:rPr>
        <w:t xml:space="preserve"> </w:t>
      </w:r>
      <w:r w:rsidRPr="005040B9">
        <w:rPr>
          <w:rFonts w:ascii="David" w:hAnsi="David" w:cs="David" w:hint="eastAsia"/>
          <w:rtl/>
        </w:rPr>
        <w:t>המערכת</w:t>
      </w:r>
      <w:r>
        <w:rPr>
          <w:rFonts w:ascii="David" w:hAnsi="David" w:cs="David" w:hint="cs"/>
          <w:rtl/>
        </w:rPr>
        <w:t xml:space="preserve"> בפני תרחיש הקיצון</w:t>
      </w:r>
      <w:r w:rsidRPr="005040B9">
        <w:rPr>
          <w:rFonts w:ascii="David" w:hAnsi="David" w:cs="David"/>
          <w:rtl/>
        </w:rPr>
        <w:t xml:space="preserve">. </w:t>
      </w:r>
      <w:r w:rsidRPr="005040B9">
        <w:rPr>
          <w:rFonts w:ascii="David" w:hAnsi="David" w:cs="David" w:hint="eastAsia"/>
          <w:rtl/>
        </w:rPr>
        <w:t>המערכת</w:t>
      </w:r>
      <w:r w:rsidRPr="005040B9">
        <w:rPr>
          <w:rFonts w:ascii="David" w:hAnsi="David" w:cs="David"/>
          <w:rtl/>
        </w:rPr>
        <w:t xml:space="preserve"> </w:t>
      </w:r>
      <w:r w:rsidRPr="005040B9">
        <w:rPr>
          <w:rFonts w:ascii="David" w:hAnsi="David" w:cs="David" w:hint="eastAsia"/>
          <w:rtl/>
        </w:rPr>
        <w:t>הגיע</w:t>
      </w:r>
      <w:r>
        <w:rPr>
          <w:rFonts w:ascii="David" w:hAnsi="David" w:cs="David" w:hint="cs"/>
          <w:rtl/>
        </w:rPr>
        <w:t>ה</w:t>
      </w:r>
      <w:r w:rsidRPr="005040B9">
        <w:rPr>
          <w:rFonts w:ascii="David" w:hAnsi="David" w:cs="David"/>
          <w:rtl/>
        </w:rPr>
        <w:t xml:space="preserve"> </w:t>
      </w:r>
      <w:r w:rsidRPr="005040B9">
        <w:rPr>
          <w:rFonts w:ascii="David" w:hAnsi="David" w:cs="David" w:hint="eastAsia"/>
          <w:rtl/>
        </w:rPr>
        <w:t>בתרחיש</w:t>
      </w:r>
      <w:r w:rsidRPr="005040B9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זה</w:t>
      </w:r>
      <w:r w:rsidRPr="005040B9">
        <w:rPr>
          <w:rFonts w:ascii="David" w:hAnsi="David" w:cs="David"/>
          <w:rtl/>
        </w:rPr>
        <w:t xml:space="preserve"> </w:t>
      </w:r>
      <w:r w:rsidRPr="005040B9">
        <w:rPr>
          <w:rFonts w:ascii="David" w:hAnsi="David" w:cs="David" w:hint="eastAsia"/>
          <w:rtl/>
        </w:rPr>
        <w:t>ליחס</w:t>
      </w:r>
      <w:r w:rsidRPr="005040B9">
        <w:rPr>
          <w:rFonts w:ascii="David" w:hAnsi="David" w:cs="David"/>
          <w:rtl/>
        </w:rPr>
        <w:t xml:space="preserve"> </w:t>
      </w:r>
      <w:r w:rsidRPr="005040B9">
        <w:rPr>
          <w:rFonts w:ascii="David" w:hAnsi="David" w:cs="David" w:hint="eastAsia"/>
          <w:rtl/>
        </w:rPr>
        <w:t>מינוף</w:t>
      </w:r>
      <w:r w:rsidRPr="005040B9">
        <w:rPr>
          <w:rFonts w:ascii="David" w:hAnsi="David" w:cs="David"/>
          <w:rtl/>
        </w:rPr>
        <w:t xml:space="preserve"> </w:t>
      </w:r>
      <w:r w:rsidR="00443B55">
        <w:rPr>
          <w:rFonts w:ascii="David" w:hAnsi="David" w:cs="David" w:hint="cs"/>
          <w:rtl/>
        </w:rPr>
        <w:t xml:space="preserve">ממוצע </w:t>
      </w:r>
      <w:r w:rsidRPr="005040B9">
        <w:rPr>
          <w:rFonts w:ascii="David" w:hAnsi="David" w:cs="David" w:hint="eastAsia"/>
          <w:rtl/>
        </w:rPr>
        <w:t>של</w:t>
      </w:r>
      <w:r w:rsidRPr="005040B9">
        <w:rPr>
          <w:rFonts w:ascii="David" w:hAnsi="David" w:cs="David"/>
          <w:rtl/>
        </w:rPr>
        <w:t xml:space="preserve"> 6.5%, </w:t>
      </w:r>
      <w:r>
        <w:rPr>
          <w:rFonts w:ascii="David" w:hAnsi="David" w:cs="David" w:hint="cs"/>
          <w:rtl/>
        </w:rPr>
        <w:t>ו</w:t>
      </w:r>
      <w:r w:rsidRPr="005040B9">
        <w:rPr>
          <w:rFonts w:ascii="David" w:hAnsi="David" w:cs="David" w:hint="eastAsia"/>
          <w:rtl/>
        </w:rPr>
        <w:t>הבנק</w:t>
      </w:r>
      <w:r w:rsidRPr="005040B9">
        <w:rPr>
          <w:rFonts w:ascii="David" w:hAnsi="David" w:cs="David"/>
          <w:rtl/>
        </w:rPr>
        <w:t xml:space="preserve"> </w:t>
      </w:r>
      <w:r w:rsidRPr="005040B9">
        <w:rPr>
          <w:rFonts w:ascii="David" w:hAnsi="David" w:cs="David" w:hint="eastAsia"/>
          <w:rtl/>
        </w:rPr>
        <w:t>שספג</w:t>
      </w:r>
      <w:r w:rsidRPr="005040B9">
        <w:rPr>
          <w:rFonts w:ascii="David" w:hAnsi="David" w:cs="David"/>
          <w:rtl/>
        </w:rPr>
        <w:t xml:space="preserve"> </w:t>
      </w:r>
      <w:r w:rsidRPr="005040B9">
        <w:rPr>
          <w:rFonts w:ascii="David" w:hAnsi="David" w:cs="David" w:hint="eastAsia"/>
          <w:rtl/>
        </w:rPr>
        <w:t>את</w:t>
      </w:r>
      <w:r w:rsidRPr="005040B9">
        <w:rPr>
          <w:rFonts w:ascii="David" w:hAnsi="David" w:cs="David"/>
          <w:rtl/>
        </w:rPr>
        <w:t xml:space="preserve"> </w:t>
      </w:r>
      <w:r w:rsidRPr="005040B9">
        <w:rPr>
          <w:rFonts w:ascii="David" w:hAnsi="David" w:cs="David" w:hint="eastAsia"/>
          <w:rtl/>
        </w:rPr>
        <w:t>הפגיעה</w:t>
      </w:r>
      <w:r w:rsidRPr="005040B9">
        <w:rPr>
          <w:rFonts w:ascii="David" w:hAnsi="David" w:cs="David"/>
          <w:rtl/>
        </w:rPr>
        <w:t xml:space="preserve"> </w:t>
      </w:r>
      <w:r w:rsidRPr="005040B9">
        <w:rPr>
          <w:rFonts w:ascii="David" w:hAnsi="David" w:cs="David" w:hint="eastAsia"/>
          <w:rtl/>
        </w:rPr>
        <w:t>ה</w:t>
      </w:r>
      <w:r>
        <w:rPr>
          <w:rFonts w:ascii="David" w:hAnsi="David" w:cs="David" w:hint="cs"/>
          <w:rtl/>
        </w:rPr>
        <w:t xml:space="preserve">קשה </w:t>
      </w:r>
      <w:r w:rsidRPr="005040B9">
        <w:rPr>
          <w:rFonts w:ascii="David" w:hAnsi="David" w:cs="David" w:hint="eastAsia"/>
          <w:rtl/>
        </w:rPr>
        <w:t>ביותר</w:t>
      </w:r>
      <w:r w:rsidRPr="005040B9">
        <w:rPr>
          <w:rFonts w:ascii="David" w:hAnsi="David" w:cs="David"/>
          <w:rtl/>
        </w:rPr>
        <w:t xml:space="preserve"> </w:t>
      </w:r>
      <w:r w:rsidRPr="005040B9">
        <w:rPr>
          <w:rFonts w:ascii="David" w:hAnsi="David" w:cs="David" w:hint="eastAsia"/>
          <w:rtl/>
        </w:rPr>
        <w:t>הגיע</w:t>
      </w:r>
      <w:r w:rsidRPr="005040B9">
        <w:rPr>
          <w:rFonts w:ascii="David" w:hAnsi="David" w:cs="David"/>
          <w:rtl/>
        </w:rPr>
        <w:t xml:space="preserve"> </w:t>
      </w:r>
      <w:r w:rsidRPr="005040B9">
        <w:rPr>
          <w:rFonts w:ascii="David" w:hAnsi="David" w:cs="David" w:hint="eastAsia"/>
          <w:rtl/>
        </w:rPr>
        <w:t>ליחס</w:t>
      </w:r>
      <w:r w:rsidRPr="005040B9">
        <w:rPr>
          <w:rFonts w:ascii="David" w:hAnsi="David" w:cs="David"/>
          <w:rtl/>
        </w:rPr>
        <w:t xml:space="preserve"> </w:t>
      </w:r>
      <w:r w:rsidRPr="005040B9">
        <w:rPr>
          <w:rFonts w:ascii="David" w:hAnsi="David" w:cs="David" w:hint="eastAsia"/>
          <w:rtl/>
        </w:rPr>
        <w:t>מינוף</w:t>
      </w:r>
      <w:r w:rsidRPr="005040B9">
        <w:rPr>
          <w:rFonts w:ascii="David" w:hAnsi="David" w:cs="David"/>
          <w:rtl/>
        </w:rPr>
        <w:t xml:space="preserve"> </w:t>
      </w:r>
      <w:r w:rsidRPr="005040B9">
        <w:rPr>
          <w:rFonts w:ascii="David" w:hAnsi="David" w:cs="David" w:hint="eastAsia"/>
          <w:rtl/>
        </w:rPr>
        <w:t>של</w:t>
      </w:r>
      <w:r w:rsidRPr="005040B9">
        <w:rPr>
          <w:rFonts w:ascii="David" w:hAnsi="David" w:cs="David"/>
          <w:rtl/>
        </w:rPr>
        <w:t xml:space="preserve"> 4.3%.</w:t>
      </w:r>
    </w:p>
  </w:footnote>
  <w:footnote w:id="5">
    <w:p w:rsidR="00484ABA" w:rsidRPr="00D4534A" w:rsidRDefault="00484ABA" w:rsidP="004D0637">
      <w:pPr>
        <w:pStyle w:val="a7"/>
        <w:rPr>
          <w:rFonts w:ascii="David" w:hAnsi="David" w:cs="David"/>
          <w:rtl/>
        </w:rPr>
      </w:pPr>
      <w:r w:rsidRPr="00D4534A">
        <w:rPr>
          <w:rStyle w:val="a9"/>
          <w:rFonts w:ascii="David" w:hAnsi="David" w:cs="David"/>
        </w:rPr>
        <w:footnoteRef/>
      </w:r>
      <w:r w:rsidRPr="00D4534A">
        <w:rPr>
          <w:rFonts w:ascii="David" w:hAnsi="David" w:cs="David"/>
          <w:rtl/>
        </w:rPr>
        <w:t xml:space="preserve"> </w:t>
      </w:r>
      <w:r w:rsidRPr="00D4534A">
        <w:rPr>
          <w:rFonts w:ascii="David" w:hAnsi="David" w:cs="David"/>
          <w:rtl/>
        </w:rPr>
        <w:t xml:space="preserve">השנה </w:t>
      </w:r>
      <w:r>
        <w:rPr>
          <w:rFonts w:ascii="David" w:hAnsi="David" w:cs="David" w:hint="cs"/>
          <w:rtl/>
        </w:rPr>
        <w:t>ש</w:t>
      </w:r>
      <w:r w:rsidRPr="00D4534A">
        <w:rPr>
          <w:rFonts w:ascii="David" w:hAnsi="David" w:cs="David"/>
          <w:rtl/>
        </w:rPr>
        <w:t>בה יחס ההון הממוצע במערכת הגיע לשיעור הנמוך ביותר בתרחיש</w:t>
      </w:r>
      <w:r w:rsidRPr="003E0C7C">
        <w:rPr>
          <w:rFonts w:ascii="David" w:hAnsi="David" w:cs="David"/>
          <w:rtl/>
        </w:rPr>
        <w:t>.</w:t>
      </w:r>
    </w:p>
  </w:footnote>
  <w:footnote w:id="6">
    <w:p w:rsidR="00484ABA" w:rsidRPr="00D4534A" w:rsidRDefault="00484ABA" w:rsidP="00EB7A45">
      <w:pPr>
        <w:pStyle w:val="a7"/>
        <w:jc w:val="both"/>
        <w:rPr>
          <w:rFonts w:ascii="David" w:hAnsi="David" w:cs="David"/>
        </w:rPr>
      </w:pPr>
      <w:r w:rsidRPr="00D4534A">
        <w:rPr>
          <w:rStyle w:val="a9"/>
          <w:rFonts w:ascii="David" w:hAnsi="David" w:cs="David"/>
        </w:rPr>
        <w:footnoteRef/>
      </w:r>
      <w:r w:rsidRPr="00D4534A">
        <w:rPr>
          <w:rFonts w:ascii="David" w:hAnsi="David" w:cs="David"/>
          <w:rtl/>
        </w:rPr>
        <w:t xml:space="preserve"> </w:t>
      </w:r>
      <w:r w:rsidRPr="00D4534A">
        <w:rPr>
          <w:rFonts w:ascii="David" w:hAnsi="David" w:cs="David"/>
          <w:rtl/>
        </w:rPr>
        <w:t>מבוסס על מודלים והערכות ואינו בבחינת תחזית.</w:t>
      </w:r>
    </w:p>
  </w:footnote>
  <w:footnote w:id="7">
    <w:p w:rsidR="00484ABA" w:rsidRPr="00D4534A" w:rsidRDefault="00484ABA" w:rsidP="00EB7A45">
      <w:pPr>
        <w:pStyle w:val="a7"/>
        <w:jc w:val="both"/>
        <w:rPr>
          <w:rFonts w:ascii="David" w:hAnsi="David" w:cs="David"/>
          <w:rtl/>
        </w:rPr>
      </w:pPr>
      <w:r w:rsidRPr="00D4534A">
        <w:rPr>
          <w:rStyle w:val="a9"/>
          <w:rFonts w:ascii="David" w:hAnsi="David" w:cs="David"/>
        </w:rPr>
        <w:footnoteRef/>
      </w:r>
      <w:r w:rsidRPr="00D4534A">
        <w:rPr>
          <w:rFonts w:ascii="David" w:hAnsi="David" w:cs="David"/>
          <w:rtl/>
        </w:rPr>
        <w:t xml:space="preserve"> </w:t>
      </w:r>
      <w:r w:rsidRPr="00D4534A">
        <w:rPr>
          <w:rFonts w:ascii="David" w:hAnsi="David" w:cs="David"/>
          <w:rtl/>
        </w:rPr>
        <w:t>מבוסס על מודלים והערכות ואינו בבחינת תחזית.</w:t>
      </w:r>
    </w:p>
  </w:footnote>
  <w:footnote w:id="8">
    <w:p w:rsidR="00484ABA" w:rsidRPr="00D4534A" w:rsidRDefault="00484ABA" w:rsidP="004D0637">
      <w:pPr>
        <w:pStyle w:val="a7"/>
        <w:jc w:val="both"/>
        <w:rPr>
          <w:rFonts w:ascii="David" w:hAnsi="David" w:cs="David"/>
          <w:rtl/>
        </w:rPr>
      </w:pPr>
      <w:r w:rsidRPr="00D4534A">
        <w:rPr>
          <w:rStyle w:val="a9"/>
          <w:rFonts w:ascii="David" w:hAnsi="David" w:cs="David"/>
        </w:rPr>
        <w:footnoteRef/>
      </w:r>
      <w:r w:rsidRPr="00D4534A">
        <w:rPr>
          <w:rFonts w:ascii="David" w:hAnsi="David" w:cs="David"/>
          <w:rtl/>
        </w:rPr>
        <w:t xml:space="preserve"> </w:t>
      </w:r>
      <w:r w:rsidRPr="00D4534A">
        <w:rPr>
          <w:rFonts w:ascii="David" w:hAnsi="David" w:cs="David"/>
          <w:rtl/>
        </w:rPr>
        <w:t>מבוסס על מודלים והערכות ואינו בבחינת תחזית.</w:t>
      </w:r>
    </w:p>
  </w:footnote>
  <w:footnote w:id="9">
    <w:p w:rsidR="00484ABA" w:rsidRDefault="00484ABA" w:rsidP="00B871D5">
      <w:pPr>
        <w:pStyle w:val="a7"/>
      </w:pPr>
      <w:r w:rsidRPr="00AC2342">
        <w:rPr>
          <w:rStyle w:val="a9"/>
        </w:rPr>
        <w:footnoteRef/>
      </w:r>
      <w:r w:rsidRPr="00AC2342">
        <w:rPr>
          <w:rtl/>
        </w:rPr>
        <w:t xml:space="preserve"> </w:t>
      </w:r>
      <w:r w:rsidR="00B63128" w:rsidRPr="00AC2342">
        <w:rPr>
          <w:rFonts w:ascii="David" w:hAnsi="David" w:cs="David" w:hint="eastAsia"/>
          <w:rtl/>
        </w:rPr>
        <w:t>כמו</w:t>
      </w:r>
      <w:r w:rsidR="00B63128" w:rsidRPr="00AC2342">
        <w:rPr>
          <w:rFonts w:ascii="David" w:hAnsi="David" w:cs="David"/>
          <w:rtl/>
        </w:rPr>
        <w:t xml:space="preserve"> </w:t>
      </w:r>
      <w:r w:rsidR="00B63128" w:rsidRPr="00AC2342">
        <w:rPr>
          <w:rFonts w:ascii="David" w:hAnsi="David" w:cs="David" w:hint="eastAsia"/>
          <w:rtl/>
        </w:rPr>
        <w:t>כן</w:t>
      </w:r>
      <w:r w:rsidR="00B63128" w:rsidRPr="00AC2342">
        <w:rPr>
          <w:rFonts w:ascii="David" w:hAnsi="David" w:cs="David"/>
          <w:rtl/>
        </w:rPr>
        <w:t xml:space="preserve"> </w:t>
      </w:r>
      <w:r w:rsidR="00B63128" w:rsidRPr="00AC2342">
        <w:rPr>
          <w:rFonts w:ascii="David" w:hAnsi="David" w:cs="David" w:hint="eastAsia"/>
          <w:rtl/>
        </w:rPr>
        <w:t>סביר</w:t>
      </w:r>
      <w:r w:rsidR="001A6DAD" w:rsidRPr="00AC2342">
        <w:rPr>
          <w:rFonts w:ascii="David" w:hAnsi="David" w:cs="David" w:hint="cs"/>
          <w:rtl/>
        </w:rPr>
        <w:t xml:space="preserve"> </w:t>
      </w:r>
      <w:r w:rsidRPr="00AC2342">
        <w:rPr>
          <w:rFonts w:ascii="David" w:hAnsi="David" w:cs="David"/>
          <w:rtl/>
        </w:rPr>
        <w:t xml:space="preserve"> </w:t>
      </w:r>
      <w:r w:rsidR="00B63128" w:rsidRPr="00AC2342">
        <w:rPr>
          <w:rFonts w:ascii="David" w:hAnsi="David" w:cs="David" w:hint="eastAsia"/>
          <w:rtl/>
        </w:rPr>
        <w:t>ש</w:t>
      </w:r>
      <w:r w:rsidRPr="00AC2342">
        <w:rPr>
          <w:rFonts w:ascii="David" w:hAnsi="David" w:cs="David" w:hint="eastAsia"/>
          <w:rtl/>
        </w:rPr>
        <w:t>הציבור</w:t>
      </w:r>
      <w:r w:rsidRPr="005040B9">
        <w:rPr>
          <w:rFonts w:ascii="David" w:hAnsi="David" w:cs="David"/>
          <w:rtl/>
        </w:rPr>
        <w:t xml:space="preserve"> בעשירונים הנמוכים הוא </w:t>
      </w:r>
      <w:r w:rsidR="00B63128">
        <w:rPr>
          <w:rFonts w:ascii="David" w:hAnsi="David" w:cs="David" w:hint="cs"/>
          <w:rtl/>
        </w:rPr>
        <w:t xml:space="preserve">שנפגע </w:t>
      </w:r>
      <w:r>
        <w:rPr>
          <w:rFonts w:ascii="David" w:hAnsi="David" w:cs="David" w:hint="cs"/>
          <w:rtl/>
        </w:rPr>
        <w:t xml:space="preserve">יותר בעתות של </w:t>
      </w:r>
      <w:r w:rsidRPr="00F321E0">
        <w:rPr>
          <w:rFonts w:ascii="David" w:hAnsi="David" w:cs="David"/>
          <w:rtl/>
        </w:rPr>
        <w:t>אבטלה גואה</w:t>
      </w:r>
      <w:r>
        <w:rPr>
          <w:rFonts w:hint="cs"/>
          <w:rtl/>
        </w:rPr>
        <w:t>.</w:t>
      </w:r>
      <w:r>
        <w:rPr>
          <w:rtl/>
        </w:rPr>
        <w:br/>
      </w:r>
      <w:r>
        <w:rPr>
          <w:rFonts w:hint="cs"/>
          <w:rtl/>
        </w:rPr>
        <w:t xml:space="preserve"> </w:t>
      </w:r>
      <w:r w:rsidRPr="003E0C7C">
        <w:rPr>
          <w:rFonts w:ascii="David" w:hAnsi="David" w:cs="David"/>
        </w:rPr>
        <w:t xml:space="preserve">Ong, M. L. L. (2014). </w:t>
      </w:r>
      <w:r w:rsidRPr="003E0C7C">
        <w:rPr>
          <w:rFonts w:ascii="David" w:hAnsi="David" w:cs="David"/>
          <w:i/>
          <w:iCs/>
        </w:rPr>
        <w:t>A guide to IMF stress testing: methods and models</w:t>
      </w:r>
      <w:r w:rsidRPr="003E0C7C">
        <w:rPr>
          <w:rFonts w:ascii="David" w:hAnsi="David" w:cs="David"/>
        </w:rPr>
        <w:t>. International Monetary Fund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53FC4"/>
    <w:multiLevelType w:val="hybridMultilevel"/>
    <w:tmpl w:val="0F72F9F4"/>
    <w:lvl w:ilvl="0" w:tplc="2FA0873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917A0"/>
    <w:multiLevelType w:val="hybridMultilevel"/>
    <w:tmpl w:val="2DFC8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42"/>
    <w:rsid w:val="00006841"/>
    <w:rsid w:val="0001343B"/>
    <w:rsid w:val="000242BE"/>
    <w:rsid w:val="00027077"/>
    <w:rsid w:val="00031240"/>
    <w:rsid w:val="00033AAB"/>
    <w:rsid w:val="000371FC"/>
    <w:rsid w:val="00053589"/>
    <w:rsid w:val="00053D12"/>
    <w:rsid w:val="00056CAD"/>
    <w:rsid w:val="00072B03"/>
    <w:rsid w:val="00076985"/>
    <w:rsid w:val="00094C6C"/>
    <w:rsid w:val="000A27DB"/>
    <w:rsid w:val="000A5188"/>
    <w:rsid w:val="000B1409"/>
    <w:rsid w:val="000D0247"/>
    <w:rsid w:val="000D094C"/>
    <w:rsid w:val="000E72DF"/>
    <w:rsid w:val="00123C42"/>
    <w:rsid w:val="00130954"/>
    <w:rsid w:val="0013507A"/>
    <w:rsid w:val="00161B69"/>
    <w:rsid w:val="001645BB"/>
    <w:rsid w:val="00171428"/>
    <w:rsid w:val="00174E33"/>
    <w:rsid w:val="00190754"/>
    <w:rsid w:val="001911D7"/>
    <w:rsid w:val="001A153B"/>
    <w:rsid w:val="001A2E70"/>
    <w:rsid w:val="001A6DAD"/>
    <w:rsid w:val="001B0DEF"/>
    <w:rsid w:val="001C0429"/>
    <w:rsid w:val="001C4370"/>
    <w:rsid w:val="001D3E31"/>
    <w:rsid w:val="001D54EE"/>
    <w:rsid w:val="001E714C"/>
    <w:rsid w:val="001E724C"/>
    <w:rsid w:val="00210FF5"/>
    <w:rsid w:val="00214555"/>
    <w:rsid w:val="002273BF"/>
    <w:rsid w:val="0023090B"/>
    <w:rsid w:val="00243015"/>
    <w:rsid w:val="002545BD"/>
    <w:rsid w:val="00260329"/>
    <w:rsid w:val="00262152"/>
    <w:rsid w:val="00274406"/>
    <w:rsid w:val="00292BE1"/>
    <w:rsid w:val="00294253"/>
    <w:rsid w:val="0029539B"/>
    <w:rsid w:val="002B271B"/>
    <w:rsid w:val="002C7F84"/>
    <w:rsid w:val="002E07DE"/>
    <w:rsid w:val="002F18DA"/>
    <w:rsid w:val="002F4564"/>
    <w:rsid w:val="00300133"/>
    <w:rsid w:val="00303FB1"/>
    <w:rsid w:val="00335705"/>
    <w:rsid w:val="0034581B"/>
    <w:rsid w:val="0035031A"/>
    <w:rsid w:val="003527C3"/>
    <w:rsid w:val="003606A4"/>
    <w:rsid w:val="003616EC"/>
    <w:rsid w:val="00367453"/>
    <w:rsid w:val="00367AFE"/>
    <w:rsid w:val="00380550"/>
    <w:rsid w:val="003A054D"/>
    <w:rsid w:val="003A0786"/>
    <w:rsid w:val="003A3DEE"/>
    <w:rsid w:val="003C0D09"/>
    <w:rsid w:val="003C153E"/>
    <w:rsid w:val="003C2391"/>
    <w:rsid w:val="003C3B14"/>
    <w:rsid w:val="003D64A2"/>
    <w:rsid w:val="003E0C7C"/>
    <w:rsid w:val="00414D91"/>
    <w:rsid w:val="0041606C"/>
    <w:rsid w:val="00432715"/>
    <w:rsid w:val="0043691F"/>
    <w:rsid w:val="00443B55"/>
    <w:rsid w:val="00467573"/>
    <w:rsid w:val="00473C16"/>
    <w:rsid w:val="004772BD"/>
    <w:rsid w:val="00480EBF"/>
    <w:rsid w:val="00484ABA"/>
    <w:rsid w:val="00484D79"/>
    <w:rsid w:val="004864D1"/>
    <w:rsid w:val="00487785"/>
    <w:rsid w:val="004A4EF3"/>
    <w:rsid w:val="004A5E74"/>
    <w:rsid w:val="004A6746"/>
    <w:rsid w:val="004B7027"/>
    <w:rsid w:val="004D0637"/>
    <w:rsid w:val="004D38FB"/>
    <w:rsid w:val="004F01E2"/>
    <w:rsid w:val="005040B9"/>
    <w:rsid w:val="00505C07"/>
    <w:rsid w:val="005121D4"/>
    <w:rsid w:val="00513301"/>
    <w:rsid w:val="00527C1D"/>
    <w:rsid w:val="005413A0"/>
    <w:rsid w:val="00542C28"/>
    <w:rsid w:val="0054665D"/>
    <w:rsid w:val="005577BE"/>
    <w:rsid w:val="00557C5F"/>
    <w:rsid w:val="00563A4F"/>
    <w:rsid w:val="00567733"/>
    <w:rsid w:val="0057455A"/>
    <w:rsid w:val="0058326E"/>
    <w:rsid w:val="005A01FF"/>
    <w:rsid w:val="005A1A09"/>
    <w:rsid w:val="005B5B95"/>
    <w:rsid w:val="005B6047"/>
    <w:rsid w:val="005B7EE1"/>
    <w:rsid w:val="005D7B2F"/>
    <w:rsid w:val="005E33D5"/>
    <w:rsid w:val="005E5A6C"/>
    <w:rsid w:val="005F7695"/>
    <w:rsid w:val="00644D5B"/>
    <w:rsid w:val="00656D3E"/>
    <w:rsid w:val="00664217"/>
    <w:rsid w:val="00666791"/>
    <w:rsid w:val="006801FD"/>
    <w:rsid w:val="00683563"/>
    <w:rsid w:val="0069368C"/>
    <w:rsid w:val="006A07E9"/>
    <w:rsid w:val="006B57E9"/>
    <w:rsid w:val="006C2EDF"/>
    <w:rsid w:val="006C6EAE"/>
    <w:rsid w:val="006E3A0D"/>
    <w:rsid w:val="006E5C1F"/>
    <w:rsid w:val="006F44F6"/>
    <w:rsid w:val="00710438"/>
    <w:rsid w:val="007164CB"/>
    <w:rsid w:val="00720294"/>
    <w:rsid w:val="00720FC2"/>
    <w:rsid w:val="007338AE"/>
    <w:rsid w:val="00741CE7"/>
    <w:rsid w:val="007453CF"/>
    <w:rsid w:val="007571D4"/>
    <w:rsid w:val="00772EBB"/>
    <w:rsid w:val="00773867"/>
    <w:rsid w:val="00791C00"/>
    <w:rsid w:val="00793FEE"/>
    <w:rsid w:val="00795D30"/>
    <w:rsid w:val="007973C7"/>
    <w:rsid w:val="007A547A"/>
    <w:rsid w:val="007B3340"/>
    <w:rsid w:val="007D78D3"/>
    <w:rsid w:val="007E3EE5"/>
    <w:rsid w:val="007E481B"/>
    <w:rsid w:val="00817568"/>
    <w:rsid w:val="00824830"/>
    <w:rsid w:val="0083121C"/>
    <w:rsid w:val="00832007"/>
    <w:rsid w:val="008321AD"/>
    <w:rsid w:val="00835073"/>
    <w:rsid w:val="00842640"/>
    <w:rsid w:val="00875130"/>
    <w:rsid w:val="008809D8"/>
    <w:rsid w:val="008851DA"/>
    <w:rsid w:val="00887333"/>
    <w:rsid w:val="0089537C"/>
    <w:rsid w:val="008A522F"/>
    <w:rsid w:val="008B7B95"/>
    <w:rsid w:val="008C7F76"/>
    <w:rsid w:val="008D6E46"/>
    <w:rsid w:val="008E1F7E"/>
    <w:rsid w:val="008E48B5"/>
    <w:rsid w:val="008E7570"/>
    <w:rsid w:val="008F7000"/>
    <w:rsid w:val="0090163D"/>
    <w:rsid w:val="0090247E"/>
    <w:rsid w:val="00955321"/>
    <w:rsid w:val="00983870"/>
    <w:rsid w:val="00985ED1"/>
    <w:rsid w:val="0098714B"/>
    <w:rsid w:val="009A746C"/>
    <w:rsid w:val="00A07ED3"/>
    <w:rsid w:val="00A13E40"/>
    <w:rsid w:val="00A1776E"/>
    <w:rsid w:val="00A52E6C"/>
    <w:rsid w:val="00A61A38"/>
    <w:rsid w:val="00A67EEA"/>
    <w:rsid w:val="00A773DE"/>
    <w:rsid w:val="00AA60E4"/>
    <w:rsid w:val="00AB5C80"/>
    <w:rsid w:val="00AB791C"/>
    <w:rsid w:val="00AC07E6"/>
    <w:rsid w:val="00AC16D3"/>
    <w:rsid w:val="00AC2342"/>
    <w:rsid w:val="00AC3D1A"/>
    <w:rsid w:val="00AF39FB"/>
    <w:rsid w:val="00AF6D64"/>
    <w:rsid w:val="00B10874"/>
    <w:rsid w:val="00B15C88"/>
    <w:rsid w:val="00B16B73"/>
    <w:rsid w:val="00B233A2"/>
    <w:rsid w:val="00B32500"/>
    <w:rsid w:val="00B5230B"/>
    <w:rsid w:val="00B63128"/>
    <w:rsid w:val="00B72EF3"/>
    <w:rsid w:val="00B80CB8"/>
    <w:rsid w:val="00B8288D"/>
    <w:rsid w:val="00B871D5"/>
    <w:rsid w:val="00B94DCA"/>
    <w:rsid w:val="00BA7F2C"/>
    <w:rsid w:val="00BB058D"/>
    <w:rsid w:val="00BB4C1A"/>
    <w:rsid w:val="00BD776D"/>
    <w:rsid w:val="00C24C6A"/>
    <w:rsid w:val="00C4747B"/>
    <w:rsid w:val="00C525E9"/>
    <w:rsid w:val="00C578E7"/>
    <w:rsid w:val="00C95B42"/>
    <w:rsid w:val="00C965A4"/>
    <w:rsid w:val="00CA6F4F"/>
    <w:rsid w:val="00CB5243"/>
    <w:rsid w:val="00CC7E20"/>
    <w:rsid w:val="00CD092B"/>
    <w:rsid w:val="00CD2D72"/>
    <w:rsid w:val="00D2786C"/>
    <w:rsid w:val="00D27F0E"/>
    <w:rsid w:val="00D3499C"/>
    <w:rsid w:val="00D36AC8"/>
    <w:rsid w:val="00D42533"/>
    <w:rsid w:val="00D437AC"/>
    <w:rsid w:val="00D4534A"/>
    <w:rsid w:val="00D607F1"/>
    <w:rsid w:val="00D65A5B"/>
    <w:rsid w:val="00D710A1"/>
    <w:rsid w:val="00D7767B"/>
    <w:rsid w:val="00D829A6"/>
    <w:rsid w:val="00DA3240"/>
    <w:rsid w:val="00DB22E6"/>
    <w:rsid w:val="00DB34CD"/>
    <w:rsid w:val="00DB5BF2"/>
    <w:rsid w:val="00E23596"/>
    <w:rsid w:val="00E2720C"/>
    <w:rsid w:val="00E307AA"/>
    <w:rsid w:val="00E33C69"/>
    <w:rsid w:val="00E34D5B"/>
    <w:rsid w:val="00E35873"/>
    <w:rsid w:val="00E40FDC"/>
    <w:rsid w:val="00E46FF0"/>
    <w:rsid w:val="00E65D3C"/>
    <w:rsid w:val="00E775AD"/>
    <w:rsid w:val="00E97EFF"/>
    <w:rsid w:val="00EB7A45"/>
    <w:rsid w:val="00EC32FA"/>
    <w:rsid w:val="00EC5BED"/>
    <w:rsid w:val="00ED7F5E"/>
    <w:rsid w:val="00EE05D7"/>
    <w:rsid w:val="00EE2FAB"/>
    <w:rsid w:val="00EE6C1F"/>
    <w:rsid w:val="00EF288A"/>
    <w:rsid w:val="00EF7038"/>
    <w:rsid w:val="00EF7DDC"/>
    <w:rsid w:val="00F158CD"/>
    <w:rsid w:val="00F161FC"/>
    <w:rsid w:val="00F50938"/>
    <w:rsid w:val="00F50D89"/>
    <w:rsid w:val="00F65CFF"/>
    <w:rsid w:val="00F83292"/>
    <w:rsid w:val="00F908F3"/>
    <w:rsid w:val="00F92B90"/>
    <w:rsid w:val="00F96D24"/>
    <w:rsid w:val="00FB2127"/>
    <w:rsid w:val="00FC2C1A"/>
    <w:rsid w:val="00FE0036"/>
    <w:rsid w:val="00FE2457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375C02"/>
  <w15:docId w15:val="{9B1C86D0-F6C0-4C18-AD1F-825C306C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C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23C42"/>
  </w:style>
  <w:style w:type="paragraph" w:styleId="a5">
    <w:name w:val="footer"/>
    <w:basedOn w:val="a"/>
    <w:link w:val="a6"/>
    <w:uiPriority w:val="99"/>
    <w:unhideWhenUsed/>
    <w:rsid w:val="00123C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23C42"/>
  </w:style>
  <w:style w:type="paragraph" w:styleId="a7">
    <w:name w:val="footnote text"/>
    <w:basedOn w:val="a"/>
    <w:link w:val="a8"/>
    <w:uiPriority w:val="99"/>
    <w:semiHidden/>
    <w:unhideWhenUsed/>
    <w:rsid w:val="00123C42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semiHidden/>
    <w:rsid w:val="00123C42"/>
    <w:rPr>
      <w:sz w:val="20"/>
      <w:szCs w:val="20"/>
    </w:rPr>
  </w:style>
  <w:style w:type="character" w:styleId="a9">
    <w:name w:val="footnote reference"/>
    <w:aliases w:val="Footnote Reference Number,Footnote Reference_LVL6,Footnote Reference_LVL61,Footnote Reference_LVL62,Footnote Reference_LVL63,Footnote Reference_LVL64,fr,SUPERS,EN Footnote Reference,number,Footnote Reference,טקסט הערת שוליים חדש"/>
    <w:basedOn w:val="a0"/>
    <w:uiPriority w:val="99"/>
    <w:unhideWhenUsed/>
    <w:rsid w:val="00123C42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123C4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3C42"/>
    <w:pPr>
      <w:spacing w:after="0" w:line="240" w:lineRule="auto"/>
      <w:jc w:val="both"/>
    </w:pPr>
    <w:rPr>
      <w:rFonts w:ascii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123C42"/>
    <w:rPr>
      <w:rFonts w:ascii="Times New Roman" w:hAnsi="Times New Roman" w:cs="David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23C4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123C42"/>
    <w:rPr>
      <w:rFonts w:ascii="Tahoma" w:hAnsi="Tahoma" w:cs="Tahoma"/>
      <w:sz w:val="18"/>
      <w:szCs w:val="18"/>
    </w:rPr>
  </w:style>
  <w:style w:type="paragraph" w:styleId="af">
    <w:name w:val="List Paragraph"/>
    <w:basedOn w:val="a"/>
    <w:uiPriority w:val="34"/>
    <w:qFormat/>
    <w:rsid w:val="00123C42"/>
    <w:pPr>
      <w:ind w:left="720"/>
      <w:contextualSpacing/>
    </w:p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35031A"/>
    <w:pPr>
      <w:spacing w:after="160"/>
      <w:jc w:val="left"/>
    </w:pPr>
    <w:rPr>
      <w:rFonts w:asciiTheme="minorHAnsi" w:hAnsiTheme="minorHAnsi" w:cstheme="minorBidi"/>
      <w:b/>
      <w:bCs/>
    </w:rPr>
  </w:style>
  <w:style w:type="character" w:customStyle="1" w:styleId="af1">
    <w:name w:val="נושא הערה תו"/>
    <w:basedOn w:val="ac"/>
    <w:link w:val="af0"/>
    <w:uiPriority w:val="99"/>
    <w:semiHidden/>
    <w:rsid w:val="0035031A"/>
    <w:rPr>
      <w:rFonts w:ascii="Times New Roman" w:hAnsi="Times New Roman" w:cs="David"/>
      <w:b/>
      <w:bCs/>
      <w:sz w:val="20"/>
      <w:szCs w:val="20"/>
    </w:rPr>
  </w:style>
  <w:style w:type="paragraph" w:styleId="af2">
    <w:name w:val="Revision"/>
    <w:hidden/>
    <w:uiPriority w:val="99"/>
    <w:semiHidden/>
    <w:rsid w:val="002F18D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1D3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1D3E3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mvsrvpikuah\VPIKUAH\PIKUAHJR\mehkar\&#1502;&#1489;&#1495;&#1504;&#1497;%20&#1511;&#1497;&#1510;&#1493;&#1503;\&#1514;&#1512;&#1495;&#1497;&#1513;%202018\&#1514;&#1497;&#1489;&#1492;%20&#1500;&#1505;&#1511;&#1497;&#1512;&#1492;\&#1514;&#1497;&#1489;&#1492;-%20&#1514;&#1493;&#1510;&#1488;&#1493;&#1514;%20&#1502;&#1489;&#1495;&#1503;\&#1488;&#1497;&#1493;&#1512;%20&#1502;&#1497;&#1504;-&#1502;&#1511;&#1505;%20&#1492;&#1493;&#1503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2.xml"/><Relationship Id="rId4" Type="http://schemas.openxmlformats.org/officeDocument/2006/relationships/oleObject" Target="file:///\\mvsrvpikuah\VPIKUAH\PIKUAHJR\mehkar\&#1502;&#1489;&#1495;&#1504;&#1497;%20&#1511;&#1497;&#1510;&#1493;&#1503;\&#1514;&#1512;&#1495;&#1497;&#1513;%202018\&#1514;&#1497;&#1489;&#1492;%20&#1500;&#1505;&#1511;&#1497;&#1512;&#1492;\&#1514;&#1497;&#1489;&#1492;-%20&#1514;&#1493;&#1510;&#1488;&#1493;&#1514;%20&#1502;&#1489;&#1495;&#1503;\&#1492;&#1514;&#1508;&#1514;&#1495;&#1493;&#1514;%20&#1492;&#1514;&#1513;&#1493;&#1488;&#1492;%20&#1500;&#1492;&#1493;&#1503;%20-%20&#1502;&#1497;&#1504;%20&#1493;&#1502;&#1511;&#150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\\mvsrvpikuah\VPIKUAH\PIKUAHJR\mehkar\&#1502;&#1489;&#1495;&#1504;&#1497;%20&#1511;&#1497;&#1510;&#1493;&#1503;\&#1514;&#1512;&#1495;&#1497;&#1513;%202018\&#1514;&#1497;&#1489;&#1492;%20&#1500;&#1505;&#1511;&#1497;&#1512;&#1492;\&#1514;&#1497;&#1489;&#1492;-%20&#1514;&#1493;&#1510;&#1488;&#1493;&#1514;%20&#1502;&#1489;&#1495;&#1503;\&#1502;&#1513;&#1511;&#1500;%20&#1511;&#1489;&#1493;&#1510;&#1493;&#1514;%20&#1500;&#1493;&#1493;&#1497;&#1501;-%20&#1492;&#1497;&#1505;&#1496;&#1493;&#1512;&#1497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\\mvsrvpikuah\VPIKUAH\PIKUAHJR\mehkar\&#1502;&#1489;&#1495;&#1504;&#1497;%20&#1511;&#1497;&#1510;&#1493;&#1503;\&#1514;&#1512;&#1495;&#1497;&#1513;%202018\&#1514;&#1497;&#1489;&#1492;%20&#1500;&#1505;&#1511;&#1497;&#1512;&#1492;\&#1514;&#1497;&#1489;&#1492;-%20&#1514;&#1493;&#1510;&#1488;&#1493;&#1514;%20&#1502;&#1489;&#1495;&#1503;\&#1512;&#1491;&#1488;&#1512;-%20&#1513;&#1497;&#1506;&#1493;&#1512;&#1497;%20&#1492;&#1508;&#1505;&#1491;-%20&#1489;&#1497;&#1495;&#1505;%20&#1500;&#1506;&#1504;&#1507;%20&#1493;&#1489;&#1497;&#1495;&#1505;%20&#1500;&#1492;&#1493;&#1503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he-IL" sz="1100"/>
              <a:t>התפתחות יחס ההון העצמי רובד 1,</a:t>
            </a:r>
            <a:r>
              <a:rPr lang="en-US" sz="1100"/>
              <a:t> </a:t>
            </a:r>
            <a:r>
              <a:rPr lang="he-IL" sz="1100"/>
              <a:t>לפי</a:t>
            </a:r>
            <a:r>
              <a:rPr lang="he-IL" sz="1100" baseline="0"/>
              <a:t> תרחיש הקיצון של הפיקוח על הבנקים</a:t>
            </a:r>
            <a:r>
              <a:rPr lang="he-IL" sz="1100"/>
              <a:t>, סך המערכת, 2018-2021 </a:t>
            </a:r>
            <a:r>
              <a:rPr lang="he-IL" sz="1100" baseline="30000"/>
              <a:t>1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0702193827516245E-2"/>
          <c:y val="0.1287234465164267"/>
          <c:w val="0.88579813453354828"/>
          <c:h val="0.63838290073375359"/>
        </c:manualLayout>
      </c:layout>
      <c:lineChart>
        <c:grouping val="standard"/>
        <c:varyColors val="0"/>
        <c:ser>
          <c:idx val="1"/>
          <c:order val="0"/>
          <c:tx>
            <c:strRef>
              <c:f>'מינמקס הון'!$R$22</c:f>
              <c:strCache>
                <c:ptCount val="1"/>
                <c:pt idx="0">
                  <c:v>מקסימום</c:v>
                </c:pt>
              </c:strCache>
            </c:strRef>
          </c:tx>
          <c:spPr>
            <a:ln w="28575">
              <a:noFill/>
            </a:ln>
          </c:spPr>
          <c:marker>
            <c:symbol val="dash"/>
            <c:size val="7"/>
            <c:spPr>
              <a:solidFill>
                <a:srgbClr val="00B050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804135517252496E-2"/>
                  <c:y val="-2.4820405736575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3E7-47B6-8AC4-B119EA495F19}"/>
                </c:ext>
              </c:extLst>
            </c:dLbl>
            <c:dLbl>
              <c:idx val="1"/>
              <c:layout>
                <c:manualLayout>
                  <c:x val="-4.7111944500797219E-2"/>
                  <c:y val="-2.2574788648656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3E7-47B6-8AC4-B119EA495F19}"/>
                </c:ext>
              </c:extLst>
            </c:dLbl>
            <c:dLbl>
              <c:idx val="4"/>
              <c:layout>
                <c:manualLayout>
                  <c:x val="-2.396234488660676E-2"/>
                  <c:y val="-2.2169437846397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E7-47B6-8AC4-B119EA495F1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3333FF"/>
                    </a:solidFill>
                  </a:defRPr>
                </a:pPr>
                <a:endParaRPr lang="he-I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'מינמקס הון'!$Q$27:$Q$30</c:f>
              <c:numCache>
                <c:formatCode>m/d/yyyy</c:formatCode>
                <c:ptCount val="4"/>
                <c:pt idx="0">
                  <c:v>43465</c:v>
                </c:pt>
                <c:pt idx="1">
                  <c:v>43830</c:v>
                </c:pt>
                <c:pt idx="2">
                  <c:v>44196</c:v>
                </c:pt>
                <c:pt idx="3">
                  <c:v>44561</c:v>
                </c:pt>
              </c:numCache>
            </c:numRef>
          </c:cat>
          <c:val>
            <c:numRef>
              <c:f>'מינמקס הון'!$R$27:$R$30</c:f>
              <c:numCache>
                <c:formatCode>_(* #,##0.00_);_(* \(#,##0.00\);_(* "-"??_);_(@_)</c:formatCode>
                <c:ptCount val="4"/>
                <c:pt idx="0">
                  <c:v>11.50236958070191</c:v>
                </c:pt>
                <c:pt idx="1">
                  <c:v>10.623779819415567</c:v>
                </c:pt>
                <c:pt idx="2">
                  <c:v>11.080895930487298</c:v>
                </c:pt>
                <c:pt idx="3">
                  <c:v>11.926745817185745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3E7-47B6-8AC4-B119EA495F19}"/>
            </c:ext>
          </c:extLst>
        </c:ser>
        <c:ser>
          <c:idx val="0"/>
          <c:order val="1"/>
          <c:tx>
            <c:strRef>
              <c:f>'מינמקס הון'!$T$22</c:f>
              <c:strCache>
                <c:ptCount val="1"/>
                <c:pt idx="0">
                  <c:v>סך המערכת</c:v>
                </c:pt>
              </c:strCache>
            </c:strRef>
          </c:tx>
          <c:spPr>
            <a:ln w="28575">
              <a:noFill/>
            </a:ln>
          </c:spPr>
          <c:marker>
            <c:symbol val="dash"/>
            <c:size val="7"/>
            <c:spPr>
              <a:solidFill>
                <a:schemeClr val="tx1"/>
              </a:solidFill>
              <a:ln>
                <a:solidFill>
                  <a:schemeClr val="tx1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0654038158545881E-2"/>
                  <c:y val="2.7318919389219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3E7-47B6-8AC4-B119EA495F19}"/>
                </c:ext>
              </c:extLst>
            </c:dLbl>
            <c:dLbl>
              <c:idx val="1"/>
              <c:layout>
                <c:manualLayout>
                  <c:x val="-3.0004278990158322E-2"/>
                  <c:y val="2.85035629453681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3E7-47B6-8AC4-B119EA495F19}"/>
                </c:ext>
              </c:extLst>
            </c:dLbl>
            <c:dLbl>
              <c:idx val="4"/>
              <c:layout>
                <c:manualLayout>
                  <c:x val="1.0894241557417646E-2"/>
                  <c:y val="-2.4937500389648443E-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3E7-47B6-8AC4-B119EA495F1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'מינמקס הון'!$Q$27:$Q$30</c:f>
              <c:numCache>
                <c:formatCode>m/d/yyyy</c:formatCode>
                <c:ptCount val="4"/>
                <c:pt idx="0">
                  <c:v>43465</c:v>
                </c:pt>
                <c:pt idx="1">
                  <c:v>43830</c:v>
                </c:pt>
                <c:pt idx="2">
                  <c:v>44196</c:v>
                </c:pt>
                <c:pt idx="3">
                  <c:v>44561</c:v>
                </c:pt>
              </c:numCache>
            </c:numRef>
          </c:cat>
          <c:val>
            <c:numRef>
              <c:f>'מינמקס הון'!$T$27:$T$30</c:f>
              <c:numCache>
                <c:formatCode>_(* #,##0.00_);_(* \(#,##0.00\);_(* "-"??_);_(@_)</c:formatCode>
                <c:ptCount val="4"/>
                <c:pt idx="0">
                  <c:v>11.025150481903639</c:v>
                </c:pt>
                <c:pt idx="1">
                  <c:v>10.161847662056504</c:v>
                </c:pt>
                <c:pt idx="2">
                  <c:v>10.377967461457464</c:v>
                </c:pt>
                <c:pt idx="3">
                  <c:v>10.971417518912457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3E7-47B6-8AC4-B119EA495F19}"/>
            </c:ext>
          </c:extLst>
        </c:ser>
        <c:ser>
          <c:idx val="2"/>
          <c:order val="2"/>
          <c:tx>
            <c:strRef>
              <c:f>'מינמקס הון'!$S$22</c:f>
              <c:strCache>
                <c:ptCount val="1"/>
                <c:pt idx="0">
                  <c:v>מינימום</c:v>
                </c:pt>
              </c:strCache>
            </c:strRef>
          </c:tx>
          <c:spPr>
            <a:ln w="28575">
              <a:noFill/>
            </a:ln>
          </c:spPr>
          <c:marker>
            <c:symbol val="dash"/>
            <c:size val="7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2529164952382376E-2"/>
                  <c:y val="3.4837661866852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83E7-47B6-8AC4-B119EA495F19}"/>
                </c:ext>
              </c:extLst>
            </c:dLbl>
            <c:dLbl>
              <c:idx val="4"/>
              <c:layout>
                <c:manualLayout>
                  <c:x val="-2.0539152759948651E-2"/>
                  <c:y val="2.5336500395882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3E7-47B6-8AC4-B119EA495F1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he-I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'מינמקס הון'!$Q$27:$Q$30</c:f>
              <c:numCache>
                <c:formatCode>m/d/yyyy</c:formatCode>
                <c:ptCount val="4"/>
                <c:pt idx="0">
                  <c:v>43465</c:v>
                </c:pt>
                <c:pt idx="1">
                  <c:v>43830</c:v>
                </c:pt>
                <c:pt idx="2">
                  <c:v>44196</c:v>
                </c:pt>
                <c:pt idx="3">
                  <c:v>44561</c:v>
                </c:pt>
              </c:numCache>
            </c:numRef>
          </c:cat>
          <c:val>
            <c:numRef>
              <c:f>'מינמקס הון'!$S$27:$S$30</c:f>
              <c:numCache>
                <c:formatCode>_(* #,##0.00_);_(* \(#,##0.00\);_(* "-"??_);_(@_)</c:formatCode>
                <c:ptCount val="4"/>
                <c:pt idx="0">
                  <c:v>10.020845505637116</c:v>
                </c:pt>
                <c:pt idx="1">
                  <c:v>7.7311560490277413</c:v>
                </c:pt>
                <c:pt idx="2">
                  <c:v>7.2879618242756861</c:v>
                </c:pt>
                <c:pt idx="3">
                  <c:v>7.6211727587089646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83E7-47B6-8AC4-B119EA495F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</c:spPr>
          </c:upBars>
          <c:downBars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</c:spPr>
          </c:downBars>
        </c:upDownBars>
        <c:marker val="1"/>
        <c:smooth val="0"/>
        <c:axId val="48392832"/>
        <c:axId val="48415104"/>
      </c:lineChart>
      <c:catAx>
        <c:axId val="48392832"/>
        <c:scaling>
          <c:orientation val="minMax"/>
        </c:scaling>
        <c:delete val="0"/>
        <c:axPos val="b"/>
        <c:numFmt formatCode="yyyy" sourceLinked="0"/>
        <c:majorTickMark val="none"/>
        <c:minorTickMark val="none"/>
        <c:tickLblPos val="low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b="0"/>
            </a:pPr>
            <a:endParaRPr lang="he-IL"/>
          </a:p>
        </c:txPr>
        <c:crossAx val="48415104"/>
        <c:crosses val="autoZero"/>
        <c:auto val="0"/>
        <c:lblAlgn val="ctr"/>
        <c:lblOffset val="100"/>
        <c:tickLblSkip val="1"/>
        <c:tickMarkSkip val="4"/>
        <c:noMultiLvlLbl val="0"/>
      </c:catAx>
      <c:valAx>
        <c:axId val="48415104"/>
        <c:scaling>
          <c:orientation val="minMax"/>
          <c:min val="5"/>
        </c:scaling>
        <c:delete val="0"/>
        <c:axPos val="l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he-IL" b="0"/>
                  <a:t>אחוזים</a:t>
                </a:r>
              </a:p>
            </c:rich>
          </c:tx>
          <c:layout>
            <c:manualLayout>
              <c:xMode val="edge"/>
              <c:yMode val="edge"/>
              <c:x val="0"/>
              <c:y val="6.1438494221371501E-2"/>
            </c:manualLayout>
          </c:layout>
          <c:overlay val="0"/>
        </c:title>
        <c:numFmt formatCode="#,##0" sourceLinked="0"/>
        <c:majorTickMark val="in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b="0"/>
            </a:pPr>
            <a:endParaRPr lang="he-IL"/>
          </a:p>
        </c:txPr>
        <c:crossAx val="48392832"/>
        <c:crosses val="autoZero"/>
        <c:crossBetween val="between"/>
      </c:valAx>
      <c:spPr>
        <a:solidFill>
          <a:schemeClr val="bg1"/>
        </a:solidFill>
        <a:ln w="12700">
          <a:solidFill>
            <a:schemeClr val="tx1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850677627560706"/>
          <c:y val="0.8297151484826939"/>
          <c:w val="0.41769348013888208"/>
          <c:h val="5.824700006144716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b="0"/>
          </a:pPr>
          <a:endParaRPr lang="he-IL"/>
        </a:p>
      </c:txPr>
    </c:legend>
    <c:plotVisOnly val="1"/>
    <c:dispBlanksAs val="gap"/>
    <c:showDLblsOverMax val="0"/>
  </c:chart>
  <c:spPr>
    <a:solidFill>
      <a:srgbClr val="D4EFFC"/>
    </a:solidFill>
    <a:ln w="3175" cmpd="sng">
      <a:solidFill>
        <a:schemeClr val="bg1">
          <a:lumMod val="50000"/>
        </a:schemeClr>
      </a:solidFill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David" pitchFamily="34" charset="-79"/>
          <a:ea typeface="Arial"/>
          <a:cs typeface="David" pitchFamily="34" charset="-79"/>
        </a:defRPr>
      </a:pPr>
      <a:endParaRPr lang="he-IL"/>
    </a:p>
  </c:txPr>
  <c:externalData r:id="rId2">
    <c:autoUpdate val="1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he-IL" sz="1050" b="1">
                <a:solidFill>
                  <a:sysClr val="windowText" lastClr="000000"/>
                </a:solidFill>
              </a:rPr>
              <a:t>התפתחות התשואה להון לפי תרחיש הקיצון של הפיקוח על הבנקים, </a:t>
            </a:r>
          </a:p>
          <a:p>
            <a:pPr>
              <a:defRPr sz="1050" b="1">
                <a:solidFill>
                  <a:sysClr val="windowText" lastClr="000000"/>
                </a:solidFill>
              </a:defRPr>
            </a:pPr>
            <a:r>
              <a:rPr lang="he-IL" sz="1050" b="1">
                <a:solidFill>
                  <a:sysClr val="windowText" lastClr="000000"/>
                </a:solidFill>
              </a:rPr>
              <a:t>סך המערכת, 2004 עד 2021 </a:t>
            </a:r>
            <a:r>
              <a:rPr lang="he-IL" sz="1050" b="1" baseline="30000">
                <a:solidFill>
                  <a:sysClr val="windowText" lastClr="000000"/>
                </a:solidFill>
              </a:rPr>
              <a:t>1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7.6659874388376278E-2"/>
          <c:y val="0.14457126250860253"/>
          <c:w val="0.88420293125539207"/>
          <c:h val="0.67370863532017922"/>
        </c:manualLayout>
      </c:layout>
      <c:lineChart>
        <c:grouping val="standard"/>
        <c:varyColors val="0"/>
        <c:ser>
          <c:idx val="1"/>
          <c:order val="0"/>
          <c:tx>
            <c:strRef>
              <c:f>גיליון2!$B$1</c:f>
              <c:strCache>
                <c:ptCount val="1"/>
                <c:pt idx="0">
                  <c:v>מקסימום ROE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numRef>
              <c:f>גיליון2!$A$2:$A$19</c:f>
              <c:numCache>
                <c:formatCode>m/d/yyyy</c:formatCode>
                <c:ptCount val="18"/>
                <c:pt idx="0">
                  <c:v>38352</c:v>
                </c:pt>
                <c:pt idx="1">
                  <c:v>38717</c:v>
                </c:pt>
                <c:pt idx="2">
                  <c:v>39082</c:v>
                </c:pt>
                <c:pt idx="3">
                  <c:v>39447</c:v>
                </c:pt>
                <c:pt idx="4">
                  <c:v>39813</c:v>
                </c:pt>
                <c:pt idx="5">
                  <c:v>40178</c:v>
                </c:pt>
                <c:pt idx="6">
                  <c:v>40543</c:v>
                </c:pt>
                <c:pt idx="7">
                  <c:v>40908</c:v>
                </c:pt>
                <c:pt idx="8">
                  <c:v>41274</c:v>
                </c:pt>
                <c:pt idx="9">
                  <c:v>41639</c:v>
                </c:pt>
                <c:pt idx="10">
                  <c:v>42004</c:v>
                </c:pt>
                <c:pt idx="11">
                  <c:v>42369</c:v>
                </c:pt>
                <c:pt idx="12">
                  <c:v>42735</c:v>
                </c:pt>
                <c:pt idx="13">
                  <c:v>43100</c:v>
                </c:pt>
                <c:pt idx="14">
                  <c:v>43465</c:v>
                </c:pt>
                <c:pt idx="15">
                  <c:v>43830</c:v>
                </c:pt>
                <c:pt idx="16">
                  <c:v>44196</c:v>
                </c:pt>
                <c:pt idx="17">
                  <c:v>44561</c:v>
                </c:pt>
              </c:numCache>
            </c:numRef>
          </c:cat>
          <c:val>
            <c:numRef>
              <c:f>גיליון2!$B$2:$B$19</c:f>
              <c:numCache>
                <c:formatCode>General</c:formatCode>
                <c:ptCount val="18"/>
                <c:pt idx="0">
                  <c:v>12.164231303439054</c:v>
                </c:pt>
                <c:pt idx="1">
                  <c:v>14.307616919971128</c:v>
                </c:pt>
                <c:pt idx="2">
                  <c:v>17.020403033819576</c:v>
                </c:pt>
                <c:pt idx="3">
                  <c:v>15.411691851880056</c:v>
                </c:pt>
                <c:pt idx="4">
                  <c:v>0.50736283902743451</c:v>
                </c:pt>
                <c:pt idx="5">
                  <c:v>8.7611990547355862</c:v>
                </c:pt>
                <c:pt idx="6">
                  <c:v>9.6877578157771822</c:v>
                </c:pt>
                <c:pt idx="7">
                  <c:v>10.05393033824323</c:v>
                </c:pt>
                <c:pt idx="8">
                  <c:v>7.8172369866604292</c:v>
                </c:pt>
                <c:pt idx="9">
                  <c:v>8.6149648002186865</c:v>
                </c:pt>
                <c:pt idx="10">
                  <c:v>7.1345171223283907</c:v>
                </c:pt>
                <c:pt idx="11">
                  <c:v>8.9840236882541191</c:v>
                </c:pt>
                <c:pt idx="12">
                  <c:v>8.0672401530301023</c:v>
                </c:pt>
                <c:pt idx="13">
                  <c:v>8.6997068997308151</c:v>
                </c:pt>
                <c:pt idx="14">
                  <c:v>8.9212284347291515</c:v>
                </c:pt>
                <c:pt idx="15">
                  <c:v>11.136883099607562</c:v>
                </c:pt>
                <c:pt idx="16">
                  <c:v>7.2013451546759537</c:v>
                </c:pt>
                <c:pt idx="17">
                  <c:v>5.3620759216035871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11-42E6-825B-4322B01695F4}"/>
            </c:ext>
          </c:extLst>
        </c:ser>
        <c:ser>
          <c:idx val="2"/>
          <c:order val="1"/>
          <c:tx>
            <c:strRef>
              <c:f>גיליון2!$C$1</c:f>
              <c:strCache>
                <c:ptCount val="1"/>
                <c:pt idx="0">
                  <c:v>מינימום ROE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גיליון2!$A$2:$A$19</c:f>
              <c:numCache>
                <c:formatCode>m/d/yyyy</c:formatCode>
                <c:ptCount val="18"/>
                <c:pt idx="0">
                  <c:v>38352</c:v>
                </c:pt>
                <c:pt idx="1">
                  <c:v>38717</c:v>
                </c:pt>
                <c:pt idx="2">
                  <c:v>39082</c:v>
                </c:pt>
                <c:pt idx="3">
                  <c:v>39447</c:v>
                </c:pt>
                <c:pt idx="4">
                  <c:v>39813</c:v>
                </c:pt>
                <c:pt idx="5">
                  <c:v>40178</c:v>
                </c:pt>
                <c:pt idx="6">
                  <c:v>40543</c:v>
                </c:pt>
                <c:pt idx="7">
                  <c:v>40908</c:v>
                </c:pt>
                <c:pt idx="8">
                  <c:v>41274</c:v>
                </c:pt>
                <c:pt idx="9">
                  <c:v>41639</c:v>
                </c:pt>
                <c:pt idx="10">
                  <c:v>42004</c:v>
                </c:pt>
                <c:pt idx="11">
                  <c:v>42369</c:v>
                </c:pt>
                <c:pt idx="12">
                  <c:v>42735</c:v>
                </c:pt>
                <c:pt idx="13">
                  <c:v>43100</c:v>
                </c:pt>
                <c:pt idx="14">
                  <c:v>43465</c:v>
                </c:pt>
                <c:pt idx="15">
                  <c:v>43830</c:v>
                </c:pt>
                <c:pt idx="16">
                  <c:v>44196</c:v>
                </c:pt>
                <c:pt idx="17">
                  <c:v>44561</c:v>
                </c:pt>
              </c:numCache>
            </c:numRef>
          </c:cat>
          <c:val>
            <c:numRef>
              <c:f>גיליון2!$C$2:$C$19</c:f>
              <c:numCache>
                <c:formatCode>General</c:formatCode>
                <c:ptCount val="18"/>
                <c:pt idx="0">
                  <c:v>12.164231303439054</c:v>
                </c:pt>
                <c:pt idx="1">
                  <c:v>14.307616919971128</c:v>
                </c:pt>
                <c:pt idx="2">
                  <c:v>17.020403033819576</c:v>
                </c:pt>
                <c:pt idx="3">
                  <c:v>15.411691851880056</c:v>
                </c:pt>
                <c:pt idx="4">
                  <c:v>0.50736283902743451</c:v>
                </c:pt>
                <c:pt idx="5">
                  <c:v>8.7611990547355862</c:v>
                </c:pt>
                <c:pt idx="6">
                  <c:v>9.6877578157771822</c:v>
                </c:pt>
                <c:pt idx="7">
                  <c:v>10.05393033824323</c:v>
                </c:pt>
                <c:pt idx="8">
                  <c:v>7.8172369866604292</c:v>
                </c:pt>
                <c:pt idx="9">
                  <c:v>8.6149648002186865</c:v>
                </c:pt>
                <c:pt idx="10">
                  <c:v>7.1345171223283907</c:v>
                </c:pt>
                <c:pt idx="11">
                  <c:v>8.9840236882541191</c:v>
                </c:pt>
                <c:pt idx="12">
                  <c:v>8.0672401530301023</c:v>
                </c:pt>
                <c:pt idx="13">
                  <c:v>8.6997068997308151</c:v>
                </c:pt>
                <c:pt idx="14">
                  <c:v>3.6535241687677487</c:v>
                </c:pt>
                <c:pt idx="15">
                  <c:v>-0.10650215043162671</c:v>
                </c:pt>
                <c:pt idx="16">
                  <c:v>-5.2999653711268735</c:v>
                </c:pt>
                <c:pt idx="17">
                  <c:v>-9.7002738724427378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11-42E6-825B-4322B01695F4}"/>
            </c:ext>
          </c:extLst>
        </c:ser>
        <c:ser>
          <c:idx val="3"/>
          <c:order val="2"/>
          <c:tx>
            <c:v>ממוצע ROE במערכת</c:v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גיליון2!$A$2:$A$19</c:f>
              <c:numCache>
                <c:formatCode>m/d/yyyy</c:formatCode>
                <c:ptCount val="18"/>
                <c:pt idx="0">
                  <c:v>38352</c:v>
                </c:pt>
                <c:pt idx="1">
                  <c:v>38717</c:v>
                </c:pt>
                <c:pt idx="2">
                  <c:v>39082</c:v>
                </c:pt>
                <c:pt idx="3">
                  <c:v>39447</c:v>
                </c:pt>
                <c:pt idx="4">
                  <c:v>39813</c:v>
                </c:pt>
                <c:pt idx="5">
                  <c:v>40178</c:v>
                </c:pt>
                <c:pt idx="6">
                  <c:v>40543</c:v>
                </c:pt>
                <c:pt idx="7">
                  <c:v>40908</c:v>
                </c:pt>
                <c:pt idx="8">
                  <c:v>41274</c:v>
                </c:pt>
                <c:pt idx="9">
                  <c:v>41639</c:v>
                </c:pt>
                <c:pt idx="10">
                  <c:v>42004</c:v>
                </c:pt>
                <c:pt idx="11">
                  <c:v>42369</c:v>
                </c:pt>
                <c:pt idx="12">
                  <c:v>42735</c:v>
                </c:pt>
                <c:pt idx="13">
                  <c:v>43100</c:v>
                </c:pt>
                <c:pt idx="14">
                  <c:v>43465</c:v>
                </c:pt>
                <c:pt idx="15">
                  <c:v>43830</c:v>
                </c:pt>
                <c:pt idx="16">
                  <c:v>44196</c:v>
                </c:pt>
                <c:pt idx="17">
                  <c:v>44561</c:v>
                </c:pt>
              </c:numCache>
            </c:numRef>
          </c:cat>
          <c:val>
            <c:numRef>
              <c:f>גיליון2!$I$2:$I$19</c:f>
              <c:numCache>
                <c:formatCode>General</c:formatCode>
                <c:ptCount val="18"/>
                <c:pt idx="0">
                  <c:v>12.164231303439054</c:v>
                </c:pt>
                <c:pt idx="1">
                  <c:v>14.307616919971128</c:v>
                </c:pt>
                <c:pt idx="2">
                  <c:v>17.020403033819576</c:v>
                </c:pt>
                <c:pt idx="3">
                  <c:v>15.411691851880056</c:v>
                </c:pt>
                <c:pt idx="4">
                  <c:v>0.50736283902743451</c:v>
                </c:pt>
                <c:pt idx="5">
                  <c:v>8.7611990547355862</c:v>
                </c:pt>
                <c:pt idx="6">
                  <c:v>9.6877578157771822</c:v>
                </c:pt>
                <c:pt idx="7">
                  <c:v>10.05393033824323</c:v>
                </c:pt>
                <c:pt idx="8">
                  <c:v>7.8172369866604292</c:v>
                </c:pt>
                <c:pt idx="9">
                  <c:v>8.6149648002186865</c:v>
                </c:pt>
                <c:pt idx="10">
                  <c:v>7.1345171223283907</c:v>
                </c:pt>
                <c:pt idx="11">
                  <c:v>8.9840236882541191</c:v>
                </c:pt>
                <c:pt idx="12">
                  <c:v>8.0672401530301023</c:v>
                </c:pt>
                <c:pt idx="13">
                  <c:v>8.6997068997308151</c:v>
                </c:pt>
                <c:pt idx="14" formatCode="0.0">
                  <c:v>7.2001673785173761</c:v>
                </c:pt>
                <c:pt idx="15" formatCode="0.0">
                  <c:v>5.2767803200256518</c:v>
                </c:pt>
                <c:pt idx="16" formatCode="0.0">
                  <c:v>3.3787218269141475</c:v>
                </c:pt>
                <c:pt idx="17" formatCode="0.0">
                  <c:v>2.3167146625030743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111-42E6-825B-4322B01695F4}"/>
            </c:ext>
          </c:extLst>
        </c:ser>
        <c:ser>
          <c:idx val="0"/>
          <c:order val="3"/>
          <c:tx>
            <c:strRef>
              <c:f>גיליון2!$H$1</c:f>
              <c:strCache>
                <c:ptCount val="1"/>
                <c:pt idx="0">
                  <c:v>ROE היסטורי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גיליון2!$A$2:$A$19</c:f>
              <c:numCache>
                <c:formatCode>m/d/yyyy</c:formatCode>
                <c:ptCount val="18"/>
                <c:pt idx="0">
                  <c:v>38352</c:v>
                </c:pt>
                <c:pt idx="1">
                  <c:v>38717</c:v>
                </c:pt>
                <c:pt idx="2">
                  <c:v>39082</c:v>
                </c:pt>
                <c:pt idx="3">
                  <c:v>39447</c:v>
                </c:pt>
                <c:pt idx="4">
                  <c:v>39813</c:v>
                </c:pt>
                <c:pt idx="5">
                  <c:v>40178</c:v>
                </c:pt>
                <c:pt idx="6">
                  <c:v>40543</c:v>
                </c:pt>
                <c:pt idx="7">
                  <c:v>40908</c:v>
                </c:pt>
                <c:pt idx="8">
                  <c:v>41274</c:v>
                </c:pt>
                <c:pt idx="9">
                  <c:v>41639</c:v>
                </c:pt>
                <c:pt idx="10">
                  <c:v>42004</c:v>
                </c:pt>
                <c:pt idx="11">
                  <c:v>42369</c:v>
                </c:pt>
                <c:pt idx="12">
                  <c:v>42735</c:v>
                </c:pt>
                <c:pt idx="13">
                  <c:v>43100</c:v>
                </c:pt>
                <c:pt idx="14">
                  <c:v>43465</c:v>
                </c:pt>
                <c:pt idx="15">
                  <c:v>43830</c:v>
                </c:pt>
                <c:pt idx="16">
                  <c:v>44196</c:v>
                </c:pt>
                <c:pt idx="17">
                  <c:v>44561</c:v>
                </c:pt>
              </c:numCache>
            </c:numRef>
          </c:cat>
          <c:val>
            <c:numRef>
              <c:f>גיליון2!$H$2:$H$19</c:f>
              <c:numCache>
                <c:formatCode>General</c:formatCode>
                <c:ptCount val="18"/>
                <c:pt idx="0">
                  <c:v>12.164231303439054</c:v>
                </c:pt>
                <c:pt idx="1">
                  <c:v>14.307616919971128</c:v>
                </c:pt>
                <c:pt idx="2">
                  <c:v>17.020403033819576</c:v>
                </c:pt>
                <c:pt idx="3">
                  <c:v>15.411691851880056</c:v>
                </c:pt>
                <c:pt idx="4">
                  <c:v>0.50736283902743451</c:v>
                </c:pt>
                <c:pt idx="5">
                  <c:v>8.7611990547355862</c:v>
                </c:pt>
                <c:pt idx="6">
                  <c:v>9.6877578157771822</c:v>
                </c:pt>
                <c:pt idx="7">
                  <c:v>10.05393033824323</c:v>
                </c:pt>
                <c:pt idx="8">
                  <c:v>7.8172369866604292</c:v>
                </c:pt>
                <c:pt idx="9">
                  <c:v>8.6149648002186865</c:v>
                </c:pt>
                <c:pt idx="10">
                  <c:v>7.1345171223283907</c:v>
                </c:pt>
                <c:pt idx="11">
                  <c:v>8.9840236882541191</c:v>
                </c:pt>
                <c:pt idx="12">
                  <c:v>8.0672401530301023</c:v>
                </c:pt>
                <c:pt idx="13">
                  <c:v>8.6997068997308151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111-42E6-825B-4322B01695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967168"/>
        <c:axId val="58968704"/>
      </c:lineChart>
      <c:dateAx>
        <c:axId val="58967168"/>
        <c:scaling>
          <c:orientation val="minMax"/>
        </c:scaling>
        <c:delete val="0"/>
        <c:axPos val="b"/>
        <c:numFmt formatCode="yy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58968704"/>
        <c:crosses val="autoZero"/>
        <c:auto val="1"/>
        <c:lblOffset val="100"/>
        <c:baseTimeUnit val="years"/>
      </c:dateAx>
      <c:valAx>
        <c:axId val="5896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r>
                  <a:rPr lang="he-IL">
                    <a:solidFill>
                      <a:sysClr val="windowText" lastClr="000000"/>
                    </a:solidFill>
                  </a:rPr>
                  <a:t>אחוזים</a:t>
                </a:r>
              </a:p>
            </c:rich>
          </c:tx>
          <c:layout>
            <c:manualLayout>
              <c:xMode val="edge"/>
              <c:yMode val="edge"/>
              <c:x val="3.2021340836916823E-2"/>
              <c:y val="7.44294118555019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David" panose="020E0502060401010101" pitchFamily="34" charset="-79"/>
                  <a:ea typeface="+mn-ea"/>
                  <a:cs typeface="David" panose="020E0502060401010101" pitchFamily="34" charset="-79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58967168"/>
        <c:crosses val="autoZero"/>
        <c:crossBetween val="midCat"/>
      </c:valAx>
      <c:spPr>
        <a:solidFill>
          <a:schemeClr val="bg1"/>
        </a:solidFill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16735689045045454"/>
          <c:y val="0.84869813663670601"/>
          <c:w val="0.75357495611612701"/>
          <c:h val="4.8673908896366733E-2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 rtl="1">
            <a:defRPr sz="800" b="0" i="0" u="none" strike="noStrike" kern="120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rgbClr val="D4EFFC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latin typeface="David" panose="020E0502060401010101" pitchFamily="34" charset="-79"/>
          <a:cs typeface="David" panose="020E0502060401010101" pitchFamily="34" charset="-79"/>
        </a:defRPr>
      </a:pPr>
      <a:endParaRPr lang="he-IL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he-IL" sz="1100" b="1"/>
              <a:t>משקל 25 הלווים הגדולים במערכת הבנקאית מסך ההון העצמי, </a:t>
            </a:r>
          </a:p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he-IL" sz="1100" b="1"/>
              <a:t>סך המערכת, 2012-2018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7453711311102925E-2"/>
          <c:y val="0.12797297531498952"/>
          <c:w val="0.87851055398715661"/>
          <c:h val="0.72392129450436449"/>
        </c:manualLayout>
      </c:layout>
      <c:lineChart>
        <c:grouping val="standard"/>
        <c:varyColors val="0"/>
        <c:ser>
          <c:idx val="0"/>
          <c:order val="0"/>
          <c:tx>
            <c:strRef>
              <c:f>'לווים גדולים מההון'!$B$43</c:f>
              <c:strCache>
                <c:ptCount val="1"/>
                <c:pt idx="0">
                  <c:v>משקל 25 הלווים הגדולים במערכת מסך ההון העצמי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9603960396039604E-2"/>
                  <c:y val="-2.8950539156300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7AC-459E-8184-047B3510DFE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AC-459E-8184-047B3510DFE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7AC-459E-8184-047B3510DFEA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AC-459E-8184-047B3510DFE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7AC-459E-8184-047B3510DFEA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7AC-459E-8184-047B3510DFEA}"/>
                </c:ext>
              </c:extLst>
            </c:dLbl>
            <c:dLbl>
              <c:idx val="6"/>
              <c:layout>
                <c:manualLayout>
                  <c:x val="-6.3806380638063806E-2"/>
                  <c:y val="-1.9300359437533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7AC-459E-8184-047B3510DFEA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'לווים גדולים מההון'!$A$44:$A$50</c:f>
              <c:strCach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strCache>
            </c:strRef>
          </c:cat>
          <c:val>
            <c:numRef>
              <c:f>'לווים גדולים מההון'!$B$44:$B$50</c:f>
              <c:numCache>
                <c:formatCode>0.00</c:formatCode>
                <c:ptCount val="7"/>
                <c:pt idx="0">
                  <c:v>87.43958160572484</c:v>
                </c:pt>
                <c:pt idx="1">
                  <c:v>76.621843863836489</c:v>
                </c:pt>
                <c:pt idx="2">
                  <c:v>71.765942622369877</c:v>
                </c:pt>
                <c:pt idx="3">
                  <c:v>68.393717833345121</c:v>
                </c:pt>
                <c:pt idx="4">
                  <c:v>56.238137342989688</c:v>
                </c:pt>
                <c:pt idx="5">
                  <c:v>51.82154464863855</c:v>
                </c:pt>
                <c:pt idx="6">
                  <c:v>52.019810502956012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77AC-459E-8184-047B3510DF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202368"/>
        <c:axId val="60212352"/>
      </c:lineChart>
      <c:catAx>
        <c:axId val="6020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60212352"/>
        <c:crosses val="autoZero"/>
        <c:auto val="1"/>
        <c:lblAlgn val="ctr"/>
        <c:lblOffset val="100"/>
        <c:noMultiLvlLbl val="0"/>
      </c:catAx>
      <c:valAx>
        <c:axId val="60212352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r>
                  <a:rPr lang="he-IL"/>
                  <a:t>אחוזים</a:t>
                </a:r>
              </a:p>
            </c:rich>
          </c:tx>
          <c:layout>
            <c:manualLayout>
              <c:xMode val="edge"/>
              <c:yMode val="edge"/>
              <c:x val="2.0293270588949076E-2"/>
              <c:y val="6.4085707188288918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60202368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rgbClr val="D4EFFC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David" panose="020E0502060401010101" pitchFamily="34" charset="-79"/>
          <a:cs typeface="David" panose="020E0502060401010101" pitchFamily="34" charset="-79"/>
        </a:defRPr>
      </a:pPr>
      <a:endParaRPr lang="he-IL"/>
    </a:p>
  </c:txPr>
  <c:externalData r:id="rId2">
    <c:autoUpdate val="1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he-IL" sz="1200" b="1"/>
              <a:t>שיעורי הפסדי האשראי הצפויים במהלך תרחיש הקיצון</a:t>
            </a:r>
            <a:r>
              <a:rPr lang="he-IL" sz="1200" b="1" baseline="30000"/>
              <a:t>1</a:t>
            </a:r>
            <a:r>
              <a:rPr lang="he-IL" sz="1200" b="1"/>
              <a:t>, ענפים נבחרים, סך המערכת, ממוצע 2019 עד 2021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9202208440535354E-2"/>
          <c:y val="0.13405949291319436"/>
          <c:w val="0.87234955852045115"/>
          <c:h val="0.598283678805334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'הפסדי אשראי'!$V$64</c:f>
              <c:strCache>
                <c:ptCount val="1"/>
                <c:pt idx="0">
                  <c:v>שיעור ההפסד ביחס לאשראי לענף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'הפסדי אשראי'!$U$65:$U$68</c:f>
              <c:strCache>
                <c:ptCount val="4"/>
                <c:pt idx="0">
                  <c:v>בינוי ונדל"ן</c:v>
                </c:pt>
                <c:pt idx="1">
                  <c:v>עסקי אחר</c:v>
                </c:pt>
                <c:pt idx="2">
                  <c:v>דיור</c:v>
                </c:pt>
                <c:pt idx="3">
                  <c:v>אנשים פרטיים אחר</c:v>
                </c:pt>
              </c:strCache>
            </c:strRef>
          </c:cat>
          <c:val>
            <c:numRef>
              <c:f>'הפסדי אשראי'!$V$65:$V$68</c:f>
              <c:numCache>
                <c:formatCode>#,##0.0</c:formatCode>
                <c:ptCount val="4"/>
                <c:pt idx="0">
                  <c:v>1.8154762108329845</c:v>
                </c:pt>
                <c:pt idx="1">
                  <c:v>1.4975780349631282</c:v>
                </c:pt>
                <c:pt idx="2">
                  <c:v>0.67123499167900513</c:v>
                </c:pt>
                <c:pt idx="3">
                  <c:v>1.9933573843913823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61-425F-97CD-B34E549021C1}"/>
            </c:ext>
          </c:extLst>
        </c:ser>
        <c:ser>
          <c:idx val="1"/>
          <c:order val="1"/>
          <c:tx>
            <c:strRef>
              <c:f>'הפסדי אשראי'!$W$64</c:f>
              <c:strCache>
                <c:ptCount val="1"/>
                <c:pt idx="0">
                  <c:v>שיעור ההפסד ביחס להון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'הפסדי אשראי'!$U$65:$U$68</c:f>
              <c:strCache>
                <c:ptCount val="4"/>
                <c:pt idx="0">
                  <c:v>בינוי ונדל"ן</c:v>
                </c:pt>
                <c:pt idx="1">
                  <c:v>עסקי אחר</c:v>
                </c:pt>
                <c:pt idx="2">
                  <c:v>דיור</c:v>
                </c:pt>
                <c:pt idx="3">
                  <c:v>אנשים פרטיים אחר</c:v>
                </c:pt>
              </c:strCache>
            </c:strRef>
          </c:cat>
          <c:val>
            <c:numRef>
              <c:f>'הפסדי אשראי'!$W$65:$W$68</c:f>
              <c:numCache>
                <c:formatCode>General</c:formatCode>
                <c:ptCount val="4"/>
                <c:pt idx="0">
                  <c:v>2.1573088584742468</c:v>
                </c:pt>
                <c:pt idx="1">
                  <c:v>3.9931842804272528</c:v>
                </c:pt>
                <c:pt idx="2">
                  <c:v>1.9646277400597116</c:v>
                </c:pt>
                <c:pt idx="3">
                  <c:v>2.4478188864238573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61-425F-97CD-B34E549021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949056"/>
        <c:axId val="59950592"/>
      </c:barChart>
      <c:catAx>
        <c:axId val="5994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59950592"/>
        <c:crosses val="autoZero"/>
        <c:auto val="1"/>
        <c:lblAlgn val="ctr"/>
        <c:lblOffset val="100"/>
        <c:noMultiLvlLbl val="0"/>
      </c:catAx>
      <c:valAx>
        <c:axId val="59950592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r>
                  <a:rPr lang="he-IL"/>
                  <a:t>אחוזים</a:t>
                </a:r>
              </a:p>
            </c:rich>
          </c:tx>
          <c:layout>
            <c:manualLayout>
              <c:xMode val="edge"/>
              <c:yMode val="edge"/>
              <c:x val="1.3216714043903427E-2"/>
              <c:y val="7.3148178065814931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59949056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8.1055538789358644E-2"/>
          <c:y val="0.79823932240315132"/>
          <c:w val="0.86735054459655958"/>
          <c:h val="9.4179202882260907E-2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rgbClr val="D4EFFC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David" panose="020E0502060401010101" pitchFamily="34" charset="-79"/>
          <a:cs typeface="David" panose="020E0502060401010101" pitchFamily="34" charset="-79"/>
        </a:defRPr>
      </a:pPr>
      <a:endParaRPr lang="he-IL"/>
    </a:p>
  </c:txPr>
  <c:externalData r:id="rId2">
    <c:autoUpdate val="1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0.45329</cdr:x>
      <cdr:y>0.89976</cdr:y>
    </cdr:from>
    <cdr:to>
      <cdr:x>0.98244</cdr:x>
      <cdr:y>0.98087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390775" y="3102417"/>
          <a:ext cx="2790918" cy="2796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rtl="1"/>
          <a:r>
            <a:rPr lang="he-IL" sz="1000" baseline="30000">
              <a:latin typeface="David" panose="020E0502060401010101" pitchFamily="34" charset="-79"/>
              <a:cs typeface="David" panose="020E0502060401010101" pitchFamily="34" charset="-79"/>
            </a:rPr>
            <a:t>1 </a:t>
          </a:r>
          <a:r>
            <a:rPr lang="en-US" sz="1000" baseline="30000">
              <a:latin typeface="David" panose="020E0502060401010101" pitchFamily="34" charset="-79"/>
              <a:cs typeface="David" panose="020E0502060401010101" pitchFamily="34" charset="-79"/>
            </a:rPr>
            <a:t> </a:t>
          </a:r>
          <a:r>
            <a:rPr lang="he-IL" sz="1000" baseline="0">
              <a:latin typeface="David" panose="020E0502060401010101" pitchFamily="34" charset="-79"/>
              <a:cs typeface="David" panose="020E0502060401010101" pitchFamily="34" charset="-79"/>
            </a:rPr>
            <a:t>מבוסס על מודלים והערכות ואינו בבחינת תחזית.</a:t>
          </a:r>
        </a:p>
        <a:p xmlns:a="http://schemas.openxmlformats.org/drawingml/2006/main">
          <a:pPr rtl="1"/>
          <a:r>
            <a:rPr lang="he-IL" sz="1000" baseline="0">
              <a:latin typeface="David" panose="020E0502060401010101" pitchFamily="34" charset="-79"/>
              <a:cs typeface="David" panose="020E0502060401010101" pitchFamily="34" charset="-79"/>
            </a:rPr>
            <a:t>המקור: הפיקוח על הבנקים ועיבודי הפיקוח על הבנקים.</a:t>
          </a:r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0.52769</cdr:x>
      <cdr:y>0.90621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67139" y="3405189"/>
          <a:ext cx="337185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1"/>
        <a:lstStyle xmlns:a="http://schemas.openxmlformats.org/drawingml/2006/main"/>
        <a:p xmlns:a="http://schemas.openxmlformats.org/drawingml/2006/main">
          <a:pPr rtl="1"/>
          <a:r>
            <a:rPr lang="he-IL" sz="800" baseline="30000">
              <a:latin typeface="David" panose="020E0502060401010101" pitchFamily="34" charset="-79"/>
              <a:cs typeface="David" panose="020E0502060401010101" pitchFamily="34" charset="-79"/>
            </a:rPr>
            <a:t>1 </a:t>
          </a:r>
          <a:r>
            <a:rPr lang="he-IL" sz="800" baseline="0">
              <a:latin typeface="David" panose="020E0502060401010101" pitchFamily="34" charset="-79"/>
              <a:cs typeface="David" panose="020E0502060401010101" pitchFamily="34" charset="-79"/>
            </a:rPr>
            <a:t>מבוסס על מודלים והערכות ואינו בבחינת תחזית</a:t>
          </a:r>
        </a:p>
        <a:p xmlns:a="http://schemas.openxmlformats.org/drawingml/2006/main">
          <a:pPr rtl="1"/>
          <a:r>
            <a:rPr lang="he-IL" sz="800" baseline="0">
              <a:latin typeface="David" panose="020E0502060401010101" pitchFamily="34" charset="-79"/>
              <a:cs typeface="David" panose="020E0502060401010101" pitchFamily="34" charset="-79"/>
            </a:rPr>
            <a:t>המקור: הפיקוח על הבנקים ועיבודי הפיקוח על הבנקים</a:t>
          </a:r>
          <a:endParaRPr lang="he-IL" sz="80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0.35505</cdr:x>
      <cdr:y>0.92804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76452" y="3562351"/>
          <a:ext cx="3771899" cy="276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1"/>
        <a:lstStyle xmlns:a="http://schemas.openxmlformats.org/drawingml/2006/main"/>
        <a:p xmlns:a="http://schemas.openxmlformats.org/drawingml/2006/main">
          <a:pPr rtl="1"/>
          <a:r>
            <a:rPr lang="he-IL" sz="1000">
              <a:latin typeface="David" panose="020E0502060401010101" pitchFamily="34" charset="-79"/>
              <a:cs typeface="David" panose="020E0502060401010101" pitchFamily="34" charset="-79"/>
            </a:rPr>
            <a:t>המקור:</a:t>
          </a:r>
          <a:r>
            <a:rPr lang="he-IL" sz="1000" baseline="0">
              <a:latin typeface="David" panose="020E0502060401010101" pitchFamily="34" charset="-79"/>
              <a:cs typeface="David" panose="020E0502060401010101" pitchFamily="34" charset="-79"/>
            </a:rPr>
            <a:t> דיווחים לפיקוח על הבנקים ועיבודי הפיקוח על הבנקים.</a:t>
          </a:r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0.47731</cdr:x>
      <cdr:y>0.90673</cdr:y>
    </cdr:from>
    <cdr:to>
      <cdr:x>0.9966</cdr:x>
      <cdr:y>0.98365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673262" y="3169052"/>
          <a:ext cx="2908388" cy="2688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rtl="1"/>
          <a:r>
            <a:rPr lang="he-IL" sz="1000" baseline="30000">
              <a:latin typeface="David" panose="020E0502060401010101" pitchFamily="34" charset="-79"/>
              <a:cs typeface="David" panose="020E0502060401010101" pitchFamily="34" charset="-79"/>
            </a:rPr>
            <a:t>1 </a:t>
          </a:r>
          <a:r>
            <a:rPr lang="en-US" sz="1000" baseline="30000">
              <a:latin typeface="David" panose="020E0502060401010101" pitchFamily="34" charset="-79"/>
              <a:cs typeface="David" panose="020E0502060401010101" pitchFamily="34" charset="-79"/>
            </a:rPr>
            <a:t> </a:t>
          </a:r>
          <a:r>
            <a:rPr lang="he-IL" sz="1000" baseline="0">
              <a:latin typeface="David" panose="020E0502060401010101" pitchFamily="34" charset="-79"/>
              <a:cs typeface="David" panose="020E0502060401010101" pitchFamily="34" charset="-79"/>
            </a:rPr>
            <a:t>מבוסס על מודלים והערכות ואינו בבחינת תחזית.</a:t>
          </a:r>
        </a:p>
        <a:p xmlns:a="http://schemas.openxmlformats.org/drawingml/2006/main">
          <a:pPr rtl="1"/>
          <a:r>
            <a:rPr lang="he-IL" sz="1000" baseline="0">
              <a:latin typeface="David" panose="020E0502060401010101" pitchFamily="34" charset="-79"/>
              <a:cs typeface="David" panose="020E0502060401010101" pitchFamily="34" charset="-79"/>
            </a:rPr>
            <a:t>המקור: הפיקוח על הבנקים ועיבודי הפיקוח על הבנקים.</a:t>
          </a:r>
          <a:endParaRPr lang="he-IL" sz="100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C91C874-CAB9-4A56-B1C6-837602225099}"/>
</file>

<file path=customXml/itemProps2.xml><?xml version="1.0" encoding="utf-8"?>
<ds:datastoreItem xmlns:ds="http://schemas.openxmlformats.org/officeDocument/2006/customXml" ds:itemID="{EB0BA732-B1BC-4F0A-A521-31F5F8B7A0A4}"/>
</file>

<file path=customXml/itemProps3.xml><?xml version="1.0" encoding="utf-8"?>
<ds:datastoreItem xmlns:ds="http://schemas.openxmlformats.org/officeDocument/2006/customXml" ds:itemID="{04BAE194-3DAB-4B5E-A5CF-70D05B6CA578}"/>
</file>

<file path=customXml/itemProps4.xml><?xml version="1.0" encoding="utf-8"?>
<ds:datastoreItem xmlns:ds="http://schemas.openxmlformats.org/officeDocument/2006/customXml" ds:itemID="{EC376686-C477-481E-9EBB-D6D7704EDC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2116</Words>
  <Characters>10581</Characters>
  <Application>Microsoft Office Word</Application>
  <DocSecurity>4</DocSecurity>
  <Lines>88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מיכל זילברברג</dc:creator>
  <cp:lastModifiedBy>מיטל רולניצקי</cp:lastModifiedBy>
  <cp:revision>2</cp:revision>
  <dcterms:created xsi:type="dcterms:W3CDTF">2019-05-19T07:13:00Z</dcterms:created>
  <dcterms:modified xsi:type="dcterms:W3CDTF">2019-05-19T07:13:00Z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