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21"/>
        <w:bidiVisual/>
        <w:tblW w:w="9072" w:type="dxa"/>
        <w:tblLayout w:type="fixed"/>
        <w:tblLook w:val="0000" w:firstRow="0" w:lastRow="0" w:firstColumn="0" w:lastColumn="0" w:noHBand="0" w:noVBand="0"/>
      </w:tblPr>
      <w:tblGrid>
        <w:gridCol w:w="3392"/>
        <w:gridCol w:w="2596"/>
        <w:gridCol w:w="3084"/>
      </w:tblGrid>
      <w:tr w:rsidR="000363EB" w:rsidRPr="008156B9" w:rsidTr="006E512B">
        <w:trPr>
          <w:cantSplit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3EB" w:rsidRPr="008156B9" w:rsidRDefault="000363EB" w:rsidP="006E512B">
            <w:pPr>
              <w:spacing w:line="360" w:lineRule="auto"/>
              <w:jc w:val="center"/>
              <w:rPr>
                <w:rFonts w:ascii="David" w:hAnsi="David" w:cs="David"/>
                <w:b/>
                <w:bCs/>
              </w:rPr>
            </w:pPr>
            <w:r w:rsidRPr="008156B9">
              <w:rPr>
                <w:rFonts w:ascii="David" w:hAnsi="David" w:cs="David"/>
                <w:b/>
                <w:bCs/>
                <w:rtl/>
              </w:rPr>
              <w:t>בנק ישראל</w:t>
            </w:r>
          </w:p>
          <w:p w:rsidR="000363EB" w:rsidRPr="008156B9" w:rsidRDefault="000363EB" w:rsidP="006E512B">
            <w:pPr>
              <w:spacing w:line="360" w:lineRule="auto"/>
              <w:ind w:right="-101"/>
              <w:jc w:val="center"/>
              <w:rPr>
                <w:rFonts w:ascii="David" w:hAnsi="David" w:cs="David"/>
              </w:rPr>
            </w:pPr>
            <w:r w:rsidRPr="008156B9">
              <w:rPr>
                <w:rFonts w:ascii="David" w:hAnsi="David" w:cs="David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0363EB" w:rsidRPr="008156B9" w:rsidRDefault="000363EB" w:rsidP="006E512B">
            <w:pPr>
              <w:jc w:val="center"/>
              <w:rPr>
                <w:rFonts w:ascii="David" w:hAnsi="David" w:cs="David"/>
              </w:rPr>
            </w:pPr>
            <w:r>
              <w:rPr>
                <w:noProof/>
              </w:rPr>
              <w:drawing>
                <wp:inline distT="0" distB="0" distL="0" distR="0" wp14:anchorId="5902A206" wp14:editId="550EA99A">
                  <wp:extent cx="1050925" cy="1050925"/>
                  <wp:effectExtent l="0" t="0" r="0" b="0"/>
                  <wp:docPr id="14" name="תמונה 14" descr="\\portals\DavWWWRoot\sites\boi\about\Mitug\DocList\Logo Bank of Israel 2 color\Logo Bank of Israel 2 colo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תמונה 14" descr="\\portals\DavWWWRoot\sites\boi\about\Mitug\DocList\Logo Bank of Israel 2 color\Logo Bank of Israel 2 colo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105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3EB" w:rsidRDefault="000363EB" w:rsidP="007C329D">
            <w:pPr>
              <w:spacing w:line="480" w:lineRule="auto"/>
              <w:rPr>
                <w:rFonts w:ascii="David" w:hAnsi="David" w:cs="David"/>
                <w:rtl/>
              </w:rPr>
            </w:pPr>
            <w:r w:rsidRPr="008156B9">
              <w:rPr>
                <w:rFonts w:ascii="David" w:hAnsi="David" w:cs="David"/>
                <w:rtl/>
              </w:rPr>
              <w:t>‏ירושלים</w:t>
            </w:r>
            <w:r>
              <w:rPr>
                <w:rFonts w:ascii="David" w:hAnsi="David" w:cs="David" w:hint="cs"/>
                <w:rtl/>
              </w:rPr>
              <w:t>,</w:t>
            </w:r>
            <w:r>
              <w:rPr>
                <w:rFonts w:ascii="David" w:hAnsi="David" w:cs="David" w:hint="eastAsia"/>
                <w:rtl/>
              </w:rPr>
              <w:t>‏‏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>
              <w:rPr>
                <w:rFonts w:ascii="David" w:hAnsi="David" w:cs="David" w:hint="eastAsia"/>
                <w:rtl/>
              </w:rPr>
              <w:t>‏</w:t>
            </w:r>
            <w:r w:rsidR="007C329D">
              <w:rPr>
                <w:rFonts w:ascii="David" w:hAnsi="David" w:cs="David" w:hint="cs"/>
                <w:rtl/>
              </w:rPr>
              <w:t>י"ז</w:t>
            </w:r>
            <w:r>
              <w:rPr>
                <w:rFonts w:ascii="David" w:hAnsi="David" w:cs="David" w:hint="cs"/>
                <w:rtl/>
              </w:rPr>
              <w:t xml:space="preserve"> בטבת</w:t>
            </w:r>
            <w:r>
              <w:rPr>
                <w:rFonts w:ascii="David" w:hAnsi="David" w:cs="David"/>
                <w:rtl/>
              </w:rPr>
              <w:t>, תשפ"ג</w:t>
            </w:r>
          </w:p>
          <w:p w:rsidR="000363EB" w:rsidRPr="008156B9" w:rsidRDefault="000363EB" w:rsidP="007C329D">
            <w:pPr>
              <w:spacing w:line="480" w:lineRule="auto"/>
              <w:rPr>
                <w:rFonts w:ascii="David" w:hAnsi="David" w:cs="David"/>
              </w:rPr>
            </w:pPr>
            <w:r w:rsidRPr="008156B9">
              <w:rPr>
                <w:rFonts w:ascii="David" w:hAnsi="David" w:cs="David"/>
                <w:rtl/>
              </w:rPr>
              <w:t>‏‏‏‏</w:t>
            </w:r>
            <w:r>
              <w:rPr>
                <w:rFonts w:ascii="David" w:hAnsi="David" w:cs="David" w:hint="eastAsia"/>
                <w:rtl/>
              </w:rPr>
              <w:t>‏</w:t>
            </w:r>
            <w:r w:rsidR="007C329D">
              <w:rPr>
                <w:rFonts w:ascii="David" w:hAnsi="David" w:cs="David" w:hint="cs"/>
                <w:rtl/>
              </w:rPr>
              <w:t>10</w:t>
            </w:r>
            <w:r>
              <w:rPr>
                <w:rFonts w:ascii="David" w:hAnsi="David" w:cs="David" w:hint="cs"/>
                <w:rtl/>
              </w:rPr>
              <w:t xml:space="preserve"> בינואר 2023</w:t>
            </w:r>
          </w:p>
        </w:tc>
      </w:tr>
    </w:tbl>
    <w:p w:rsidR="000363EB" w:rsidRDefault="000363EB" w:rsidP="000363EB">
      <w:pPr>
        <w:spacing w:line="360" w:lineRule="auto"/>
        <w:jc w:val="right"/>
        <w:rPr>
          <w:rFonts w:ascii="David" w:hAnsi="David" w:cs="David"/>
        </w:rPr>
      </w:pPr>
    </w:p>
    <w:p w:rsidR="000363EB" w:rsidRDefault="000363EB" w:rsidP="000363EB">
      <w:pPr>
        <w:spacing w:line="360" w:lineRule="auto"/>
        <w:jc w:val="righ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הודעה לעיתונות</w:t>
      </w:r>
      <w:r w:rsidR="00674E67">
        <w:rPr>
          <w:rFonts w:ascii="David" w:hAnsi="David" w:cs="David" w:hint="cs"/>
          <w:rtl/>
        </w:rPr>
        <w:t>:</w:t>
      </w:r>
      <w:bookmarkStart w:id="0" w:name="_GoBack"/>
      <w:bookmarkEnd w:id="0"/>
    </w:p>
    <w:p w:rsidR="00773DFE" w:rsidRDefault="00773DFE" w:rsidP="000363EB">
      <w:pPr>
        <w:spacing w:line="360" w:lineRule="auto"/>
        <w:jc w:val="right"/>
        <w:rPr>
          <w:rFonts w:ascii="David" w:hAnsi="David" w:cs="David"/>
          <w:rtl/>
        </w:rPr>
      </w:pPr>
    </w:p>
    <w:p w:rsidR="00FC56DA" w:rsidRDefault="000363EB" w:rsidP="00B952FB">
      <w:pPr>
        <w:pStyle w:val="NormalWeb"/>
        <w:bidi/>
        <w:jc w:val="center"/>
        <w:rPr>
          <w:rFonts w:ascii="David" w:hAnsi="David" w:cs="David"/>
          <w:b/>
          <w:bCs/>
          <w:color w:val="000000"/>
          <w:sz w:val="28"/>
          <w:szCs w:val="28"/>
          <w:rtl/>
        </w:rPr>
      </w:pPr>
      <w:r w:rsidRPr="00A17EE3">
        <w:rPr>
          <w:rFonts w:ascii="David" w:hAnsi="David" w:cs="David" w:hint="cs"/>
          <w:b/>
          <w:bCs/>
          <w:color w:val="000000"/>
          <w:sz w:val="28"/>
          <w:szCs w:val="28"/>
          <w:rtl/>
        </w:rPr>
        <w:t xml:space="preserve">הפיקוח על הבנקים </w:t>
      </w:r>
      <w:r w:rsidR="00B952FB">
        <w:rPr>
          <w:rFonts w:ascii="David" w:hAnsi="David" w:cs="David" w:hint="cs"/>
          <w:b/>
          <w:bCs/>
          <w:color w:val="000000"/>
          <w:sz w:val="28"/>
          <w:szCs w:val="28"/>
          <w:rtl/>
        </w:rPr>
        <w:t>מציב סטנדרטים חדשים למתן שירות בנקאי</w:t>
      </w:r>
    </w:p>
    <w:p w:rsidR="000363EB" w:rsidRDefault="000363EB" w:rsidP="000363EB">
      <w:pPr>
        <w:pStyle w:val="NormalWeb"/>
        <w:bidi/>
        <w:jc w:val="center"/>
        <w:rPr>
          <w:rFonts w:ascii="David" w:hAnsi="David" w:cs="David"/>
          <w:b/>
          <w:bCs/>
          <w:color w:val="000000"/>
          <w:sz w:val="28"/>
          <w:szCs w:val="28"/>
          <w:rtl/>
        </w:rPr>
      </w:pPr>
    </w:p>
    <w:p w:rsidR="00FC56DA" w:rsidRDefault="0081062F" w:rsidP="0067112E">
      <w:pPr>
        <w:pStyle w:val="NormalWeb"/>
        <w:bidi/>
        <w:spacing w:line="360" w:lineRule="auto"/>
        <w:jc w:val="both"/>
        <w:rPr>
          <w:rFonts w:ascii="David" w:hAnsi="David" w:cs="David"/>
          <w:b/>
          <w:bCs/>
          <w:color w:val="000000"/>
          <w:rtl/>
        </w:rPr>
      </w:pPr>
      <w:r>
        <w:rPr>
          <w:rFonts w:ascii="David" w:hAnsi="David" w:cs="David" w:hint="cs"/>
          <w:b/>
          <w:bCs/>
          <w:color w:val="000000"/>
          <w:rtl/>
        </w:rPr>
        <w:t xml:space="preserve">הפיקוח על הבנקים מפרסם היום טיוטת הנחיות חדשה המטמיעה את </w:t>
      </w:r>
      <w:r w:rsidR="00FC56DA">
        <w:rPr>
          <w:rFonts w:ascii="David" w:hAnsi="David" w:cs="David" w:hint="cs"/>
          <w:b/>
          <w:bCs/>
          <w:color w:val="000000"/>
          <w:rtl/>
        </w:rPr>
        <w:t xml:space="preserve">תפיסת הפיקוח ששירות הניתן ללקוחות המערכת הבנקאית, בכל ערוץ תקשורת, צריך להיות מקצועי, </w:t>
      </w:r>
      <w:r w:rsidR="0067112E">
        <w:rPr>
          <w:rFonts w:ascii="David" w:hAnsi="David" w:cs="David" w:hint="cs"/>
          <w:b/>
          <w:bCs/>
          <w:color w:val="000000"/>
          <w:rtl/>
        </w:rPr>
        <w:t xml:space="preserve">זמין </w:t>
      </w:r>
      <w:r w:rsidR="00FC56DA">
        <w:rPr>
          <w:rFonts w:ascii="David" w:hAnsi="David" w:cs="David" w:hint="cs"/>
          <w:b/>
          <w:bCs/>
          <w:color w:val="000000"/>
          <w:rtl/>
        </w:rPr>
        <w:t xml:space="preserve">ואפקטיבי. </w:t>
      </w:r>
    </w:p>
    <w:p w:rsidR="00FC56DA" w:rsidRDefault="00FC56DA" w:rsidP="002E6675">
      <w:pPr>
        <w:pStyle w:val="NormalWeb"/>
        <w:bidi/>
        <w:spacing w:line="360" w:lineRule="auto"/>
        <w:jc w:val="center"/>
        <w:rPr>
          <w:rFonts w:ascii="David" w:hAnsi="David" w:cs="David"/>
          <w:b/>
          <w:bCs/>
          <w:color w:val="000000"/>
          <w:rtl/>
        </w:rPr>
      </w:pPr>
    </w:p>
    <w:p w:rsidR="0067112E" w:rsidRDefault="000363EB" w:rsidP="002E6675">
      <w:pPr>
        <w:bidi/>
        <w:spacing w:line="360" w:lineRule="auto"/>
        <w:jc w:val="both"/>
        <w:rPr>
          <w:rFonts w:ascii="David" w:hAnsi="David" w:cs="David"/>
          <w:color w:val="000000"/>
          <w:rtl/>
        </w:rPr>
      </w:pPr>
      <w:r w:rsidRPr="007A335C">
        <w:rPr>
          <w:rFonts w:ascii="David" w:hAnsi="David" w:cs="David"/>
          <w:b/>
          <w:bCs/>
          <w:color w:val="000000"/>
          <w:rtl/>
        </w:rPr>
        <w:t>המפקח על הבנקים, יאיר אבידן</w:t>
      </w:r>
      <w:r w:rsidRPr="005B66AC">
        <w:rPr>
          <w:rFonts w:ascii="David" w:hAnsi="David" w:cs="David"/>
          <w:color w:val="000000"/>
          <w:rtl/>
        </w:rPr>
        <w:t xml:space="preserve">: </w:t>
      </w:r>
      <w:r w:rsidRPr="005B66AC">
        <w:rPr>
          <w:rFonts w:ascii="David" w:hAnsi="David" w:cs="David" w:hint="cs"/>
          <w:color w:val="000000"/>
          <w:rtl/>
        </w:rPr>
        <w:t>"</w:t>
      </w:r>
      <w:r w:rsidR="00206795">
        <w:rPr>
          <w:rFonts w:ascii="David" w:hAnsi="David" w:cs="David" w:hint="cs"/>
          <w:color w:val="000000"/>
          <w:rtl/>
        </w:rPr>
        <w:t>שירות אפקטיבי ו</w:t>
      </w:r>
      <w:r w:rsidR="00B952FB">
        <w:rPr>
          <w:rFonts w:ascii="David" w:hAnsi="David" w:cs="David" w:hint="cs"/>
          <w:color w:val="000000"/>
          <w:rtl/>
        </w:rPr>
        <w:t xml:space="preserve">תקשורת יעילה ואחראית בין הבנקים לבין הלקוחות תומכים בהגברת </w:t>
      </w:r>
      <w:r w:rsidR="00FC56DA">
        <w:rPr>
          <w:rFonts w:ascii="David" w:hAnsi="David" w:cs="David" w:hint="cs"/>
          <w:color w:val="000000"/>
          <w:rtl/>
        </w:rPr>
        <w:t>אמון הציבור במערכת הבנקאית</w:t>
      </w:r>
      <w:r w:rsidR="00206795">
        <w:rPr>
          <w:rFonts w:ascii="David" w:hAnsi="David" w:cs="David" w:hint="cs"/>
          <w:color w:val="000000"/>
          <w:rtl/>
        </w:rPr>
        <w:t>. מרכיבים אלו הינם</w:t>
      </w:r>
      <w:r w:rsidR="00FC56DA">
        <w:rPr>
          <w:rFonts w:ascii="David" w:hAnsi="David" w:cs="David" w:hint="cs"/>
          <w:color w:val="000000"/>
          <w:rtl/>
        </w:rPr>
        <w:t xml:space="preserve"> </w:t>
      </w:r>
      <w:r w:rsidR="00D65707" w:rsidRPr="00B132D9">
        <w:rPr>
          <w:rFonts w:ascii="David" w:hAnsi="David" w:cs="David" w:hint="cs"/>
          <w:color w:val="000000"/>
          <w:rtl/>
        </w:rPr>
        <w:t>בעל</w:t>
      </w:r>
      <w:r w:rsidR="00206795">
        <w:rPr>
          <w:rFonts w:ascii="David" w:hAnsi="David" w:cs="David" w:hint="cs"/>
          <w:color w:val="000000"/>
          <w:rtl/>
        </w:rPr>
        <w:t>י</w:t>
      </w:r>
      <w:r w:rsidR="00D65707" w:rsidRPr="00B132D9">
        <w:rPr>
          <w:rFonts w:ascii="David" w:hAnsi="David" w:cs="David" w:hint="cs"/>
          <w:color w:val="000000"/>
          <w:rtl/>
        </w:rPr>
        <w:t xml:space="preserve"> חשיבות רבה ביצירת חוויית לקוח חיובית</w:t>
      </w:r>
      <w:r w:rsidR="00FC56DA">
        <w:rPr>
          <w:rFonts w:ascii="David" w:hAnsi="David" w:cs="David" w:hint="cs"/>
          <w:color w:val="000000"/>
          <w:rtl/>
        </w:rPr>
        <w:t>,</w:t>
      </w:r>
      <w:r w:rsidR="00D65707" w:rsidRPr="00B132D9">
        <w:rPr>
          <w:rFonts w:ascii="David" w:hAnsi="David" w:cs="David" w:hint="cs"/>
          <w:color w:val="000000"/>
          <w:rtl/>
        </w:rPr>
        <w:t xml:space="preserve"> בעת ביצוע פעילות פיננסית </w:t>
      </w:r>
      <w:r w:rsidR="00D65707">
        <w:rPr>
          <w:rFonts w:ascii="David" w:hAnsi="David" w:cs="David" w:hint="cs"/>
          <w:color w:val="000000"/>
          <w:rtl/>
        </w:rPr>
        <w:t>ו</w:t>
      </w:r>
      <w:r w:rsidR="00D65707" w:rsidRPr="00B132D9">
        <w:rPr>
          <w:rFonts w:ascii="David" w:hAnsi="David" w:cs="David" w:hint="cs"/>
          <w:color w:val="000000"/>
          <w:rtl/>
        </w:rPr>
        <w:t>בהפקת תועלת מהשירותים והמוצרים המוצעים ללקוחות</w:t>
      </w:r>
      <w:r w:rsidR="00D65707">
        <w:rPr>
          <w:rFonts w:ascii="David" w:hAnsi="David" w:cs="David" w:hint="cs"/>
          <w:color w:val="000000"/>
          <w:rtl/>
        </w:rPr>
        <w:t xml:space="preserve">. </w:t>
      </w:r>
      <w:r w:rsidR="00FC56DA">
        <w:rPr>
          <w:rFonts w:ascii="David" w:hAnsi="David" w:cs="David" w:hint="cs"/>
          <w:color w:val="000000"/>
          <w:rtl/>
        </w:rPr>
        <w:t>כחלק מחזון הפיקוח על הבנקים,</w:t>
      </w:r>
      <w:r>
        <w:rPr>
          <w:rFonts w:ascii="David" w:hAnsi="David" w:cs="David" w:hint="cs"/>
          <w:color w:val="000000"/>
          <w:rtl/>
        </w:rPr>
        <w:t xml:space="preserve"> להיות פיקוח מוביל, מקצועי ויוזם לטובת הציבור והמשק, </w:t>
      </w:r>
      <w:r w:rsidR="00FC56DA">
        <w:rPr>
          <w:rFonts w:ascii="David" w:hAnsi="David" w:cs="David" w:hint="cs"/>
          <w:color w:val="000000"/>
          <w:rtl/>
        </w:rPr>
        <w:t xml:space="preserve">אנו ממשיכים </w:t>
      </w:r>
      <w:r>
        <w:rPr>
          <w:rFonts w:ascii="David" w:hAnsi="David" w:cs="David" w:hint="cs"/>
          <w:color w:val="000000"/>
          <w:rtl/>
        </w:rPr>
        <w:t xml:space="preserve">לקדם </w:t>
      </w:r>
      <w:r w:rsidR="00FC56DA">
        <w:rPr>
          <w:rFonts w:ascii="David" w:hAnsi="David" w:cs="David" w:hint="cs"/>
          <w:color w:val="000000"/>
          <w:rtl/>
        </w:rPr>
        <w:t xml:space="preserve">בנחישות </w:t>
      </w:r>
      <w:r>
        <w:rPr>
          <w:rFonts w:ascii="David" w:hAnsi="David" w:cs="David" w:hint="cs"/>
          <w:color w:val="000000"/>
          <w:rtl/>
        </w:rPr>
        <w:t xml:space="preserve">צעדים משמעותיים בתחום הצרכנות הבנקאית, </w:t>
      </w:r>
      <w:r w:rsidR="00186991">
        <w:rPr>
          <w:rFonts w:ascii="David" w:hAnsi="David" w:cs="David" w:hint="cs"/>
          <w:color w:val="000000"/>
          <w:rtl/>
        </w:rPr>
        <w:t xml:space="preserve">אשר כוללים בין היתר, באופן מפורש וממוקד, </w:t>
      </w:r>
      <w:r w:rsidR="00206795">
        <w:rPr>
          <w:rFonts w:ascii="David" w:hAnsi="David" w:cs="David" w:hint="cs"/>
          <w:color w:val="000000"/>
          <w:rtl/>
        </w:rPr>
        <w:t>הנחיות</w:t>
      </w:r>
      <w:r w:rsidR="00FC56DA">
        <w:rPr>
          <w:rFonts w:ascii="David" w:hAnsi="David" w:cs="David" w:hint="cs"/>
          <w:color w:val="000000"/>
          <w:rtl/>
        </w:rPr>
        <w:t xml:space="preserve"> בתחום השירות ללקוחות.</w:t>
      </w:r>
      <w:r w:rsidR="0081062F">
        <w:rPr>
          <w:rFonts w:ascii="David" w:hAnsi="David" w:cs="David" w:hint="cs"/>
          <w:color w:val="000000"/>
          <w:rtl/>
        </w:rPr>
        <w:t xml:space="preserve"> </w:t>
      </w:r>
    </w:p>
    <w:p w:rsidR="0067112E" w:rsidRDefault="0067112E" w:rsidP="0067112E">
      <w:pPr>
        <w:bidi/>
        <w:spacing w:line="360" w:lineRule="auto"/>
        <w:jc w:val="both"/>
        <w:rPr>
          <w:rFonts w:ascii="David" w:hAnsi="David" w:cs="David"/>
          <w:color w:val="000000"/>
          <w:rtl/>
        </w:rPr>
      </w:pPr>
    </w:p>
    <w:p w:rsidR="00833F95" w:rsidRDefault="0081062F" w:rsidP="0067112E">
      <w:pPr>
        <w:bidi/>
        <w:spacing w:line="360" w:lineRule="auto"/>
        <w:jc w:val="both"/>
        <w:rPr>
          <w:rFonts w:ascii="David" w:hAnsi="David" w:cs="David"/>
          <w:color w:val="000000"/>
          <w:rtl/>
        </w:rPr>
      </w:pPr>
      <w:r>
        <w:rPr>
          <w:rFonts w:ascii="David" w:hAnsi="David" w:cs="David" w:hint="cs"/>
          <w:color w:val="000000"/>
          <w:rtl/>
        </w:rPr>
        <w:t xml:space="preserve">אני </w:t>
      </w:r>
      <w:r w:rsidR="00206795">
        <w:rPr>
          <w:rFonts w:ascii="David" w:hAnsi="David" w:cs="David" w:hint="cs"/>
          <w:color w:val="000000"/>
          <w:rtl/>
        </w:rPr>
        <w:t xml:space="preserve">גאה </w:t>
      </w:r>
      <w:r>
        <w:rPr>
          <w:rFonts w:ascii="David" w:hAnsi="David" w:cs="David" w:hint="cs"/>
          <w:color w:val="000000"/>
          <w:rtl/>
        </w:rPr>
        <w:t xml:space="preserve">ונרגש לעדכן את הציבור על </w:t>
      </w:r>
      <w:r w:rsidR="00FC56DA">
        <w:rPr>
          <w:rFonts w:ascii="David" w:hAnsi="David" w:cs="David" w:hint="cs"/>
          <w:color w:val="000000"/>
          <w:rtl/>
        </w:rPr>
        <w:t xml:space="preserve">טיוטת ההוראה שפרסמנו היום </w:t>
      </w:r>
      <w:r w:rsidR="00D65707">
        <w:rPr>
          <w:rFonts w:ascii="David" w:hAnsi="David" w:cs="David" w:hint="cs"/>
          <w:color w:val="000000"/>
          <w:rtl/>
        </w:rPr>
        <w:t>להתייעצות</w:t>
      </w:r>
      <w:r w:rsidR="00B952FB">
        <w:rPr>
          <w:rFonts w:ascii="David" w:hAnsi="David" w:cs="David" w:hint="cs"/>
          <w:color w:val="000000"/>
          <w:rtl/>
        </w:rPr>
        <w:t>.</w:t>
      </w:r>
      <w:r w:rsidR="00833F95">
        <w:rPr>
          <w:rFonts w:ascii="David" w:hAnsi="David" w:cs="David" w:hint="cs"/>
          <w:color w:val="000000"/>
          <w:rtl/>
        </w:rPr>
        <w:t xml:space="preserve"> </w:t>
      </w:r>
    </w:p>
    <w:p w:rsidR="0067112E" w:rsidRDefault="0067112E" w:rsidP="002E6675">
      <w:pPr>
        <w:bidi/>
        <w:spacing w:line="360" w:lineRule="auto"/>
        <w:jc w:val="both"/>
        <w:rPr>
          <w:rFonts w:ascii="David" w:hAnsi="David" w:cs="David"/>
          <w:color w:val="000000"/>
          <w:rtl/>
        </w:rPr>
      </w:pPr>
    </w:p>
    <w:p w:rsidR="000363EB" w:rsidRPr="00B132D9" w:rsidRDefault="0081062F" w:rsidP="0067112E">
      <w:pPr>
        <w:bidi/>
        <w:spacing w:line="360" w:lineRule="auto"/>
        <w:jc w:val="both"/>
        <w:rPr>
          <w:rtl/>
        </w:rPr>
      </w:pPr>
      <w:r>
        <w:rPr>
          <w:rFonts w:ascii="David" w:hAnsi="David" w:cs="David" w:hint="cs"/>
          <w:color w:val="000000"/>
          <w:rtl/>
        </w:rPr>
        <w:t>טיוטה זו היא</w:t>
      </w:r>
      <w:r w:rsidR="000363EB">
        <w:rPr>
          <w:rFonts w:ascii="David" w:hAnsi="David" w:cs="David" w:hint="cs"/>
          <w:color w:val="000000"/>
          <w:rtl/>
        </w:rPr>
        <w:t xml:space="preserve"> ביטוי </w:t>
      </w:r>
      <w:r w:rsidR="00FC56DA">
        <w:rPr>
          <w:rFonts w:ascii="David" w:hAnsi="David" w:cs="David" w:hint="cs"/>
          <w:color w:val="000000"/>
          <w:rtl/>
        </w:rPr>
        <w:t xml:space="preserve">מובהק </w:t>
      </w:r>
      <w:r w:rsidR="000363EB">
        <w:rPr>
          <w:rFonts w:ascii="David" w:hAnsi="David" w:cs="David" w:hint="cs"/>
          <w:color w:val="000000"/>
          <w:rtl/>
        </w:rPr>
        <w:t>לתפיסת "הלקוח במרכז"</w:t>
      </w:r>
      <w:r w:rsidR="00FC56DA">
        <w:rPr>
          <w:rFonts w:ascii="David" w:hAnsi="David" w:cs="David" w:hint="cs"/>
          <w:color w:val="000000"/>
          <w:rtl/>
        </w:rPr>
        <w:t xml:space="preserve"> </w:t>
      </w:r>
      <w:r w:rsidR="00186991">
        <w:rPr>
          <w:rFonts w:ascii="David" w:hAnsi="David" w:cs="David" w:hint="cs"/>
          <w:color w:val="000000"/>
          <w:rtl/>
        </w:rPr>
        <w:t xml:space="preserve">בה דוגל הפיקוח, </w:t>
      </w:r>
      <w:r w:rsidR="00206795">
        <w:rPr>
          <w:rFonts w:ascii="David" w:hAnsi="David" w:cs="David" w:hint="cs"/>
          <w:color w:val="000000"/>
          <w:rtl/>
        </w:rPr>
        <w:t>והיא קובעת</w:t>
      </w:r>
      <w:r w:rsidR="00FC56DA">
        <w:rPr>
          <w:rFonts w:ascii="David" w:hAnsi="David" w:cs="David" w:hint="cs"/>
          <w:color w:val="000000"/>
          <w:rtl/>
        </w:rPr>
        <w:t xml:space="preserve"> </w:t>
      </w:r>
      <w:r w:rsidR="00B132D9">
        <w:rPr>
          <w:rFonts w:ascii="David" w:hAnsi="David" w:cs="David" w:hint="cs"/>
          <w:color w:val="000000"/>
          <w:rtl/>
        </w:rPr>
        <w:t>עקרונות</w:t>
      </w:r>
      <w:r w:rsidR="00FC56DA">
        <w:rPr>
          <w:rFonts w:ascii="David" w:hAnsi="David" w:cs="David" w:hint="cs"/>
          <w:color w:val="000000"/>
          <w:rtl/>
        </w:rPr>
        <w:t xml:space="preserve"> </w:t>
      </w:r>
      <w:r w:rsidR="000363EB">
        <w:rPr>
          <w:rFonts w:ascii="David" w:hAnsi="David" w:cs="David" w:hint="cs"/>
          <w:color w:val="000000"/>
          <w:rtl/>
        </w:rPr>
        <w:t>על שיהוו אמות מידה מקצועיות למתן שירות הולם ללקוחות</w:t>
      </w:r>
      <w:r w:rsidR="00206795">
        <w:rPr>
          <w:rFonts w:ascii="David" w:hAnsi="David" w:cs="David" w:hint="cs"/>
          <w:color w:val="000000"/>
          <w:rtl/>
        </w:rPr>
        <w:t>.</w:t>
      </w:r>
      <w:r w:rsidR="00B952FB">
        <w:rPr>
          <w:rFonts w:ascii="David" w:hAnsi="David" w:cs="David" w:hint="cs"/>
          <w:color w:val="000000"/>
          <w:rtl/>
        </w:rPr>
        <w:t xml:space="preserve"> </w:t>
      </w:r>
      <w:r w:rsidR="00F24D29">
        <w:rPr>
          <w:rFonts w:ascii="David" w:hAnsi="David" w:cs="David" w:hint="cs"/>
          <w:color w:val="000000"/>
          <w:rtl/>
        </w:rPr>
        <w:t xml:space="preserve">אני מצפה מהבנקים </w:t>
      </w:r>
      <w:r w:rsidR="00206795">
        <w:rPr>
          <w:rFonts w:ascii="David" w:hAnsi="David" w:cs="David" w:hint="cs"/>
          <w:color w:val="000000"/>
          <w:rtl/>
        </w:rPr>
        <w:t>להמשיך ו</w:t>
      </w:r>
      <w:r w:rsidR="00561366">
        <w:rPr>
          <w:rFonts w:ascii="David" w:hAnsi="David" w:cs="David" w:hint="cs"/>
          <w:color w:val="000000"/>
          <w:rtl/>
        </w:rPr>
        <w:t xml:space="preserve">לפעול לקידום סביבה עסקית ותרבות ארגונית </w:t>
      </w:r>
      <w:r w:rsidR="00206795">
        <w:rPr>
          <w:rFonts w:ascii="David" w:hAnsi="David" w:cs="David" w:hint="cs"/>
          <w:color w:val="000000"/>
          <w:rtl/>
        </w:rPr>
        <w:t>המקדמות</w:t>
      </w:r>
      <w:r w:rsidR="00561366">
        <w:rPr>
          <w:rFonts w:ascii="David" w:hAnsi="David" w:cs="David" w:hint="cs"/>
          <w:color w:val="000000"/>
          <w:rtl/>
        </w:rPr>
        <w:t xml:space="preserve"> התנהלות הוגנת והגונה כלפי הלקוחות, להטמיע גישה פרואקטיבית</w:t>
      </w:r>
      <w:r w:rsidR="00B952FB">
        <w:rPr>
          <w:rFonts w:ascii="David" w:hAnsi="David" w:cs="David" w:hint="cs"/>
          <w:color w:val="000000"/>
          <w:rtl/>
        </w:rPr>
        <w:t xml:space="preserve"> </w:t>
      </w:r>
      <w:r w:rsidR="00561366">
        <w:rPr>
          <w:rFonts w:ascii="David" w:hAnsi="David" w:cs="David" w:hint="cs"/>
          <w:color w:val="000000"/>
          <w:rtl/>
        </w:rPr>
        <w:t>ו</w:t>
      </w:r>
      <w:r w:rsidR="00B132D9" w:rsidRPr="00B132D9">
        <w:rPr>
          <w:rFonts w:ascii="David" w:hAnsi="David" w:cs="David" w:hint="cs"/>
          <w:color w:val="000000"/>
          <w:rtl/>
        </w:rPr>
        <w:t>להשקיע את המשאבים הראויים</w:t>
      </w:r>
      <w:r w:rsidR="00B952FB">
        <w:rPr>
          <w:rFonts w:ascii="David" w:hAnsi="David" w:cs="David" w:hint="cs"/>
          <w:color w:val="000000"/>
          <w:rtl/>
        </w:rPr>
        <w:t xml:space="preserve"> לצורך שיפור</w:t>
      </w:r>
      <w:r w:rsidR="00B132D9" w:rsidRPr="00B132D9">
        <w:rPr>
          <w:rFonts w:ascii="David" w:hAnsi="David" w:cs="David" w:hint="cs"/>
          <w:color w:val="000000"/>
          <w:rtl/>
        </w:rPr>
        <w:t xml:space="preserve"> השירות והתמיכה בלקוחות, תוך</w:t>
      </w:r>
      <w:r w:rsidR="00D65707">
        <w:rPr>
          <w:rFonts w:ascii="David" w:hAnsi="David" w:cs="David" w:hint="cs"/>
          <w:color w:val="000000"/>
          <w:rtl/>
        </w:rPr>
        <w:t xml:space="preserve"> שהם "שמים עצמם בנעלי הלקוח" ומביאים לידי ביטוי את</w:t>
      </w:r>
      <w:r w:rsidR="00B132D9" w:rsidRPr="00B132D9">
        <w:rPr>
          <w:rFonts w:ascii="David" w:hAnsi="David" w:cs="David" w:hint="cs"/>
          <w:color w:val="000000"/>
          <w:rtl/>
        </w:rPr>
        <w:t xml:space="preserve"> צרכי הלקוחות בממשקים</w:t>
      </w:r>
      <w:r w:rsidR="00D65707">
        <w:rPr>
          <w:rFonts w:ascii="David" w:hAnsi="David" w:cs="David" w:hint="cs"/>
          <w:color w:val="000000"/>
          <w:rtl/>
        </w:rPr>
        <w:t xml:space="preserve"> השונים</w:t>
      </w:r>
      <w:r w:rsidR="00B132D9" w:rsidRPr="00B132D9">
        <w:rPr>
          <w:rFonts w:ascii="David" w:hAnsi="David" w:cs="David" w:hint="cs"/>
          <w:color w:val="000000"/>
          <w:rtl/>
        </w:rPr>
        <w:t xml:space="preserve"> מול</w:t>
      </w:r>
      <w:r w:rsidR="00D65707">
        <w:rPr>
          <w:rFonts w:ascii="David" w:hAnsi="David" w:cs="David" w:hint="cs"/>
          <w:color w:val="000000"/>
          <w:rtl/>
        </w:rPr>
        <w:t>ם.</w:t>
      </w:r>
      <w:r w:rsidR="000363EB">
        <w:rPr>
          <w:rFonts w:ascii="David" w:hAnsi="David" w:cs="David" w:hint="cs"/>
          <w:color w:val="000000"/>
          <w:rtl/>
        </w:rPr>
        <w:t>"</w:t>
      </w:r>
    </w:p>
    <w:p w:rsidR="000363EB" w:rsidRDefault="000363EB" w:rsidP="002E6675">
      <w:pPr>
        <w:bidi/>
        <w:spacing w:line="360" w:lineRule="auto"/>
        <w:jc w:val="both"/>
        <w:rPr>
          <w:rFonts w:ascii="David" w:hAnsi="David" w:cs="David"/>
          <w:color w:val="000000"/>
          <w:rtl/>
        </w:rPr>
      </w:pPr>
    </w:p>
    <w:p w:rsidR="000363EB" w:rsidRDefault="000363EB" w:rsidP="002E6675">
      <w:pPr>
        <w:bidi/>
        <w:spacing w:line="360" w:lineRule="auto"/>
        <w:jc w:val="both"/>
        <w:rPr>
          <w:rFonts w:ascii="David" w:hAnsi="David" w:cs="David"/>
          <w:rtl/>
        </w:rPr>
      </w:pPr>
      <w:r w:rsidRPr="00160A0F">
        <w:rPr>
          <w:rFonts w:ascii="David" w:hAnsi="David" w:cs="David" w:hint="eastAsia"/>
          <w:b/>
          <w:bCs/>
          <w:color w:val="000000"/>
          <w:rtl/>
        </w:rPr>
        <w:t>עיקרי</w:t>
      </w:r>
      <w:r>
        <w:rPr>
          <w:rFonts w:ascii="David" w:hAnsi="David" w:cs="David" w:hint="cs"/>
          <w:b/>
          <w:bCs/>
          <w:color w:val="000000"/>
          <w:rtl/>
        </w:rPr>
        <w:t xml:space="preserve"> טיוטת</w:t>
      </w:r>
      <w:r w:rsidRPr="00160A0F">
        <w:rPr>
          <w:rFonts w:ascii="David" w:hAnsi="David" w:cs="David"/>
          <w:b/>
          <w:bCs/>
          <w:color w:val="000000"/>
          <w:rtl/>
        </w:rPr>
        <w:t xml:space="preserve"> </w:t>
      </w:r>
      <w:r>
        <w:rPr>
          <w:rFonts w:ascii="David" w:hAnsi="David" w:cs="David" w:hint="cs"/>
          <w:b/>
          <w:bCs/>
          <w:color w:val="000000"/>
          <w:rtl/>
        </w:rPr>
        <w:t xml:space="preserve">ההוראה: </w:t>
      </w:r>
    </w:p>
    <w:p w:rsidR="00561366" w:rsidRDefault="000363EB" w:rsidP="002E6675">
      <w:pPr>
        <w:bidi/>
        <w:spacing w:after="160" w:line="360" w:lineRule="auto"/>
        <w:jc w:val="both"/>
        <w:rPr>
          <w:rFonts w:ascii="David" w:hAnsi="David" w:cs="David"/>
          <w:rtl/>
        </w:rPr>
      </w:pPr>
      <w:r w:rsidRPr="00B132D9">
        <w:rPr>
          <w:rFonts w:ascii="David" w:hAnsi="David" w:cs="David"/>
          <w:rtl/>
        </w:rPr>
        <w:t xml:space="preserve">טיוטת </w:t>
      </w:r>
      <w:r w:rsidR="00D65707">
        <w:rPr>
          <w:rFonts w:ascii="David" w:hAnsi="David" w:cs="David" w:hint="cs"/>
          <w:rtl/>
        </w:rPr>
        <w:t>ההוראה החדשה</w:t>
      </w:r>
      <w:r w:rsidR="00B132D9">
        <w:rPr>
          <w:rFonts w:ascii="David" w:hAnsi="David" w:cs="David" w:hint="cs"/>
          <w:rtl/>
        </w:rPr>
        <w:t xml:space="preserve"> </w:t>
      </w:r>
      <w:r w:rsidRPr="00B132D9">
        <w:rPr>
          <w:rFonts w:ascii="David" w:hAnsi="David" w:cs="David"/>
          <w:rtl/>
        </w:rPr>
        <w:t>מעגנת עקרונות למתן שירות ותמיכה ללקוחות המערכת הבנקאית בערוצי השירות השונים</w:t>
      </w:r>
      <w:r w:rsidR="00CF487D">
        <w:rPr>
          <w:rFonts w:ascii="David" w:hAnsi="David" w:cs="David" w:hint="cs"/>
          <w:rtl/>
        </w:rPr>
        <w:t>,</w:t>
      </w:r>
      <w:r w:rsidR="00D65707">
        <w:rPr>
          <w:rFonts w:ascii="David" w:hAnsi="David" w:cs="David" w:hint="cs"/>
          <w:rtl/>
        </w:rPr>
        <w:t xml:space="preserve"> שעל התאגידים </w:t>
      </w:r>
      <w:r w:rsidR="00CF487D">
        <w:rPr>
          <w:rFonts w:ascii="David" w:hAnsi="David" w:cs="David" w:hint="cs"/>
          <w:rtl/>
        </w:rPr>
        <w:t xml:space="preserve">הבנקאיים </w:t>
      </w:r>
      <w:r w:rsidR="00D65707">
        <w:rPr>
          <w:rFonts w:ascii="David" w:hAnsi="David" w:cs="David" w:hint="cs"/>
          <w:rtl/>
        </w:rPr>
        <w:t>לראות לנגד עיניהם במהלך התנהלותם השוטפת</w:t>
      </w:r>
      <w:r w:rsidRPr="00B132D9">
        <w:rPr>
          <w:rFonts w:ascii="David" w:hAnsi="David" w:cs="David"/>
          <w:rtl/>
        </w:rPr>
        <w:t xml:space="preserve"> </w:t>
      </w:r>
      <w:r w:rsidR="009D6344">
        <w:rPr>
          <w:rFonts w:ascii="David" w:hAnsi="David" w:cs="David" w:hint="cs"/>
          <w:rtl/>
        </w:rPr>
        <w:t>ולשאוף לעמוד בהם באופן מתמיד</w:t>
      </w:r>
      <w:r w:rsidR="00CF487D">
        <w:rPr>
          <w:rFonts w:ascii="David" w:hAnsi="David" w:cs="David" w:hint="cs"/>
          <w:rtl/>
        </w:rPr>
        <w:t xml:space="preserve">. </w:t>
      </w:r>
      <w:r w:rsidR="00561366">
        <w:rPr>
          <w:rFonts w:ascii="David" w:hAnsi="David" w:cs="David" w:hint="cs"/>
          <w:rtl/>
        </w:rPr>
        <w:t xml:space="preserve">עקרונות אלו </w:t>
      </w:r>
      <w:r w:rsidR="00561366" w:rsidRPr="00893C49">
        <w:rPr>
          <w:rFonts w:ascii="David" w:hAnsi="David" w:cs="David"/>
          <w:rtl/>
        </w:rPr>
        <w:t xml:space="preserve">משקפים את אמות המידה להתנהלות נאותה </w:t>
      </w:r>
      <w:r w:rsidR="00561366">
        <w:rPr>
          <w:rFonts w:ascii="David" w:hAnsi="David" w:cs="David" w:hint="cs"/>
          <w:rtl/>
        </w:rPr>
        <w:t>ו</w:t>
      </w:r>
      <w:r w:rsidR="00561366" w:rsidRPr="00893C49">
        <w:rPr>
          <w:rFonts w:ascii="David" w:hAnsi="David" w:cs="David"/>
          <w:rtl/>
        </w:rPr>
        <w:t xml:space="preserve">הוגנת כלפי הלקוחות. </w:t>
      </w:r>
    </w:p>
    <w:p w:rsidR="00833F95" w:rsidRDefault="00CF487D" w:rsidP="002E6675">
      <w:pPr>
        <w:bidi/>
        <w:spacing w:after="160" w:line="360" w:lineRule="auto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לשם כך, ההוראה </w:t>
      </w:r>
      <w:r w:rsidR="000363EB" w:rsidRPr="00B132D9">
        <w:rPr>
          <w:rFonts w:ascii="David" w:hAnsi="David" w:cs="David"/>
          <w:rtl/>
        </w:rPr>
        <w:t xml:space="preserve">קובעת חובות בתחום הממשל התאגידי, שמטרתן לקדם תרבות ארגונית ששמה דגש על איכות וזמינות השירות והתמיכה הניתנים ללקוחות. </w:t>
      </w:r>
    </w:p>
    <w:p w:rsidR="00833F95" w:rsidRDefault="000363EB" w:rsidP="002E6675">
      <w:pPr>
        <w:bidi/>
        <w:spacing w:after="160" w:line="360" w:lineRule="auto"/>
        <w:jc w:val="both"/>
        <w:rPr>
          <w:rFonts w:ascii="David" w:hAnsi="David" w:cs="David"/>
          <w:rtl/>
        </w:rPr>
      </w:pPr>
      <w:r w:rsidRPr="00893C49">
        <w:rPr>
          <w:rFonts w:ascii="David" w:hAnsi="David" w:cs="David"/>
          <w:rtl/>
        </w:rPr>
        <w:t xml:space="preserve">העקרונות שנקבעו עוסקים בתחומים הבאים: </w:t>
      </w:r>
    </w:p>
    <w:p w:rsidR="00833F95" w:rsidRPr="00F053B2" w:rsidRDefault="000363EB" w:rsidP="002E6675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="David" w:hAnsi="David" w:cs="David"/>
          <w:rtl/>
        </w:rPr>
      </w:pPr>
      <w:r w:rsidRPr="00F053B2">
        <w:rPr>
          <w:rFonts w:ascii="David" w:hAnsi="David" w:cs="David"/>
          <w:sz w:val="24"/>
          <w:szCs w:val="24"/>
          <w:rtl/>
        </w:rPr>
        <w:t>מתן שירות מיטבי ללקוחות במגוון ערוצי שירות</w:t>
      </w:r>
      <w:r w:rsidR="00833F95" w:rsidRPr="00F053B2">
        <w:rPr>
          <w:rFonts w:ascii="David" w:hAnsi="David" w:cs="David"/>
          <w:sz w:val="24"/>
          <w:szCs w:val="24"/>
          <w:rtl/>
        </w:rPr>
        <w:t>;</w:t>
      </w:r>
      <w:r w:rsidRPr="00F053B2">
        <w:rPr>
          <w:rFonts w:ascii="David" w:hAnsi="David" w:cs="David"/>
          <w:sz w:val="24"/>
          <w:szCs w:val="24"/>
          <w:rtl/>
        </w:rPr>
        <w:t xml:space="preserve"> </w:t>
      </w:r>
    </w:p>
    <w:p w:rsidR="00833F95" w:rsidRPr="00F053B2" w:rsidRDefault="000363EB" w:rsidP="002E6675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="David" w:hAnsi="David" w:cs="David"/>
          <w:rtl/>
        </w:rPr>
      </w:pPr>
      <w:r w:rsidRPr="00F053B2">
        <w:rPr>
          <w:rFonts w:ascii="David" w:hAnsi="David" w:cs="David"/>
          <w:sz w:val="24"/>
          <w:szCs w:val="24"/>
          <w:rtl/>
        </w:rPr>
        <w:t>קידום תקשורת מועילה בין התאגיד הבנקאי והלקוח במסגרת מתן השירות והתמיכה</w:t>
      </w:r>
      <w:r w:rsidR="00833F95" w:rsidRPr="00F053B2">
        <w:rPr>
          <w:rFonts w:ascii="David" w:hAnsi="David" w:cs="David"/>
          <w:sz w:val="24"/>
          <w:szCs w:val="24"/>
          <w:rtl/>
        </w:rPr>
        <w:t>;</w:t>
      </w:r>
      <w:r w:rsidRPr="00F053B2">
        <w:rPr>
          <w:rFonts w:ascii="David" w:hAnsi="David" w:cs="David"/>
          <w:sz w:val="24"/>
          <w:szCs w:val="24"/>
          <w:rtl/>
        </w:rPr>
        <w:t xml:space="preserve"> </w:t>
      </w:r>
    </w:p>
    <w:p w:rsidR="00833F95" w:rsidRPr="00F053B2" w:rsidRDefault="000363EB" w:rsidP="002E6675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="David" w:hAnsi="David" w:cs="David"/>
          <w:rtl/>
        </w:rPr>
      </w:pPr>
      <w:r w:rsidRPr="00F053B2">
        <w:rPr>
          <w:rFonts w:ascii="David" w:hAnsi="David" w:cs="David"/>
          <w:sz w:val="24"/>
          <w:szCs w:val="24"/>
          <w:rtl/>
        </w:rPr>
        <w:t>מניעת חסמים לקבלת שירות ומניעת נזק והטעיה</w:t>
      </w:r>
      <w:r w:rsidR="00833F95" w:rsidRPr="00F053B2">
        <w:rPr>
          <w:rFonts w:ascii="David" w:hAnsi="David" w:cs="David"/>
          <w:sz w:val="24"/>
          <w:szCs w:val="24"/>
          <w:rtl/>
        </w:rPr>
        <w:t>;</w:t>
      </w:r>
      <w:r w:rsidRPr="00F053B2">
        <w:rPr>
          <w:rFonts w:ascii="David" w:hAnsi="David" w:cs="David"/>
          <w:sz w:val="24"/>
          <w:szCs w:val="24"/>
          <w:rtl/>
        </w:rPr>
        <w:t xml:space="preserve"> </w:t>
      </w:r>
    </w:p>
    <w:p w:rsidR="00833F95" w:rsidRPr="00F053B2" w:rsidRDefault="000363EB" w:rsidP="002E6675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="David" w:hAnsi="David" w:cs="David"/>
          <w:rtl/>
        </w:rPr>
      </w:pPr>
      <w:r w:rsidRPr="00F053B2">
        <w:rPr>
          <w:rFonts w:ascii="David" w:hAnsi="David" w:cs="David"/>
          <w:sz w:val="24"/>
          <w:szCs w:val="24"/>
          <w:rtl/>
        </w:rPr>
        <w:lastRenderedPageBreak/>
        <w:t>הבטחת זמינות ואיכות גבוהה של מערך השירות והתמיכה לאורך כל תקופת ההתקשרות עם הלקוח</w:t>
      </w:r>
      <w:r w:rsidR="00833F95" w:rsidRPr="00F053B2">
        <w:rPr>
          <w:rFonts w:ascii="David" w:hAnsi="David" w:cs="David"/>
          <w:sz w:val="24"/>
          <w:szCs w:val="24"/>
          <w:rtl/>
        </w:rPr>
        <w:t>;</w:t>
      </w:r>
      <w:r w:rsidRPr="00F053B2">
        <w:rPr>
          <w:rFonts w:ascii="David" w:hAnsi="David" w:cs="David"/>
          <w:sz w:val="24"/>
          <w:szCs w:val="24"/>
          <w:rtl/>
        </w:rPr>
        <w:t xml:space="preserve"> </w:t>
      </w:r>
    </w:p>
    <w:p w:rsidR="000363EB" w:rsidRDefault="000363EB" w:rsidP="002E6675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="David" w:hAnsi="David" w:cs="David"/>
        </w:rPr>
      </w:pPr>
      <w:r w:rsidRPr="00F053B2">
        <w:rPr>
          <w:rFonts w:ascii="David" w:hAnsi="David" w:cs="David"/>
          <w:sz w:val="24"/>
          <w:szCs w:val="24"/>
          <w:rtl/>
        </w:rPr>
        <w:t>התאמת מערך השירות והתמיכה לצרכי הלקוחות</w:t>
      </w:r>
      <w:r w:rsidR="00206795">
        <w:rPr>
          <w:rFonts w:ascii="David" w:hAnsi="David" w:cs="David" w:hint="cs"/>
          <w:sz w:val="24"/>
          <w:szCs w:val="24"/>
          <w:rtl/>
        </w:rPr>
        <w:t>;</w:t>
      </w:r>
      <w:r w:rsidR="00206795" w:rsidRPr="00F053B2">
        <w:rPr>
          <w:rFonts w:ascii="David" w:hAnsi="David" w:cs="David"/>
          <w:sz w:val="24"/>
          <w:szCs w:val="24"/>
          <w:rtl/>
        </w:rPr>
        <w:t xml:space="preserve"> </w:t>
      </w:r>
    </w:p>
    <w:p w:rsidR="00206795" w:rsidRPr="007C329D" w:rsidRDefault="00206795" w:rsidP="002E6675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="David" w:hAnsi="David" w:cs="David"/>
          <w:sz w:val="24"/>
          <w:szCs w:val="24"/>
        </w:rPr>
      </w:pPr>
      <w:r w:rsidRPr="007C329D">
        <w:rPr>
          <w:rFonts w:ascii="David" w:hAnsi="David" w:cs="David" w:hint="eastAsia"/>
          <w:sz w:val="24"/>
          <w:szCs w:val="24"/>
          <w:rtl/>
        </w:rPr>
        <w:t>מתן</w:t>
      </w:r>
      <w:r w:rsidRPr="007C329D">
        <w:rPr>
          <w:rFonts w:ascii="David" w:hAnsi="David" w:cs="David"/>
          <w:sz w:val="24"/>
          <w:szCs w:val="24"/>
          <w:rtl/>
        </w:rPr>
        <w:t xml:space="preserve"> </w:t>
      </w:r>
      <w:r w:rsidRPr="007C329D">
        <w:rPr>
          <w:rFonts w:ascii="David" w:hAnsi="David" w:cs="David" w:hint="eastAsia"/>
          <w:sz w:val="24"/>
          <w:szCs w:val="24"/>
          <w:rtl/>
        </w:rPr>
        <w:t>שירות</w:t>
      </w:r>
      <w:r w:rsidRPr="007C329D">
        <w:rPr>
          <w:rFonts w:ascii="David" w:hAnsi="David" w:cs="David"/>
          <w:sz w:val="24"/>
          <w:szCs w:val="24"/>
          <w:rtl/>
        </w:rPr>
        <w:t xml:space="preserve"> </w:t>
      </w:r>
      <w:r w:rsidRPr="007C329D">
        <w:rPr>
          <w:rFonts w:ascii="David" w:hAnsi="David" w:cs="David" w:hint="eastAsia"/>
          <w:sz w:val="24"/>
          <w:szCs w:val="24"/>
          <w:rtl/>
        </w:rPr>
        <w:t>נאות</w:t>
      </w:r>
      <w:r w:rsidRPr="007C329D">
        <w:rPr>
          <w:rFonts w:ascii="David" w:hAnsi="David" w:cs="David"/>
          <w:sz w:val="24"/>
          <w:szCs w:val="24"/>
          <w:rtl/>
        </w:rPr>
        <w:t xml:space="preserve"> </w:t>
      </w:r>
      <w:r w:rsidRPr="007C329D">
        <w:rPr>
          <w:rFonts w:ascii="David" w:hAnsi="David" w:cs="David" w:hint="eastAsia"/>
          <w:sz w:val="24"/>
          <w:szCs w:val="24"/>
          <w:rtl/>
        </w:rPr>
        <w:t>במגוון</w:t>
      </w:r>
      <w:r w:rsidRPr="007C329D">
        <w:rPr>
          <w:rFonts w:ascii="David" w:hAnsi="David" w:cs="David"/>
          <w:sz w:val="24"/>
          <w:szCs w:val="24"/>
          <w:rtl/>
        </w:rPr>
        <w:t xml:space="preserve"> </w:t>
      </w:r>
      <w:r w:rsidRPr="007C329D">
        <w:rPr>
          <w:rFonts w:ascii="David" w:hAnsi="David" w:cs="David" w:hint="eastAsia"/>
          <w:sz w:val="24"/>
          <w:szCs w:val="24"/>
          <w:rtl/>
        </w:rPr>
        <w:t>ערוצים</w:t>
      </w:r>
      <w:r w:rsidRPr="007C329D">
        <w:rPr>
          <w:rFonts w:ascii="David" w:hAnsi="David" w:cs="David"/>
          <w:sz w:val="24"/>
          <w:szCs w:val="24"/>
          <w:rtl/>
        </w:rPr>
        <w:t>.</w:t>
      </w:r>
    </w:p>
    <w:p w:rsidR="00206795" w:rsidRPr="00F053B2" w:rsidRDefault="00206795" w:rsidP="002E6675">
      <w:pPr>
        <w:pStyle w:val="a3"/>
        <w:spacing w:after="160" w:line="360" w:lineRule="auto"/>
        <w:jc w:val="both"/>
        <w:rPr>
          <w:rFonts w:ascii="David" w:hAnsi="David" w:cs="David"/>
          <w:rtl/>
        </w:rPr>
      </w:pPr>
    </w:p>
    <w:p w:rsidR="000363EB" w:rsidRDefault="000363EB" w:rsidP="002E6675">
      <w:pPr>
        <w:pStyle w:val="a3"/>
        <w:spacing w:after="160"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  <w:r w:rsidRPr="00893C49">
        <w:rPr>
          <w:rFonts w:ascii="David" w:hAnsi="David" w:cs="David"/>
          <w:sz w:val="24"/>
          <w:szCs w:val="24"/>
          <w:rtl/>
        </w:rPr>
        <w:t xml:space="preserve">התאגידים הבנקאיים נדרשים לפעול לקידום </w:t>
      </w:r>
      <w:r w:rsidR="00D65707">
        <w:rPr>
          <w:rFonts w:ascii="David" w:hAnsi="David" w:cs="David" w:hint="cs"/>
          <w:sz w:val="24"/>
          <w:szCs w:val="24"/>
          <w:rtl/>
        </w:rPr>
        <w:t>ה</w:t>
      </w:r>
      <w:r w:rsidRPr="00893C49">
        <w:rPr>
          <w:rFonts w:ascii="David" w:hAnsi="David" w:cs="David"/>
          <w:sz w:val="24"/>
          <w:szCs w:val="24"/>
          <w:rtl/>
        </w:rPr>
        <w:t>עקרונות באופן שיטתי, מתמיד ומתמשך, תוך הפעלת שיקול ד</w:t>
      </w:r>
      <w:r>
        <w:rPr>
          <w:rFonts w:ascii="David" w:hAnsi="David" w:cs="David"/>
          <w:sz w:val="24"/>
          <w:szCs w:val="24"/>
          <w:rtl/>
        </w:rPr>
        <w:t xml:space="preserve">עת וקביעת </w:t>
      </w:r>
      <w:proofErr w:type="spellStart"/>
      <w:r>
        <w:rPr>
          <w:rFonts w:ascii="David" w:hAnsi="David" w:cs="David"/>
          <w:sz w:val="24"/>
          <w:szCs w:val="24"/>
          <w:rtl/>
        </w:rPr>
        <w:t>תיעדוף</w:t>
      </w:r>
      <w:proofErr w:type="spellEnd"/>
      <w:r>
        <w:rPr>
          <w:rFonts w:ascii="David" w:hAnsi="David" w:cs="David"/>
          <w:sz w:val="24"/>
          <w:szCs w:val="24"/>
          <w:rtl/>
        </w:rPr>
        <w:t xml:space="preserve"> בהתאם </w:t>
      </w:r>
      <w:r w:rsidR="00673B87">
        <w:rPr>
          <w:rFonts w:ascii="David" w:hAnsi="David" w:cs="David" w:hint="cs"/>
          <w:sz w:val="24"/>
          <w:szCs w:val="24"/>
          <w:rtl/>
        </w:rPr>
        <w:t xml:space="preserve">לחשיבותם </w:t>
      </w:r>
      <w:r>
        <w:rPr>
          <w:rFonts w:ascii="David" w:hAnsi="David" w:cs="David" w:hint="cs"/>
          <w:sz w:val="24"/>
          <w:szCs w:val="24"/>
          <w:rtl/>
        </w:rPr>
        <w:t>בעבור הלקוחות</w:t>
      </w:r>
      <w:r w:rsidR="00D65707">
        <w:rPr>
          <w:rFonts w:ascii="David" w:hAnsi="David" w:cs="David" w:hint="cs"/>
          <w:sz w:val="24"/>
          <w:szCs w:val="24"/>
          <w:rtl/>
        </w:rPr>
        <w:t xml:space="preserve">, בדגש על </w:t>
      </w:r>
      <w:r w:rsidR="00186991">
        <w:rPr>
          <w:rFonts w:ascii="David" w:hAnsi="David" w:cs="David" w:hint="cs"/>
          <w:sz w:val="24"/>
          <w:szCs w:val="24"/>
          <w:rtl/>
        </w:rPr>
        <w:t xml:space="preserve">לקוחות </w:t>
      </w:r>
      <w:r w:rsidR="00673B87">
        <w:rPr>
          <w:rFonts w:ascii="David" w:hAnsi="David" w:cs="David" w:hint="cs"/>
          <w:sz w:val="24"/>
          <w:szCs w:val="24"/>
          <w:rtl/>
        </w:rPr>
        <w:t>משקי הבית</w:t>
      </w:r>
      <w:r w:rsidR="00206795">
        <w:rPr>
          <w:rFonts w:ascii="David" w:hAnsi="David" w:cs="David" w:hint="cs"/>
          <w:sz w:val="24"/>
          <w:szCs w:val="24"/>
          <w:rtl/>
        </w:rPr>
        <w:t xml:space="preserve"> והעסקים הקטנים</w:t>
      </w:r>
      <w:r w:rsidR="00186991">
        <w:rPr>
          <w:rFonts w:ascii="David" w:hAnsi="David" w:cs="David" w:hint="cs"/>
          <w:sz w:val="24"/>
          <w:szCs w:val="24"/>
          <w:rtl/>
        </w:rPr>
        <w:t xml:space="preserve">. </w:t>
      </w:r>
      <w:r w:rsidRPr="00893C49">
        <w:rPr>
          <w:rFonts w:ascii="David" w:hAnsi="David" w:cs="David"/>
          <w:sz w:val="24"/>
          <w:szCs w:val="24"/>
          <w:rtl/>
        </w:rPr>
        <w:t>זאת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893C49">
        <w:rPr>
          <w:rFonts w:ascii="David" w:hAnsi="David" w:cs="David"/>
          <w:sz w:val="24"/>
          <w:szCs w:val="24"/>
          <w:rtl/>
        </w:rPr>
        <w:t xml:space="preserve"> במטרה להבטיח כי מערך השירות והתמיכה ללקוחות ייתן מענה מיטבי לצרכי </w:t>
      </w:r>
      <w:r w:rsidR="00206795">
        <w:rPr>
          <w:rFonts w:ascii="David" w:hAnsi="David" w:cs="David" w:hint="cs"/>
          <w:sz w:val="24"/>
          <w:szCs w:val="24"/>
          <w:rtl/>
        </w:rPr>
        <w:t xml:space="preserve">כלל הלקוחות, </w:t>
      </w:r>
      <w:r w:rsidRPr="00893C49">
        <w:rPr>
          <w:rFonts w:ascii="David" w:hAnsi="David" w:cs="David"/>
          <w:sz w:val="24"/>
          <w:szCs w:val="24"/>
          <w:rtl/>
        </w:rPr>
        <w:t xml:space="preserve">וכי השירות והתמיכה הניתנים להם הינם בעלי ערך. </w:t>
      </w:r>
      <w:r w:rsidRPr="007B1B85">
        <w:rPr>
          <w:rFonts w:ascii="David" w:hAnsi="David" w:cs="David"/>
          <w:sz w:val="24"/>
          <w:szCs w:val="24"/>
          <w:rtl/>
        </w:rPr>
        <w:t>בנוסף נקבעו בטיוטת ההוראה דרישות לפרסום</w:t>
      </w:r>
      <w:r w:rsidR="00D65707">
        <w:rPr>
          <w:rFonts w:ascii="David" w:hAnsi="David" w:cs="David" w:hint="cs"/>
          <w:sz w:val="24"/>
          <w:szCs w:val="24"/>
          <w:rtl/>
        </w:rPr>
        <w:t xml:space="preserve"> מידע לציבור אודות ערוצי השירות השונים</w:t>
      </w:r>
      <w:r w:rsidRPr="007B1B85">
        <w:rPr>
          <w:rFonts w:ascii="David" w:hAnsi="David" w:cs="David"/>
          <w:sz w:val="24"/>
          <w:szCs w:val="24"/>
          <w:rtl/>
        </w:rPr>
        <w:t xml:space="preserve">. </w:t>
      </w:r>
    </w:p>
    <w:p w:rsidR="0081062F" w:rsidRDefault="0081062F" w:rsidP="002E6675">
      <w:pPr>
        <w:pStyle w:val="a3"/>
        <w:spacing w:after="160"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</w:p>
    <w:p w:rsidR="00CF4691" w:rsidRPr="002061BA" w:rsidRDefault="0081062F" w:rsidP="002E6675">
      <w:pPr>
        <w:pStyle w:val="a3"/>
        <w:spacing w:after="160" w:line="360" w:lineRule="auto"/>
        <w:ind w:left="0"/>
        <w:jc w:val="both"/>
        <w:rPr>
          <w:rFonts w:ascii="David" w:hAnsi="David" w:cs="David"/>
          <w:b/>
          <w:bCs/>
        </w:rPr>
      </w:pPr>
      <w:r>
        <w:rPr>
          <w:rFonts w:ascii="David" w:hAnsi="David" w:cs="David" w:hint="cs"/>
          <w:sz w:val="24"/>
          <w:szCs w:val="24"/>
          <w:rtl/>
        </w:rPr>
        <w:t xml:space="preserve">כרקע להוראה </w:t>
      </w:r>
      <w:hyperlink r:id="rId9" w:history="1">
        <w:r w:rsidRPr="006454BE">
          <w:rPr>
            <w:rStyle w:val="Hyperlink"/>
            <w:rFonts w:ascii="David" w:hAnsi="David" w:cs="David" w:hint="cs"/>
            <w:sz w:val="24"/>
            <w:szCs w:val="24"/>
            <w:rtl/>
          </w:rPr>
          <w:t xml:space="preserve">נפנה אל סקר </w:t>
        </w:r>
        <w:r w:rsidR="00CF4691" w:rsidRPr="006454BE">
          <w:rPr>
            <w:rStyle w:val="Hyperlink"/>
            <w:rFonts w:ascii="David" w:hAnsi="David" w:cs="David" w:hint="cs"/>
            <w:sz w:val="24"/>
            <w:szCs w:val="24"/>
            <w:rtl/>
          </w:rPr>
          <w:t>שביעות רצון</w:t>
        </w:r>
      </w:hyperlink>
      <w:r w:rsidR="00CF4691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שביצע לאחרונה הפיקוח</w:t>
      </w:r>
      <w:r w:rsidR="00206795">
        <w:rPr>
          <w:rFonts w:ascii="David" w:hAnsi="David" w:cs="David" w:hint="cs"/>
          <w:sz w:val="24"/>
          <w:szCs w:val="24"/>
          <w:rtl/>
        </w:rPr>
        <w:t xml:space="preserve"> על הבנקים,</w:t>
      </w:r>
      <w:r>
        <w:rPr>
          <w:rFonts w:ascii="David" w:hAnsi="David" w:cs="David" w:hint="cs"/>
          <w:sz w:val="24"/>
          <w:szCs w:val="24"/>
          <w:rtl/>
        </w:rPr>
        <w:t xml:space="preserve"> בו עלה כי נושא </w:t>
      </w:r>
      <w:r w:rsidR="00206795">
        <w:rPr>
          <w:rFonts w:ascii="David" w:hAnsi="David" w:cs="David" w:hint="cs"/>
          <w:sz w:val="24"/>
          <w:szCs w:val="24"/>
          <w:rtl/>
        </w:rPr>
        <w:t xml:space="preserve">זמינות ואיכות </w:t>
      </w:r>
      <w:r>
        <w:rPr>
          <w:rFonts w:ascii="David" w:hAnsi="David" w:cs="David" w:hint="cs"/>
          <w:sz w:val="24"/>
          <w:szCs w:val="24"/>
          <w:rtl/>
        </w:rPr>
        <w:t xml:space="preserve">השירות הוא אחד </w:t>
      </w:r>
      <w:r w:rsidR="00206795">
        <w:rPr>
          <w:rFonts w:ascii="David" w:hAnsi="David" w:cs="David" w:hint="cs"/>
          <w:sz w:val="24"/>
          <w:szCs w:val="24"/>
          <w:rtl/>
        </w:rPr>
        <w:t xml:space="preserve">הנושאים </w:t>
      </w:r>
      <w:r>
        <w:rPr>
          <w:rFonts w:ascii="David" w:hAnsi="David" w:cs="David" w:hint="cs"/>
          <w:sz w:val="24"/>
          <w:szCs w:val="24"/>
          <w:rtl/>
        </w:rPr>
        <w:t>המשמעותיים ביחסים שבין הבנקים ולקוחותיהם.</w:t>
      </w:r>
      <w:r w:rsidR="00CF4691">
        <w:rPr>
          <w:rFonts w:ascii="David" w:hAnsi="David" w:cs="David" w:hint="cs"/>
          <w:sz w:val="24"/>
          <w:szCs w:val="24"/>
          <w:rtl/>
        </w:rPr>
        <w:t xml:space="preserve"> ממצאי סקר שביעות</w:t>
      </w:r>
      <w:r w:rsidR="009D6344">
        <w:rPr>
          <w:rFonts w:ascii="David" w:hAnsi="David" w:cs="David" w:hint="cs"/>
          <w:sz w:val="24"/>
          <w:szCs w:val="24"/>
          <w:rtl/>
        </w:rPr>
        <w:t xml:space="preserve"> </w:t>
      </w:r>
      <w:r w:rsidR="00CF4691">
        <w:rPr>
          <w:rFonts w:ascii="David" w:hAnsi="David" w:cs="David" w:hint="cs"/>
          <w:sz w:val="24"/>
          <w:szCs w:val="24"/>
          <w:rtl/>
        </w:rPr>
        <w:t xml:space="preserve">הרצון משקי הבית, שנערך בשנת 2022, מראים כי חלה ירידה בשביעות הרצון מהשירות הניתן במוקדים הטלפוניים </w:t>
      </w:r>
      <w:r w:rsidR="00553F7C">
        <w:rPr>
          <w:rFonts w:ascii="David" w:hAnsi="David" w:cs="David" w:hint="cs"/>
          <w:sz w:val="24"/>
          <w:szCs w:val="24"/>
          <w:rtl/>
        </w:rPr>
        <w:t>ובסניפים</w:t>
      </w:r>
      <w:r w:rsidR="00CF4691">
        <w:rPr>
          <w:rFonts w:ascii="David" w:hAnsi="David" w:cs="David" w:hint="cs"/>
          <w:sz w:val="24"/>
          <w:szCs w:val="24"/>
          <w:rtl/>
        </w:rPr>
        <w:t>, לעומת ממצאי הסקר שנערך בשנת 2021.</w:t>
      </w:r>
      <w:r w:rsidR="00CF469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67112E" w:rsidRDefault="0067112E" w:rsidP="002E6675">
      <w:pPr>
        <w:pStyle w:val="a3"/>
        <w:spacing w:after="160"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</w:p>
    <w:p w:rsidR="00CF4691" w:rsidRPr="00CF4691" w:rsidRDefault="009D6344" w:rsidP="002E6675">
      <w:pPr>
        <w:pStyle w:val="a3"/>
        <w:spacing w:after="160" w:line="360" w:lineRule="auto"/>
        <w:ind w:left="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אנו מאמינים שיישום ההוראה יביא לשיפור </w:t>
      </w:r>
      <w:r w:rsidR="00553F7C">
        <w:rPr>
          <w:rFonts w:ascii="David" w:hAnsi="David" w:cs="David" w:hint="cs"/>
          <w:sz w:val="24"/>
          <w:szCs w:val="24"/>
          <w:rtl/>
        </w:rPr>
        <w:t>באיכות השירות המוצע על ידי התאגידים הבנקאים וכתוצאה יביא לשיפור</w:t>
      </w:r>
      <w:r>
        <w:rPr>
          <w:rFonts w:ascii="David" w:hAnsi="David" w:cs="David" w:hint="cs"/>
          <w:sz w:val="24"/>
          <w:szCs w:val="24"/>
          <w:rtl/>
        </w:rPr>
        <w:t xml:space="preserve"> בשביעות רצון הלקוחות מהשירות הניתן להם </w:t>
      </w:r>
      <w:r w:rsidR="00553F7C">
        <w:rPr>
          <w:rFonts w:ascii="David" w:hAnsi="David" w:cs="David" w:hint="cs"/>
          <w:sz w:val="24"/>
          <w:szCs w:val="24"/>
          <w:rtl/>
        </w:rPr>
        <w:t xml:space="preserve">בממשקים השונים מול המערכת </w:t>
      </w:r>
      <w:r>
        <w:rPr>
          <w:rFonts w:ascii="David" w:hAnsi="David" w:cs="David" w:hint="cs"/>
          <w:sz w:val="24"/>
          <w:szCs w:val="24"/>
          <w:rtl/>
        </w:rPr>
        <w:t xml:space="preserve">הבנקאית. </w:t>
      </w:r>
    </w:p>
    <w:sectPr w:rsidR="00CF4691" w:rsidRPr="00CF4691" w:rsidSect="00B364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B61" w:rsidRDefault="00BF6B61" w:rsidP="00D65707">
      <w:r>
        <w:separator/>
      </w:r>
    </w:p>
  </w:endnote>
  <w:endnote w:type="continuationSeparator" w:id="0">
    <w:p w:rsidR="00BF6B61" w:rsidRDefault="00BF6B61" w:rsidP="00D6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07" w:rsidRDefault="00D6570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07" w:rsidRDefault="00D6570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07" w:rsidRDefault="00D657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B61" w:rsidRDefault="00BF6B61" w:rsidP="00D65707">
      <w:r>
        <w:separator/>
      </w:r>
    </w:p>
  </w:footnote>
  <w:footnote w:type="continuationSeparator" w:id="0">
    <w:p w:rsidR="00BF6B61" w:rsidRDefault="00BF6B61" w:rsidP="00D65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07" w:rsidRDefault="00D657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07" w:rsidRDefault="00D6570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07" w:rsidRDefault="00D657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044A2"/>
    <w:multiLevelType w:val="hybridMultilevel"/>
    <w:tmpl w:val="58E602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13A61"/>
    <w:multiLevelType w:val="hybridMultilevel"/>
    <w:tmpl w:val="BE041F3A"/>
    <w:lvl w:ilvl="0" w:tplc="11AAF1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EB"/>
    <w:rsid w:val="000363EB"/>
    <w:rsid w:val="00041BE1"/>
    <w:rsid w:val="0011547C"/>
    <w:rsid w:val="00167418"/>
    <w:rsid w:val="00186991"/>
    <w:rsid w:val="00192A69"/>
    <w:rsid w:val="001C01F1"/>
    <w:rsid w:val="00206795"/>
    <w:rsid w:val="00256CBC"/>
    <w:rsid w:val="002D34F0"/>
    <w:rsid w:val="002E1ABC"/>
    <w:rsid w:val="002E6675"/>
    <w:rsid w:val="00422591"/>
    <w:rsid w:val="00484414"/>
    <w:rsid w:val="005038CA"/>
    <w:rsid w:val="00553F7C"/>
    <w:rsid w:val="00561366"/>
    <w:rsid w:val="00577E77"/>
    <w:rsid w:val="0058239F"/>
    <w:rsid w:val="006454BE"/>
    <w:rsid w:val="0067112E"/>
    <w:rsid w:val="00673B87"/>
    <w:rsid w:val="00674E67"/>
    <w:rsid w:val="006753B9"/>
    <w:rsid w:val="006C2AEA"/>
    <w:rsid w:val="006F0099"/>
    <w:rsid w:val="00773DFE"/>
    <w:rsid w:val="007951D1"/>
    <w:rsid w:val="007A2078"/>
    <w:rsid w:val="007B7388"/>
    <w:rsid w:val="007C329D"/>
    <w:rsid w:val="007F5DB9"/>
    <w:rsid w:val="0081062F"/>
    <w:rsid w:val="00833F95"/>
    <w:rsid w:val="00894BE2"/>
    <w:rsid w:val="008A7D3B"/>
    <w:rsid w:val="00913D8E"/>
    <w:rsid w:val="009B5B9D"/>
    <w:rsid w:val="009D2E97"/>
    <w:rsid w:val="009D6344"/>
    <w:rsid w:val="00B0654F"/>
    <w:rsid w:val="00B132D9"/>
    <w:rsid w:val="00B36413"/>
    <w:rsid w:val="00B952FB"/>
    <w:rsid w:val="00BF14AF"/>
    <w:rsid w:val="00BF6B61"/>
    <w:rsid w:val="00CE5D87"/>
    <w:rsid w:val="00CF059C"/>
    <w:rsid w:val="00CF4691"/>
    <w:rsid w:val="00CF487D"/>
    <w:rsid w:val="00D557B1"/>
    <w:rsid w:val="00D65707"/>
    <w:rsid w:val="00E07366"/>
    <w:rsid w:val="00E408B2"/>
    <w:rsid w:val="00F053B2"/>
    <w:rsid w:val="00F24D29"/>
    <w:rsid w:val="00FC56DA"/>
    <w:rsid w:val="00FD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172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3E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0363EB"/>
  </w:style>
  <w:style w:type="paragraph" w:styleId="a3">
    <w:name w:val="List Paragraph"/>
    <w:aliases w:val="פיסקת רשימה12,פיסקת רשימה121,פיסקת רשימה2,פיסקת רשימה11"/>
    <w:basedOn w:val="a"/>
    <w:link w:val="a4"/>
    <w:uiPriority w:val="34"/>
    <w:qFormat/>
    <w:rsid w:val="000363EB"/>
    <w:pPr>
      <w:bidi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פיסקת רשימה תו"/>
    <w:aliases w:val="פיסקת רשימה12 תו,פיסקת רשימה121 תו,פיסקת רשימה2 תו,פיסקת רשימה11 תו"/>
    <w:basedOn w:val="a0"/>
    <w:link w:val="a3"/>
    <w:uiPriority w:val="34"/>
    <w:locked/>
    <w:rsid w:val="000363EB"/>
  </w:style>
  <w:style w:type="paragraph" w:styleId="a5">
    <w:name w:val="Block Text"/>
    <w:basedOn w:val="a"/>
    <w:uiPriority w:val="99"/>
    <w:rsid w:val="000363EB"/>
    <w:pPr>
      <w:widowControl w:val="0"/>
      <w:tabs>
        <w:tab w:val="left" w:pos="516"/>
      </w:tabs>
      <w:bidi/>
      <w:spacing w:line="360" w:lineRule="auto"/>
      <w:ind w:left="516" w:hanging="516"/>
      <w:jc w:val="both"/>
    </w:pPr>
    <w:rPr>
      <w:rFonts w:eastAsia="Times New Roman" w:cs="David"/>
      <w:snapToGrid w:val="0"/>
    </w:rPr>
  </w:style>
  <w:style w:type="paragraph" w:styleId="a6">
    <w:name w:val="header"/>
    <w:basedOn w:val="a"/>
    <w:link w:val="a7"/>
    <w:uiPriority w:val="99"/>
    <w:unhideWhenUsed/>
    <w:rsid w:val="00D65707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D65707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65707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D65707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73B87"/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673B87"/>
    <w:rPr>
      <w:rFonts w:ascii="Tahoma" w:hAnsi="Tahoma" w:cs="Tahoma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753B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753B9"/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6753B9"/>
    <w:rPr>
      <w:rFonts w:ascii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753B9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6753B9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6454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oi.org.il/%D7%AA%D7%A7%D7%A9%D7%95%D7%A8%D7%AA-%D7%95%D7%A4%D7%A8%D7%A1%D7%95%D7%9E%D7%99%D7%9D/1607/48687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E5147-DC12-43E9-ADF7-DFA8C0A4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2023-01-10T07:52:00Z</dcterms:created>
  <dcterms:modified xsi:type="dcterms:W3CDTF">2023-01-10T08:02:00Z</dcterms:modified>
</cp:coreProperties>
</file>