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631"/>
        <w:bidiVisual/>
        <w:tblW w:w="0" w:type="dxa"/>
        <w:tblLayout w:type="fixed"/>
        <w:tblLook w:val="04A0" w:firstRow="1" w:lastRow="0" w:firstColumn="1" w:lastColumn="0" w:noHBand="0" w:noVBand="1"/>
      </w:tblPr>
      <w:tblGrid>
        <w:gridCol w:w="3392"/>
        <w:gridCol w:w="2596"/>
        <w:gridCol w:w="3084"/>
      </w:tblGrid>
      <w:tr w:rsidR="004603D8" w:rsidTr="004603D8">
        <w:trPr>
          <w:cantSplit/>
        </w:trPr>
        <w:tc>
          <w:tcPr>
            <w:tcW w:w="3392" w:type="dxa"/>
            <w:vAlign w:val="center"/>
            <w:hideMark/>
          </w:tcPr>
          <w:p w:rsidR="004603D8" w:rsidRDefault="004603D8">
            <w:pPr>
              <w:jc w:val="center"/>
              <w:rPr>
                <w:rFonts w:asciiTheme="minorHAnsi" w:hAnsiTheme="minorHAnsi"/>
                <w:b/>
                <w:bCs/>
              </w:rPr>
            </w:pPr>
            <w:r>
              <w:rPr>
                <w:b/>
                <w:bCs/>
                <w:rtl/>
              </w:rPr>
              <w:t>בנק ישראל</w:t>
            </w:r>
          </w:p>
          <w:p w:rsidR="004603D8" w:rsidRDefault="004603D8">
            <w:pPr>
              <w:ind w:right="-101"/>
              <w:jc w:val="center"/>
              <w:rPr>
                <w:rFonts w:cstheme="minorBidi"/>
              </w:rPr>
            </w:pPr>
            <w:r>
              <w:rPr>
                <w:rtl/>
              </w:rPr>
              <w:t>דוברות והסברה כלכלית</w:t>
            </w:r>
          </w:p>
        </w:tc>
        <w:tc>
          <w:tcPr>
            <w:tcW w:w="2596" w:type="dxa"/>
            <w:hideMark/>
          </w:tcPr>
          <w:p w:rsidR="004603D8" w:rsidRDefault="004603D8">
            <w:pPr>
              <w:jc w:val="center"/>
            </w:pPr>
            <w:r>
              <w:rPr>
                <w:noProof/>
                <w:sz w:val="22"/>
                <w:szCs w:val="22"/>
              </w:rPr>
              <w:drawing>
                <wp:anchor distT="0" distB="0" distL="114300" distR="114300" simplePos="0" relativeHeight="251673600" behindDoc="0" locked="0" layoutInCell="1" allowOverlap="1">
                  <wp:simplePos x="0" y="0"/>
                  <wp:positionH relativeFrom="column">
                    <wp:posOffset>338455</wp:posOffset>
                  </wp:positionH>
                  <wp:positionV relativeFrom="paragraph">
                    <wp:posOffset>166370</wp:posOffset>
                  </wp:positionV>
                  <wp:extent cx="1050925" cy="1050925"/>
                  <wp:effectExtent l="0" t="0" r="0" b="0"/>
                  <wp:wrapSquare wrapText="bothSides"/>
                  <wp:docPr id="1" name="תמונה 1" descr="Logo Bank of Israel 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4" descr="Logo Bank of Israel 2 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0925" cy="1050925"/>
                          </a:xfrm>
                          <a:prstGeom prst="rect">
                            <a:avLst/>
                          </a:prstGeom>
                          <a:noFill/>
                        </pic:spPr>
                      </pic:pic>
                    </a:graphicData>
                  </a:graphic>
                  <wp14:sizeRelH relativeFrom="margin">
                    <wp14:pctWidth>0</wp14:pctWidth>
                  </wp14:sizeRelH>
                  <wp14:sizeRelV relativeFrom="margin">
                    <wp14:pctHeight>0</wp14:pctHeight>
                  </wp14:sizeRelV>
                </wp:anchor>
              </w:drawing>
            </w:r>
          </w:p>
        </w:tc>
        <w:tc>
          <w:tcPr>
            <w:tcW w:w="3084" w:type="dxa"/>
            <w:vAlign w:val="center"/>
            <w:hideMark/>
          </w:tcPr>
          <w:p w:rsidR="004603D8" w:rsidRDefault="004603D8" w:rsidP="004603D8">
            <w:r>
              <w:rPr>
                <w:rtl/>
              </w:rPr>
              <w:t xml:space="preserve"> ירושלים, ‏‏כ"ז בכסלו, תשפ"ד</w:t>
            </w:r>
          </w:p>
          <w:p w:rsidR="004603D8" w:rsidRDefault="004603D8">
            <w:pPr>
              <w:jc w:val="right"/>
              <w:rPr>
                <w:highlight w:val="yellow"/>
              </w:rPr>
            </w:pPr>
            <w:r>
              <w:rPr>
                <w:rtl/>
              </w:rPr>
              <w:t>‏‏‏‏‏‏10 בדצמבר, 2023</w:t>
            </w:r>
          </w:p>
        </w:tc>
      </w:tr>
    </w:tbl>
    <w:p w:rsidR="004603D8" w:rsidRDefault="004603D8" w:rsidP="004603D8">
      <w:pPr>
        <w:pStyle w:val="1"/>
        <w:jc w:val="left"/>
        <w:rPr>
          <w:rFonts w:ascii="David" w:hAnsi="David" w:cs="David"/>
          <w:color w:val="auto"/>
          <w:sz w:val="24"/>
          <w:szCs w:val="24"/>
          <w:rtl/>
        </w:rPr>
      </w:pPr>
    </w:p>
    <w:p w:rsidR="004603D8" w:rsidRDefault="004603D8" w:rsidP="004603D8">
      <w:pPr>
        <w:pStyle w:val="1"/>
        <w:jc w:val="left"/>
        <w:rPr>
          <w:rFonts w:ascii="David" w:hAnsi="David" w:cs="David"/>
          <w:color w:val="auto"/>
          <w:sz w:val="24"/>
          <w:szCs w:val="24"/>
          <w:rtl/>
        </w:rPr>
      </w:pPr>
      <w:r w:rsidRPr="004603D8">
        <w:rPr>
          <w:rFonts w:ascii="David" w:hAnsi="David" w:cs="David" w:hint="cs"/>
          <w:color w:val="auto"/>
          <w:sz w:val="24"/>
          <w:szCs w:val="24"/>
          <w:rtl/>
        </w:rPr>
        <w:t>הודעה לעיתונות:</w:t>
      </w:r>
    </w:p>
    <w:p w:rsidR="004603D8" w:rsidRPr="004603D8" w:rsidRDefault="004603D8" w:rsidP="004603D8">
      <w:pPr>
        <w:rPr>
          <w:sz w:val="2"/>
          <w:szCs w:val="2"/>
          <w:rtl/>
        </w:rPr>
      </w:pPr>
    </w:p>
    <w:p w:rsidR="009F0306" w:rsidRPr="004603D8" w:rsidRDefault="000F5A03" w:rsidP="001B10C4">
      <w:pPr>
        <w:pStyle w:val="1"/>
        <w:jc w:val="center"/>
        <w:rPr>
          <w:rFonts w:ascii="David" w:hAnsi="David" w:cs="David"/>
          <w:b/>
          <w:bCs/>
          <w:color w:val="auto"/>
          <w:sz w:val="28"/>
          <w:szCs w:val="28"/>
          <w:rtl/>
        </w:rPr>
      </w:pPr>
      <w:r w:rsidRPr="004603D8">
        <w:rPr>
          <w:rFonts w:ascii="David" w:hAnsi="David" w:cs="David"/>
          <w:b/>
          <w:bCs/>
          <w:color w:val="auto"/>
          <w:sz w:val="28"/>
          <w:szCs w:val="28"/>
          <w:rtl/>
        </w:rPr>
        <w:t xml:space="preserve">ניתוח מיוחד של חטיבת המחקר: </w:t>
      </w:r>
      <w:r w:rsidR="00F21B26" w:rsidRPr="004603D8">
        <w:rPr>
          <w:rFonts w:ascii="David" w:hAnsi="David" w:cs="David"/>
          <w:b/>
          <w:bCs/>
          <w:color w:val="auto"/>
          <w:sz w:val="28"/>
          <w:szCs w:val="28"/>
          <w:rtl/>
        </w:rPr>
        <w:t>ה</w:t>
      </w:r>
      <w:r w:rsidR="00491DE3" w:rsidRPr="004603D8">
        <w:rPr>
          <w:rFonts w:ascii="David" w:hAnsi="David" w:cs="David"/>
          <w:b/>
          <w:bCs/>
          <w:color w:val="auto"/>
          <w:sz w:val="28"/>
          <w:szCs w:val="28"/>
          <w:rtl/>
        </w:rPr>
        <w:t>שפעת מלחמת "חרבו</w:t>
      </w:r>
      <w:r w:rsidR="00F21B26" w:rsidRPr="004603D8">
        <w:rPr>
          <w:rFonts w:ascii="David" w:hAnsi="David" w:cs="David"/>
          <w:b/>
          <w:bCs/>
          <w:color w:val="auto"/>
          <w:sz w:val="28"/>
          <w:szCs w:val="28"/>
          <w:rtl/>
        </w:rPr>
        <w:t>ת</w:t>
      </w:r>
      <w:r w:rsidR="00491DE3" w:rsidRPr="004603D8">
        <w:rPr>
          <w:rFonts w:ascii="David" w:hAnsi="David" w:cs="David"/>
          <w:b/>
          <w:bCs/>
          <w:color w:val="auto"/>
          <w:sz w:val="28"/>
          <w:szCs w:val="28"/>
          <w:rtl/>
        </w:rPr>
        <w:t xml:space="preserve"> ברזל" על תשומת העבודה בחברה הערבית</w:t>
      </w:r>
      <w:r w:rsidR="004275A8" w:rsidRPr="004603D8">
        <w:rPr>
          <w:rStyle w:val="af1"/>
          <w:rFonts w:ascii="David" w:hAnsi="David" w:cs="David"/>
          <w:b/>
          <w:bCs/>
          <w:color w:val="auto"/>
          <w:sz w:val="28"/>
          <w:szCs w:val="28"/>
          <w:rtl/>
        </w:rPr>
        <w:footnoteReference w:id="1"/>
      </w:r>
    </w:p>
    <w:p w:rsidR="00560BDB" w:rsidRPr="004603D8" w:rsidRDefault="00BB238C" w:rsidP="00211257">
      <w:pPr>
        <w:pStyle w:val="a3"/>
        <w:numPr>
          <w:ilvl w:val="0"/>
          <w:numId w:val="5"/>
        </w:numPr>
        <w:rPr>
          <w:rStyle w:val="af3"/>
        </w:rPr>
      </w:pPr>
      <w:r w:rsidRPr="004603D8">
        <w:rPr>
          <w:rStyle w:val="af3"/>
          <w:b/>
          <w:bCs/>
          <w:rtl/>
        </w:rPr>
        <w:t>ממצאים מסקר כוח אדם לחודש אוקטו</w:t>
      </w:r>
      <w:r w:rsidR="00773E18" w:rsidRPr="004603D8">
        <w:rPr>
          <w:rStyle w:val="af3"/>
          <w:b/>
          <w:bCs/>
          <w:rtl/>
        </w:rPr>
        <w:t>בר 2023 מצביעים על פגיעה ניכרת</w:t>
      </w:r>
      <w:r w:rsidRPr="004603D8">
        <w:rPr>
          <w:rStyle w:val="af3"/>
          <w:b/>
          <w:bCs/>
          <w:rtl/>
        </w:rPr>
        <w:t xml:space="preserve"> </w:t>
      </w:r>
      <w:r w:rsidR="002D4F2D" w:rsidRPr="004603D8">
        <w:rPr>
          <w:rStyle w:val="af3"/>
          <w:b/>
          <w:bCs/>
          <w:rtl/>
        </w:rPr>
        <w:t xml:space="preserve">בתעסוקה </w:t>
      </w:r>
      <w:r w:rsidR="00211257">
        <w:rPr>
          <w:rStyle w:val="af3"/>
          <w:rFonts w:hint="cs"/>
          <w:b/>
          <w:bCs/>
          <w:rtl/>
        </w:rPr>
        <w:t>בכלל ו</w:t>
      </w:r>
      <w:r w:rsidRPr="004603D8">
        <w:rPr>
          <w:rStyle w:val="af3"/>
          <w:b/>
          <w:bCs/>
          <w:rtl/>
        </w:rPr>
        <w:t>בחברה הערבית</w:t>
      </w:r>
      <w:r w:rsidR="00211257">
        <w:rPr>
          <w:rStyle w:val="af3"/>
          <w:rFonts w:hint="cs"/>
          <w:b/>
          <w:bCs/>
          <w:rtl/>
        </w:rPr>
        <w:t xml:space="preserve"> בפרט</w:t>
      </w:r>
      <w:bookmarkStart w:id="0" w:name="_GoBack"/>
      <w:bookmarkEnd w:id="0"/>
      <w:r w:rsidRPr="004603D8">
        <w:rPr>
          <w:rStyle w:val="af3"/>
          <w:b/>
          <w:bCs/>
          <w:rtl/>
        </w:rPr>
        <w:t xml:space="preserve">. </w:t>
      </w:r>
      <w:r w:rsidR="005E7BC4" w:rsidRPr="004603D8">
        <w:rPr>
          <w:rStyle w:val="af3"/>
          <w:rtl/>
        </w:rPr>
        <w:t xml:space="preserve">בחודש אוקטובר 2023 שיעור האבטלה בהגדרה הרחבה עמד על 15.6 נקודות אחוז בחברה הערבית </w:t>
      </w:r>
      <w:r w:rsidR="007822BE" w:rsidRPr="004603D8">
        <w:rPr>
          <w:rStyle w:val="af3"/>
          <w:rtl/>
        </w:rPr>
        <w:t xml:space="preserve">לעומת </w:t>
      </w:r>
      <w:r w:rsidR="005E7BC4" w:rsidRPr="004603D8">
        <w:rPr>
          <w:rStyle w:val="af3"/>
          <w:rtl/>
        </w:rPr>
        <w:t xml:space="preserve">8.6 בחברה היהודית. </w:t>
      </w:r>
      <w:r w:rsidRPr="004603D8">
        <w:rPr>
          <w:rStyle w:val="af3"/>
          <w:rtl/>
        </w:rPr>
        <w:t xml:space="preserve">מעבר לכך, </w:t>
      </w:r>
      <w:r w:rsidR="005E7BC4" w:rsidRPr="004603D8">
        <w:rPr>
          <w:rStyle w:val="af3"/>
          <w:rtl/>
        </w:rPr>
        <w:t>שיעור</w:t>
      </w:r>
      <w:r w:rsidR="007822BE" w:rsidRPr="004603D8">
        <w:rPr>
          <w:rStyle w:val="af3"/>
          <w:rtl/>
        </w:rPr>
        <w:t xml:space="preserve"> המועסקים שנעדרו</w:t>
      </w:r>
      <w:r w:rsidR="005E7BC4" w:rsidRPr="004603D8">
        <w:rPr>
          <w:rStyle w:val="af3"/>
          <w:rtl/>
        </w:rPr>
        <w:t xml:space="preserve"> </w:t>
      </w:r>
      <w:r w:rsidR="007822BE" w:rsidRPr="004603D8">
        <w:rPr>
          <w:rStyle w:val="af3"/>
          <w:rtl/>
        </w:rPr>
        <w:t>ממקום העבודה בקרב ה</w:t>
      </w:r>
      <w:r w:rsidR="005E7BC4" w:rsidRPr="004603D8">
        <w:rPr>
          <w:rStyle w:val="af3"/>
          <w:rtl/>
        </w:rPr>
        <w:t>חברה הערבית בחודש אוקטובר היה גבוה ב 4.5 נקודות אחוז</w:t>
      </w:r>
      <w:r w:rsidRPr="004603D8">
        <w:rPr>
          <w:rStyle w:val="af3"/>
          <w:rtl/>
        </w:rPr>
        <w:t xml:space="preserve"> מאשר בחברה היהודית</w:t>
      </w:r>
      <w:r w:rsidR="003941C7" w:rsidRPr="004603D8">
        <w:rPr>
          <w:rStyle w:val="af3"/>
          <w:rtl/>
        </w:rPr>
        <w:t xml:space="preserve">. </w:t>
      </w:r>
    </w:p>
    <w:p w:rsidR="00211396" w:rsidRPr="004603D8" w:rsidRDefault="00211396" w:rsidP="00211396">
      <w:pPr>
        <w:pStyle w:val="a3"/>
        <w:numPr>
          <w:ilvl w:val="0"/>
          <w:numId w:val="5"/>
        </w:numPr>
        <w:rPr>
          <w:rStyle w:val="af3"/>
        </w:rPr>
      </w:pPr>
      <w:r w:rsidRPr="004603D8">
        <w:rPr>
          <w:rtl/>
        </w:rPr>
        <w:t>שיעור הגידול של האבטלה הרחבה בקרב הגברים מהחברה הערבית היה</w:t>
      </w:r>
      <w:r w:rsidRPr="004603D8">
        <w:rPr>
          <w:rStyle w:val="af3"/>
          <w:rtl/>
        </w:rPr>
        <w:t xml:space="preserve"> גבוה בהרבה מאשר בקרב הגברים היהודיים (13.6 נקודות אחוז לעומת 4.3 בהתאמה) בעוד שבקרב הנשים לא היו הבדלים ניכרים (5.1 נקודות אחוז בקרב הנשים מהחברה הערבית, 6.3 בחברה היהודית).</w:t>
      </w:r>
    </w:p>
    <w:p w:rsidR="001F5025" w:rsidRPr="004603D8" w:rsidRDefault="001F5025" w:rsidP="007C221E">
      <w:pPr>
        <w:pStyle w:val="a3"/>
        <w:numPr>
          <w:ilvl w:val="0"/>
          <w:numId w:val="5"/>
        </w:numPr>
        <w:rPr>
          <w:rStyle w:val="af3"/>
        </w:rPr>
      </w:pPr>
      <w:r w:rsidRPr="004603D8">
        <w:rPr>
          <w:rStyle w:val="af3"/>
          <w:rtl/>
        </w:rPr>
        <w:t>נתוני הירידה החדה בתעסוקה בחברה הערבית מבטאים את העובדה ש</w:t>
      </w:r>
      <w:r w:rsidR="007C221E" w:rsidRPr="004603D8">
        <w:rPr>
          <w:rStyle w:val="af3"/>
          <w:rtl/>
        </w:rPr>
        <w:t>כשליש מה</w:t>
      </w:r>
      <w:r w:rsidRPr="004603D8">
        <w:rPr>
          <w:rStyle w:val="af3"/>
          <w:rtl/>
        </w:rPr>
        <w:t xml:space="preserve">עובדים </w:t>
      </w:r>
      <w:r w:rsidR="007C221E" w:rsidRPr="004603D8">
        <w:rPr>
          <w:rStyle w:val="af3"/>
          <w:rtl/>
        </w:rPr>
        <w:t xml:space="preserve">הערבים מועסקים </w:t>
      </w:r>
      <w:r w:rsidRPr="004603D8">
        <w:rPr>
          <w:rStyle w:val="af3"/>
          <w:rtl/>
        </w:rPr>
        <w:t xml:space="preserve">בענפים ומשלחי יד </w:t>
      </w:r>
      <w:r w:rsidR="007C221E" w:rsidRPr="004603D8">
        <w:rPr>
          <w:rStyle w:val="af3"/>
          <w:rtl/>
        </w:rPr>
        <w:t xml:space="preserve">החשופים לירידה בתעסוקה בטווח הקצר כתוצאה מהמלחמה. סיכון זה מקורו בעצירת הפעילות באתרי בנייה, בירידה בפעילות בענפי המסחר והפנאי, וכן בצמצום אפשרי בתעסוקת ערבים כנותני שירותים לחברה היהודית. </w:t>
      </w:r>
    </w:p>
    <w:p w:rsidR="00F21B26" w:rsidRPr="004603D8" w:rsidRDefault="00F21B26" w:rsidP="00924806">
      <w:pPr>
        <w:pStyle w:val="2"/>
        <w:rPr>
          <w:rFonts w:ascii="David" w:hAnsi="David" w:cs="David"/>
          <w:rtl/>
        </w:rPr>
      </w:pPr>
      <w:r w:rsidRPr="004603D8">
        <w:rPr>
          <w:rFonts w:ascii="David" w:hAnsi="David" w:cs="David"/>
          <w:rtl/>
        </w:rPr>
        <w:t xml:space="preserve">רקע </w:t>
      </w:r>
    </w:p>
    <w:p w:rsidR="009D2B82" w:rsidRPr="004603D8" w:rsidRDefault="00A539C4" w:rsidP="00773E18">
      <w:pPr>
        <w:ind w:firstLine="360"/>
        <w:rPr>
          <w:rtl/>
        </w:rPr>
      </w:pPr>
      <w:r w:rsidRPr="004603D8">
        <w:rPr>
          <w:rtl/>
        </w:rPr>
        <w:t>ב</w:t>
      </w:r>
      <w:r w:rsidR="00E53508" w:rsidRPr="004603D8">
        <w:rPr>
          <w:rtl/>
        </w:rPr>
        <w:t>-7</w:t>
      </w:r>
      <w:r w:rsidRPr="004603D8">
        <w:rPr>
          <w:rtl/>
        </w:rPr>
        <w:t xml:space="preserve"> </w:t>
      </w:r>
      <w:r w:rsidR="00E53508" w:rsidRPr="004603D8">
        <w:rPr>
          <w:rtl/>
        </w:rPr>
        <w:t>ל</w:t>
      </w:r>
      <w:r w:rsidRPr="004603D8">
        <w:rPr>
          <w:rtl/>
        </w:rPr>
        <w:t>אוקטובר 2023</w:t>
      </w:r>
      <w:r w:rsidR="00F21B26" w:rsidRPr="004603D8">
        <w:rPr>
          <w:rtl/>
        </w:rPr>
        <w:t xml:space="preserve"> פרצה מלחמת "חרבות ברזל" </w:t>
      </w:r>
      <w:r w:rsidR="00166968" w:rsidRPr="004603D8">
        <w:rPr>
          <w:rtl/>
        </w:rPr>
        <w:t>המ</w:t>
      </w:r>
      <w:r w:rsidR="00F21B26" w:rsidRPr="004603D8">
        <w:rPr>
          <w:rtl/>
        </w:rPr>
        <w:t>שפיעה על המשק במגוון</w:t>
      </w:r>
      <w:r w:rsidR="00096877" w:rsidRPr="004603D8">
        <w:t xml:space="preserve"> </w:t>
      </w:r>
      <w:r w:rsidRPr="004603D8">
        <w:rPr>
          <w:rtl/>
        </w:rPr>
        <w:t>רחב של</w:t>
      </w:r>
      <w:r w:rsidR="00F21B26" w:rsidRPr="004603D8">
        <w:rPr>
          <w:rtl/>
        </w:rPr>
        <w:t xml:space="preserve"> תחומים</w:t>
      </w:r>
      <w:r w:rsidR="00EE5F2B" w:rsidRPr="004603D8">
        <w:rPr>
          <w:rtl/>
        </w:rPr>
        <w:t>, ביניהם שוק העבודה</w:t>
      </w:r>
      <w:r w:rsidR="00F21B26" w:rsidRPr="004603D8">
        <w:rPr>
          <w:rtl/>
        </w:rPr>
        <w:t>.</w:t>
      </w:r>
      <w:r w:rsidR="0072669D" w:rsidRPr="004603D8">
        <w:rPr>
          <w:rtl/>
        </w:rPr>
        <w:t xml:space="preserve"> החל מהשבוע הראשון למלחמה ובמהלך </w:t>
      </w:r>
      <w:r w:rsidRPr="004603D8">
        <w:rPr>
          <w:rtl/>
        </w:rPr>
        <w:t>החודשים</w:t>
      </w:r>
      <w:r w:rsidR="0072669D" w:rsidRPr="004603D8">
        <w:rPr>
          <w:rtl/>
        </w:rPr>
        <w:t xml:space="preserve"> אוקטובר</w:t>
      </w:r>
      <w:r w:rsidRPr="004603D8">
        <w:rPr>
          <w:rtl/>
        </w:rPr>
        <w:t xml:space="preserve"> ונובמבר</w:t>
      </w:r>
      <w:r w:rsidR="0072669D" w:rsidRPr="004603D8">
        <w:rPr>
          <w:rtl/>
        </w:rPr>
        <w:t xml:space="preserve"> הייתה עלייה משמעותית במספר הנרשמים בשירות התעסוקה</w:t>
      </w:r>
      <w:r w:rsidR="009B0E43" w:rsidRPr="004603D8">
        <w:rPr>
          <w:rtl/>
        </w:rPr>
        <w:t>, בעיקר עובדים ש</w:t>
      </w:r>
      <w:r w:rsidRPr="004603D8">
        <w:rPr>
          <w:rtl/>
        </w:rPr>
        <w:t>הו</w:t>
      </w:r>
      <w:r w:rsidR="009B0E43" w:rsidRPr="004603D8">
        <w:rPr>
          <w:rtl/>
        </w:rPr>
        <w:t xml:space="preserve">צאו לחופשה ללא תשלום. </w:t>
      </w:r>
      <w:r w:rsidR="009D2B82" w:rsidRPr="004603D8">
        <w:rPr>
          <w:rtl/>
        </w:rPr>
        <w:t xml:space="preserve">מנתוני סקר כוח אדם לחודש אוקטובר 2023 עולה שבעוד </w:t>
      </w:r>
      <w:r w:rsidR="00791836" w:rsidRPr="004603D8">
        <w:rPr>
          <w:rtl/>
        </w:rPr>
        <w:t>ש</w:t>
      </w:r>
      <w:r w:rsidR="009D2B82" w:rsidRPr="004603D8">
        <w:rPr>
          <w:rtl/>
        </w:rPr>
        <w:t xml:space="preserve">לא היה שינוי משמעותי בשיעור התעסוקה ובשיעור הבלתי מועסקים מכוח העבודה, חל גידול משמעותי במספר </w:t>
      </w:r>
      <w:r w:rsidR="007A6375" w:rsidRPr="004603D8">
        <w:rPr>
          <w:rtl/>
        </w:rPr>
        <w:t xml:space="preserve">המועסקים שנעדרו </w:t>
      </w:r>
      <w:r w:rsidR="009D2B82" w:rsidRPr="004603D8">
        <w:rPr>
          <w:rtl/>
        </w:rPr>
        <w:t xml:space="preserve">במשך </w:t>
      </w:r>
      <w:r w:rsidR="007A6375" w:rsidRPr="004603D8">
        <w:rPr>
          <w:rtl/>
        </w:rPr>
        <w:t xml:space="preserve">לפחות </w:t>
      </w:r>
      <w:r w:rsidR="009D2B82" w:rsidRPr="004603D8">
        <w:rPr>
          <w:rtl/>
        </w:rPr>
        <w:t>שבוע מלא ממקומות העבודה (עלייה של 675 אלף איש בהשוואה לחודש ספטמבר 2023).</w:t>
      </w:r>
      <w:r w:rsidR="00491DE3" w:rsidRPr="004603D8">
        <w:rPr>
          <w:rStyle w:val="af1"/>
          <w:rtl/>
        </w:rPr>
        <w:footnoteReference w:id="2"/>
      </w:r>
      <w:r w:rsidR="009D2B82" w:rsidRPr="004603D8">
        <w:rPr>
          <w:rtl/>
        </w:rPr>
        <w:t xml:space="preserve"> השפעת המלחמה על שוק העבודה אינה אחידה בין ענפי הכלכלה וחלק מן הענפים </w:t>
      </w:r>
      <w:r w:rsidR="00773E18" w:rsidRPr="004603D8">
        <w:rPr>
          <w:rtl/>
        </w:rPr>
        <w:t>חווים</w:t>
      </w:r>
      <w:r w:rsidR="009D2B82" w:rsidRPr="004603D8">
        <w:rPr>
          <w:rtl/>
        </w:rPr>
        <w:t xml:space="preserve"> פגיעה משמעותית יותר ביחס לאחרים. </w:t>
      </w:r>
    </w:p>
    <w:p w:rsidR="004845F1" w:rsidRPr="004603D8" w:rsidRDefault="009D2B82" w:rsidP="0097374C">
      <w:pPr>
        <w:ind w:firstLine="360"/>
        <w:rPr>
          <w:rtl/>
        </w:rPr>
      </w:pPr>
      <w:r w:rsidRPr="004603D8">
        <w:rPr>
          <w:rtl/>
        </w:rPr>
        <w:t>ב</w:t>
      </w:r>
      <w:r w:rsidR="00E53508" w:rsidRPr="004603D8">
        <w:rPr>
          <w:rtl/>
        </w:rPr>
        <w:t>ניתוח</w:t>
      </w:r>
      <w:r w:rsidRPr="004603D8">
        <w:rPr>
          <w:rtl/>
        </w:rPr>
        <w:t xml:space="preserve"> זה</w:t>
      </w:r>
      <w:r w:rsidR="006D7BC0" w:rsidRPr="004603D8">
        <w:rPr>
          <w:rtl/>
        </w:rPr>
        <w:t xml:space="preserve"> </w:t>
      </w:r>
      <w:r w:rsidR="00791836" w:rsidRPr="004603D8">
        <w:rPr>
          <w:rtl/>
        </w:rPr>
        <w:t xml:space="preserve">אנו עורכים </w:t>
      </w:r>
      <w:r w:rsidR="00E53508" w:rsidRPr="004603D8">
        <w:rPr>
          <w:rtl/>
        </w:rPr>
        <w:t xml:space="preserve">בחינה </w:t>
      </w:r>
      <w:r w:rsidR="006D7BC0" w:rsidRPr="004603D8">
        <w:rPr>
          <w:rtl/>
        </w:rPr>
        <w:t>ראשוני</w:t>
      </w:r>
      <w:r w:rsidR="00E53508" w:rsidRPr="004603D8">
        <w:rPr>
          <w:rtl/>
        </w:rPr>
        <w:t>ת</w:t>
      </w:r>
      <w:r w:rsidR="006D7BC0" w:rsidRPr="004603D8">
        <w:rPr>
          <w:rtl/>
        </w:rPr>
        <w:t xml:space="preserve"> ל</w:t>
      </w:r>
      <w:r w:rsidRPr="004603D8">
        <w:rPr>
          <w:rtl/>
        </w:rPr>
        <w:t>השפעת</w:t>
      </w:r>
      <w:r w:rsidR="006D7BC0" w:rsidRPr="004603D8">
        <w:rPr>
          <w:rtl/>
        </w:rPr>
        <w:t xml:space="preserve"> מלחמת </w:t>
      </w:r>
      <w:r w:rsidR="00FF3C0E" w:rsidRPr="004603D8">
        <w:rPr>
          <w:rtl/>
        </w:rPr>
        <w:t>"</w:t>
      </w:r>
      <w:r w:rsidR="006D7BC0" w:rsidRPr="004603D8">
        <w:rPr>
          <w:rtl/>
        </w:rPr>
        <w:t>חרבות ברזל</w:t>
      </w:r>
      <w:r w:rsidR="00FF3C0E" w:rsidRPr="004603D8">
        <w:rPr>
          <w:rtl/>
        </w:rPr>
        <w:t>"</w:t>
      </w:r>
      <w:r w:rsidR="006D7BC0" w:rsidRPr="004603D8">
        <w:rPr>
          <w:rtl/>
        </w:rPr>
        <w:t xml:space="preserve"> על המועסקים בחברה הערבית. </w:t>
      </w:r>
      <w:r w:rsidR="00FF3C0E" w:rsidRPr="004603D8">
        <w:rPr>
          <w:rtl/>
        </w:rPr>
        <w:t xml:space="preserve">השוני בהתפלגות המועסקים בין ענפי הכלכלה ומשלחי היד עלול להוביל לחשיפה גבוהה יותר של החברה </w:t>
      </w:r>
      <w:r w:rsidR="00FF3C0E" w:rsidRPr="004603D8">
        <w:rPr>
          <w:rtl/>
        </w:rPr>
        <w:lastRenderedPageBreak/>
        <w:t xml:space="preserve">הערבית למשרות </w:t>
      </w:r>
      <w:r w:rsidR="009B7524" w:rsidRPr="004603D8">
        <w:rPr>
          <w:rtl/>
        </w:rPr>
        <w:t xml:space="preserve">שמאפייניהן מגדילים את הסיכוי </w:t>
      </w:r>
      <w:r w:rsidR="00FF3C0E" w:rsidRPr="004603D8">
        <w:rPr>
          <w:rtl/>
        </w:rPr>
        <w:t>להיפגע</w:t>
      </w:r>
      <w:r w:rsidR="00C85684" w:rsidRPr="004603D8">
        <w:t xml:space="preserve"> </w:t>
      </w:r>
      <w:r w:rsidR="00096877" w:rsidRPr="004603D8">
        <w:rPr>
          <w:rtl/>
        </w:rPr>
        <w:t xml:space="preserve">בטווח הקצר </w:t>
      </w:r>
      <w:r w:rsidR="00FF3C0E" w:rsidRPr="004603D8">
        <w:rPr>
          <w:rtl/>
        </w:rPr>
        <w:t xml:space="preserve">עקב המלחמה. הירידה בתעסוקה בעת הזו </w:t>
      </w:r>
      <w:r w:rsidR="00E53508" w:rsidRPr="004603D8">
        <w:rPr>
          <w:rtl/>
        </w:rPr>
        <w:t xml:space="preserve">עלולה </w:t>
      </w:r>
      <w:r w:rsidR="001B10C4" w:rsidRPr="004603D8">
        <w:rPr>
          <w:rtl/>
        </w:rPr>
        <w:t>לנבוע</w:t>
      </w:r>
      <w:r w:rsidR="00FF3C0E" w:rsidRPr="004603D8">
        <w:rPr>
          <w:rtl/>
        </w:rPr>
        <w:t xml:space="preserve"> משני גורמים עיקריים: ירידה בביקוש למוצרים ושירותים שאינם חיוניים וכתוצאה מכך יר</w:t>
      </w:r>
      <w:r w:rsidR="00791836" w:rsidRPr="004603D8">
        <w:rPr>
          <w:rtl/>
        </w:rPr>
        <w:t>י</w:t>
      </w:r>
      <w:r w:rsidR="00FF3C0E" w:rsidRPr="004603D8">
        <w:rPr>
          <w:rtl/>
        </w:rPr>
        <w:t>ד</w:t>
      </w:r>
      <w:r w:rsidR="00791836" w:rsidRPr="004603D8">
        <w:rPr>
          <w:rtl/>
        </w:rPr>
        <w:t>ה</w:t>
      </w:r>
      <w:r w:rsidR="00FF3C0E" w:rsidRPr="004603D8">
        <w:rPr>
          <w:rtl/>
        </w:rPr>
        <w:t xml:space="preserve"> </w:t>
      </w:r>
      <w:r w:rsidR="00791836" w:rsidRPr="004603D8">
        <w:rPr>
          <w:rtl/>
        </w:rPr>
        <w:t>ב</w:t>
      </w:r>
      <w:r w:rsidR="00FF3C0E" w:rsidRPr="004603D8">
        <w:rPr>
          <w:rtl/>
        </w:rPr>
        <w:t xml:space="preserve">ביקוש לעובדים; </w:t>
      </w:r>
      <w:r w:rsidR="00791836" w:rsidRPr="004603D8">
        <w:rPr>
          <w:rtl/>
        </w:rPr>
        <w:t>ו</w:t>
      </w:r>
      <w:r w:rsidR="00FF3C0E" w:rsidRPr="004603D8">
        <w:rPr>
          <w:rtl/>
        </w:rPr>
        <w:t xml:space="preserve">מחסור </w:t>
      </w:r>
      <w:r w:rsidR="002B5366" w:rsidRPr="004603D8">
        <w:rPr>
          <w:rtl/>
        </w:rPr>
        <w:t xml:space="preserve">ניכר </w:t>
      </w:r>
      <w:r w:rsidR="00FF3C0E" w:rsidRPr="004603D8">
        <w:rPr>
          <w:rtl/>
        </w:rPr>
        <w:t>בעובדים</w:t>
      </w:r>
      <w:r w:rsidR="002B5366" w:rsidRPr="004603D8">
        <w:rPr>
          <w:rtl/>
        </w:rPr>
        <w:t xml:space="preserve"> המוביל לירידת הפעילות בענף כך שנפגעת </w:t>
      </w:r>
      <w:r w:rsidR="001B10C4" w:rsidRPr="004603D8">
        <w:rPr>
          <w:rtl/>
        </w:rPr>
        <w:t xml:space="preserve">אפשרות </w:t>
      </w:r>
      <w:r w:rsidR="002B5366" w:rsidRPr="004603D8">
        <w:rPr>
          <w:rtl/>
        </w:rPr>
        <w:t xml:space="preserve">התעסוקה בעבור אלו שיכולים לעבוד. בנוסף לאלו </w:t>
      </w:r>
      <w:r w:rsidR="001B10C4" w:rsidRPr="004603D8">
        <w:rPr>
          <w:rtl/>
        </w:rPr>
        <w:t>ו</w:t>
      </w:r>
      <w:r w:rsidR="002B5366" w:rsidRPr="004603D8">
        <w:rPr>
          <w:rtl/>
        </w:rPr>
        <w:t xml:space="preserve">בהתבסס על אירועים ביטחוניים קודמים, לחברה הערבית </w:t>
      </w:r>
      <w:r w:rsidR="00E53508" w:rsidRPr="004603D8">
        <w:rPr>
          <w:rtl/>
        </w:rPr>
        <w:t xml:space="preserve">עלול </w:t>
      </w:r>
      <w:r w:rsidR="001B10C4" w:rsidRPr="004603D8">
        <w:rPr>
          <w:rtl/>
        </w:rPr>
        <w:t>להיות</w:t>
      </w:r>
      <w:r w:rsidR="002B5366" w:rsidRPr="004603D8">
        <w:rPr>
          <w:rtl/>
        </w:rPr>
        <w:t xml:space="preserve"> גורם סיכון ייחודי </w:t>
      </w:r>
      <w:r w:rsidR="00E53508" w:rsidRPr="004603D8">
        <w:rPr>
          <w:rtl/>
        </w:rPr>
        <w:t xml:space="preserve">הנובע מצמצום </w:t>
      </w:r>
      <w:r w:rsidR="002B5366" w:rsidRPr="004603D8">
        <w:rPr>
          <w:rtl/>
        </w:rPr>
        <w:t>באינטראקציה בין יהודים לערבים</w:t>
      </w:r>
      <w:r w:rsidR="001B10C4" w:rsidRPr="004603D8">
        <w:rPr>
          <w:rtl/>
        </w:rPr>
        <w:t xml:space="preserve"> בשוק העבודה</w:t>
      </w:r>
      <w:r w:rsidR="002B5366" w:rsidRPr="004603D8">
        <w:rPr>
          <w:rtl/>
        </w:rPr>
        <w:t xml:space="preserve">. </w:t>
      </w:r>
    </w:p>
    <w:p w:rsidR="003B4183" w:rsidRPr="004603D8" w:rsidRDefault="007A6375" w:rsidP="00884909">
      <w:pPr>
        <w:rPr>
          <w:rtl/>
        </w:rPr>
      </w:pPr>
      <w:r w:rsidRPr="004603D8">
        <w:rPr>
          <w:rtl/>
        </w:rPr>
        <w:t xml:space="preserve">חשיבות בחינה זו מתחדדת נוכח </w:t>
      </w:r>
      <w:r w:rsidR="004845F1" w:rsidRPr="004603D8">
        <w:rPr>
          <w:rtl/>
        </w:rPr>
        <w:t xml:space="preserve">המצב החברתי-כלכלי בחברה הערבית טרום תקופת הלחימה, אז שיעור ניכר ממשקי הבית </w:t>
      </w:r>
      <w:r w:rsidR="002D62FA" w:rsidRPr="004603D8">
        <w:rPr>
          <w:rtl/>
        </w:rPr>
        <w:t>שהה</w:t>
      </w:r>
      <w:r w:rsidR="004845F1" w:rsidRPr="004603D8">
        <w:rPr>
          <w:rtl/>
        </w:rPr>
        <w:t xml:space="preserve"> מתחת לקו העוני</w:t>
      </w:r>
      <w:r w:rsidR="0009650B" w:rsidRPr="004603D8">
        <w:rPr>
          <w:rtl/>
        </w:rPr>
        <w:t>.</w:t>
      </w:r>
      <w:r w:rsidR="001B10C4" w:rsidRPr="004603D8">
        <w:rPr>
          <w:rStyle w:val="af1"/>
          <w:rtl/>
        </w:rPr>
        <w:footnoteReference w:id="3"/>
      </w:r>
      <w:r w:rsidR="004845F1" w:rsidRPr="004603D8">
        <w:rPr>
          <w:rtl/>
        </w:rPr>
        <w:t xml:space="preserve"> בנוסף, </w:t>
      </w:r>
      <w:r w:rsidR="003B4183" w:rsidRPr="004603D8">
        <w:rPr>
          <w:rtl/>
        </w:rPr>
        <w:t xml:space="preserve">בשל </w:t>
      </w:r>
      <w:r w:rsidR="00791836" w:rsidRPr="004603D8">
        <w:rPr>
          <w:rtl/>
        </w:rPr>
        <w:t xml:space="preserve">רמת ההכנסה הנמוכה יחסית של משקי הבית </w:t>
      </w:r>
      <w:r w:rsidR="003B4183" w:rsidRPr="004603D8">
        <w:rPr>
          <w:rtl/>
        </w:rPr>
        <w:t>מהחברה ה</w:t>
      </w:r>
      <w:r w:rsidR="00791836" w:rsidRPr="004603D8">
        <w:rPr>
          <w:rtl/>
        </w:rPr>
        <w:t>ערבי</w:t>
      </w:r>
      <w:r w:rsidR="003B4183" w:rsidRPr="004603D8">
        <w:rPr>
          <w:rtl/>
        </w:rPr>
        <w:t>ת</w:t>
      </w:r>
      <w:r w:rsidR="004845F1" w:rsidRPr="004603D8">
        <w:rPr>
          <w:rtl/>
        </w:rPr>
        <w:t xml:space="preserve"> </w:t>
      </w:r>
      <w:r w:rsidR="00CD1F82" w:rsidRPr="004603D8">
        <w:rPr>
          <w:rtl/>
        </w:rPr>
        <w:t>יכולת ההתמודדות של</w:t>
      </w:r>
      <w:r w:rsidR="00791836" w:rsidRPr="004603D8">
        <w:rPr>
          <w:rtl/>
        </w:rPr>
        <w:t>הם</w:t>
      </w:r>
      <w:r w:rsidR="00CD1F82" w:rsidRPr="004603D8">
        <w:rPr>
          <w:rtl/>
        </w:rPr>
        <w:t xml:space="preserve"> עם אובדן הכנסה </w:t>
      </w:r>
      <w:r w:rsidR="00791836" w:rsidRPr="004603D8">
        <w:rPr>
          <w:rtl/>
        </w:rPr>
        <w:t>(אפילו לתקופה קצרה) היא נמוכה</w:t>
      </w:r>
      <w:r w:rsidR="00CD1F82" w:rsidRPr="004603D8">
        <w:rPr>
          <w:rtl/>
        </w:rPr>
        <w:t>.</w:t>
      </w:r>
    </w:p>
    <w:p w:rsidR="00FF3C0E" w:rsidRPr="004603D8" w:rsidRDefault="00A562CF" w:rsidP="00884909">
      <w:pPr>
        <w:rPr>
          <w:rtl/>
        </w:rPr>
      </w:pPr>
      <w:r w:rsidRPr="004603D8">
        <w:rPr>
          <w:rtl/>
        </w:rPr>
        <w:t xml:space="preserve">המשך המסמך </w:t>
      </w:r>
      <w:r w:rsidR="00632B08" w:rsidRPr="004603D8">
        <w:rPr>
          <w:rtl/>
        </w:rPr>
        <w:t>הינו כדלקמן:</w:t>
      </w:r>
      <w:r w:rsidRPr="004603D8">
        <w:rPr>
          <w:rtl/>
        </w:rPr>
        <w:t xml:space="preserve"> בחלק הראשון </w:t>
      </w:r>
      <w:r w:rsidR="003B4183" w:rsidRPr="004603D8">
        <w:rPr>
          <w:rtl/>
        </w:rPr>
        <w:t xml:space="preserve">אנו בוחנים </w:t>
      </w:r>
      <w:r w:rsidR="00245249" w:rsidRPr="004603D8">
        <w:rPr>
          <w:rtl/>
        </w:rPr>
        <w:t xml:space="preserve">את השינוי </w:t>
      </w:r>
      <w:r w:rsidR="007A6375" w:rsidRPr="004603D8">
        <w:rPr>
          <w:rtl/>
        </w:rPr>
        <w:t xml:space="preserve">בפועל </w:t>
      </w:r>
      <w:r w:rsidR="00245249" w:rsidRPr="004603D8">
        <w:rPr>
          <w:rtl/>
        </w:rPr>
        <w:t xml:space="preserve">בתשומת העבודה </w:t>
      </w:r>
      <w:r w:rsidRPr="004603D8">
        <w:rPr>
          <w:rtl/>
        </w:rPr>
        <w:t xml:space="preserve">בחודש אוקטובר </w:t>
      </w:r>
      <w:r w:rsidR="00245249" w:rsidRPr="004603D8">
        <w:rPr>
          <w:rtl/>
        </w:rPr>
        <w:t>2023</w:t>
      </w:r>
      <w:r w:rsidRPr="004603D8">
        <w:rPr>
          <w:rtl/>
        </w:rPr>
        <w:t xml:space="preserve"> בהשוואה לספטמבר 2023, לפי קבוצות אוכלוסייה</w:t>
      </w:r>
      <w:r w:rsidR="00245249" w:rsidRPr="004603D8">
        <w:rPr>
          <w:rtl/>
        </w:rPr>
        <w:t xml:space="preserve">. בחלק השני </w:t>
      </w:r>
      <w:r w:rsidR="003B4183" w:rsidRPr="004603D8">
        <w:rPr>
          <w:rtl/>
        </w:rPr>
        <w:t>אנו בוחנים</w:t>
      </w:r>
      <w:r w:rsidR="00245249" w:rsidRPr="004603D8">
        <w:rPr>
          <w:rtl/>
        </w:rPr>
        <w:t xml:space="preserve"> את השוני בחשיפה לסיכון ל</w:t>
      </w:r>
      <w:r w:rsidRPr="004603D8">
        <w:rPr>
          <w:rtl/>
        </w:rPr>
        <w:t xml:space="preserve">ענפים, משלחי יד ויישוב התעסוקה בין החברה הערבית לאוכלוסייה היהודית. החלק השלישי </w:t>
      </w:r>
      <w:r w:rsidR="003B4183" w:rsidRPr="004603D8">
        <w:rPr>
          <w:rtl/>
        </w:rPr>
        <w:t>מ</w:t>
      </w:r>
      <w:r w:rsidRPr="004603D8">
        <w:rPr>
          <w:rtl/>
        </w:rPr>
        <w:t>סכם את</w:t>
      </w:r>
      <w:r w:rsidR="00096877" w:rsidRPr="004603D8">
        <w:rPr>
          <w:rtl/>
        </w:rPr>
        <w:t xml:space="preserve"> </w:t>
      </w:r>
      <w:r w:rsidRPr="004603D8">
        <w:rPr>
          <w:rtl/>
        </w:rPr>
        <w:t>המסמך.</w:t>
      </w:r>
    </w:p>
    <w:p w:rsidR="00245249" w:rsidRPr="004603D8" w:rsidRDefault="00245249" w:rsidP="00A562CF">
      <w:pPr>
        <w:pStyle w:val="2"/>
        <w:rPr>
          <w:rFonts w:ascii="David" w:hAnsi="David" w:cs="David"/>
          <w:rtl/>
        </w:rPr>
      </w:pPr>
      <w:r w:rsidRPr="004603D8">
        <w:rPr>
          <w:rFonts w:ascii="David" w:hAnsi="David" w:cs="David"/>
          <w:rtl/>
        </w:rPr>
        <w:t>ניתוח השינוי בתשומת העבודה בחודש אוקטובר 2023</w:t>
      </w:r>
      <w:r w:rsidR="00A562CF" w:rsidRPr="004603D8">
        <w:rPr>
          <w:rFonts w:ascii="David" w:hAnsi="David" w:cs="David"/>
          <w:rtl/>
        </w:rPr>
        <w:t xml:space="preserve"> לעומת ספטמבר 2023 לפי קבוצות אוכלוסייה</w:t>
      </w:r>
    </w:p>
    <w:p w:rsidR="00096877" w:rsidRPr="004603D8" w:rsidRDefault="00096877" w:rsidP="003B4183">
      <w:pPr>
        <w:ind w:firstLine="360"/>
        <w:rPr>
          <w:rtl/>
        </w:rPr>
      </w:pPr>
      <w:r w:rsidRPr="004603D8">
        <w:rPr>
          <w:noProof/>
          <w:rtl/>
        </w:rPr>
        <w:drawing>
          <wp:anchor distT="0" distB="0" distL="114300" distR="114300" simplePos="0" relativeHeight="251662336" behindDoc="0" locked="0" layoutInCell="1" allowOverlap="1" wp14:anchorId="45AE138D" wp14:editId="4230EFB3">
            <wp:simplePos x="0" y="0"/>
            <wp:positionH relativeFrom="margin">
              <wp:align>center</wp:align>
            </wp:positionH>
            <wp:positionV relativeFrom="paragraph">
              <wp:posOffset>1130935</wp:posOffset>
            </wp:positionV>
            <wp:extent cx="5029835" cy="2944495"/>
            <wp:effectExtent l="0" t="0" r="0" b="8255"/>
            <wp:wrapTopAndBottom/>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835" cy="2944495"/>
                    </a:xfrm>
                    <a:prstGeom prst="rect">
                      <a:avLst/>
                    </a:prstGeom>
                    <a:noFill/>
                  </pic:spPr>
                </pic:pic>
              </a:graphicData>
            </a:graphic>
            <wp14:sizeRelH relativeFrom="page">
              <wp14:pctWidth>0</wp14:pctWidth>
            </wp14:sizeRelH>
            <wp14:sizeRelV relativeFrom="page">
              <wp14:pctHeight>0</wp14:pctHeight>
            </wp14:sizeRelV>
          </wp:anchor>
        </w:drawing>
      </w:r>
      <w:r w:rsidR="00BE24D2" w:rsidRPr="004603D8">
        <w:rPr>
          <w:rtl/>
        </w:rPr>
        <w:t>נתוני סקר כוח אדם של חודש אוקטובר 2023 אינם מצביעים על גידול במספר הבלתי מועסקים (אבטלה</w:t>
      </w:r>
      <w:r w:rsidR="00A562CF" w:rsidRPr="004603D8">
        <w:rPr>
          <w:rtl/>
        </w:rPr>
        <w:t xml:space="preserve"> בהגדרה</w:t>
      </w:r>
      <w:r w:rsidR="00BE24D2" w:rsidRPr="004603D8">
        <w:rPr>
          <w:rtl/>
        </w:rPr>
        <w:t xml:space="preserve"> </w:t>
      </w:r>
      <w:r w:rsidR="00A562CF" w:rsidRPr="004603D8">
        <w:rPr>
          <w:rtl/>
        </w:rPr>
        <w:t>ה</w:t>
      </w:r>
      <w:r w:rsidR="00BE24D2" w:rsidRPr="004603D8">
        <w:rPr>
          <w:rtl/>
        </w:rPr>
        <w:t>צרה) ביחס ל</w:t>
      </w:r>
      <w:r w:rsidR="007A461B" w:rsidRPr="004603D8">
        <w:rPr>
          <w:rtl/>
        </w:rPr>
        <w:t xml:space="preserve">חודש </w:t>
      </w:r>
      <w:r w:rsidR="00BE24D2" w:rsidRPr="004603D8">
        <w:rPr>
          <w:rtl/>
        </w:rPr>
        <w:t>ספטמבר</w:t>
      </w:r>
      <w:r w:rsidR="001B1134" w:rsidRPr="004603D8">
        <w:rPr>
          <w:rtl/>
        </w:rPr>
        <w:t xml:space="preserve"> (איור 1)</w:t>
      </w:r>
      <w:r w:rsidR="00BE24D2" w:rsidRPr="004603D8">
        <w:rPr>
          <w:rtl/>
        </w:rPr>
        <w:t xml:space="preserve">. </w:t>
      </w:r>
      <w:r w:rsidR="003B4183" w:rsidRPr="004603D8">
        <w:rPr>
          <w:rtl/>
        </w:rPr>
        <w:t xml:space="preserve">עם זאת, </w:t>
      </w:r>
      <w:r w:rsidR="00BE24D2" w:rsidRPr="004603D8">
        <w:rPr>
          <w:rtl/>
        </w:rPr>
        <w:t xml:space="preserve">בחינת שיעור האבטלה בהגדרה הרחבה הכוללת נעדרים מסיבות כלכליות </w:t>
      </w:r>
      <w:r w:rsidR="00A562CF" w:rsidRPr="004603D8">
        <w:rPr>
          <w:rtl/>
        </w:rPr>
        <w:t xml:space="preserve">(למשל אנשים </w:t>
      </w:r>
      <w:r w:rsidR="00A13C9A" w:rsidRPr="004603D8">
        <w:rPr>
          <w:rtl/>
        </w:rPr>
        <w:t xml:space="preserve">שהוצאו </w:t>
      </w:r>
      <w:r w:rsidR="00A717D9" w:rsidRPr="004603D8">
        <w:rPr>
          <w:rtl/>
        </w:rPr>
        <w:t xml:space="preserve">לחל"ת, </w:t>
      </w:r>
      <w:r w:rsidR="002D32CB" w:rsidRPr="004603D8">
        <w:rPr>
          <w:rtl/>
        </w:rPr>
        <w:t>או ש</w:t>
      </w:r>
      <w:r w:rsidR="00E53508" w:rsidRPr="004603D8">
        <w:rPr>
          <w:rtl/>
        </w:rPr>
        <w:t>לא נקראו לעבודה כי היקף הפעילות במקום העבודה צומצם</w:t>
      </w:r>
      <w:r w:rsidR="00A562CF" w:rsidRPr="004603D8">
        <w:rPr>
          <w:rtl/>
        </w:rPr>
        <w:t xml:space="preserve">) </w:t>
      </w:r>
      <w:r w:rsidR="00BE24D2" w:rsidRPr="004603D8">
        <w:rPr>
          <w:rtl/>
        </w:rPr>
        <w:t xml:space="preserve">מעלה </w:t>
      </w:r>
      <w:r w:rsidR="001B1134" w:rsidRPr="004603D8">
        <w:rPr>
          <w:rtl/>
        </w:rPr>
        <w:t>שחל גידול משמעותי ברכיב האחרון, עם השפעה ניכרת בחברה הערבית</w:t>
      </w:r>
      <w:r w:rsidRPr="004603D8">
        <w:rPr>
          <w:rtl/>
        </w:rPr>
        <w:t xml:space="preserve">. התופעה הנצפית בחברה הערבית מובלת על ידי גברים ערבים (איור נ.1 בנספח). </w:t>
      </w:r>
    </w:p>
    <w:p w:rsidR="00977EEE" w:rsidRPr="004603D8" w:rsidRDefault="00977EEE" w:rsidP="002D32CB">
      <w:pPr>
        <w:ind w:firstLine="360"/>
        <w:rPr>
          <w:rtl/>
        </w:rPr>
      </w:pPr>
    </w:p>
    <w:p w:rsidR="0066635A" w:rsidRPr="004603D8" w:rsidRDefault="00D904E6" w:rsidP="00FD2E80">
      <w:pPr>
        <w:ind w:firstLine="360"/>
        <w:rPr>
          <w:rtl/>
        </w:rPr>
      </w:pPr>
      <w:r w:rsidRPr="004603D8">
        <w:rPr>
          <w:rtl/>
        </w:rPr>
        <w:lastRenderedPageBreak/>
        <w:t>ישנ</w:t>
      </w:r>
      <w:r w:rsidR="002D32CB" w:rsidRPr="004603D8">
        <w:rPr>
          <w:rtl/>
        </w:rPr>
        <w:t>ן</w:t>
      </w:r>
      <w:r w:rsidRPr="004603D8">
        <w:rPr>
          <w:rtl/>
        </w:rPr>
        <w:t xml:space="preserve"> סיבות נוספות להיעדרות מעבודה </w:t>
      </w:r>
      <w:r w:rsidR="00A717D9" w:rsidRPr="004603D8">
        <w:rPr>
          <w:rtl/>
        </w:rPr>
        <w:t>מעבר להיעדרויות מסיבות</w:t>
      </w:r>
      <w:r w:rsidRPr="004603D8">
        <w:rPr>
          <w:rtl/>
        </w:rPr>
        <w:t xml:space="preserve"> כלכליות</w:t>
      </w:r>
      <w:r w:rsidR="00A717D9" w:rsidRPr="004603D8">
        <w:rPr>
          <w:rtl/>
        </w:rPr>
        <w:t>,</w:t>
      </w:r>
      <w:r w:rsidRPr="004603D8">
        <w:rPr>
          <w:rtl/>
        </w:rPr>
        <w:t xml:space="preserve"> בפרט </w:t>
      </w:r>
      <w:r w:rsidR="002D32CB" w:rsidRPr="004603D8">
        <w:rPr>
          <w:rtl/>
        </w:rPr>
        <w:t>היעדרות עקב שירות</w:t>
      </w:r>
      <w:r w:rsidRPr="004603D8">
        <w:rPr>
          <w:rtl/>
        </w:rPr>
        <w:t xml:space="preserve"> מילואים </w:t>
      </w:r>
      <w:r w:rsidR="002D32CB" w:rsidRPr="004603D8">
        <w:rPr>
          <w:rtl/>
        </w:rPr>
        <w:t xml:space="preserve">והיעדרות "מסיבות אחרות", הכוללות בחודש אוקטובר גם </w:t>
      </w:r>
      <w:r w:rsidR="00E971E7" w:rsidRPr="004603D8">
        <w:rPr>
          <w:rtl/>
        </w:rPr>
        <w:t>היעדרות</w:t>
      </w:r>
      <w:r w:rsidR="002D32CB" w:rsidRPr="004603D8">
        <w:rPr>
          <w:rtl/>
        </w:rPr>
        <w:t xml:space="preserve"> עקב השבתת מערכת החינוך</w:t>
      </w:r>
      <w:r w:rsidR="009C393E" w:rsidRPr="004603D8">
        <w:rPr>
          <w:rtl/>
        </w:rPr>
        <w:t xml:space="preserve"> או הימנעות של המועסק מהגעה לעבודה</w:t>
      </w:r>
      <w:r w:rsidR="002D32CB" w:rsidRPr="004603D8">
        <w:rPr>
          <w:rtl/>
        </w:rPr>
        <w:t>.</w:t>
      </w:r>
      <w:r w:rsidR="00977EEE" w:rsidRPr="004603D8">
        <w:rPr>
          <w:rStyle w:val="af1"/>
          <w:rtl/>
        </w:rPr>
        <w:footnoteReference w:id="4"/>
      </w:r>
      <w:r w:rsidR="002D32CB" w:rsidRPr="004603D8">
        <w:rPr>
          <w:rtl/>
        </w:rPr>
        <w:t xml:space="preserve"> </w:t>
      </w:r>
      <w:r w:rsidR="00B27F86" w:rsidRPr="004603D8">
        <w:rPr>
          <w:rtl/>
        </w:rPr>
        <w:t xml:space="preserve">באיור 2 </w:t>
      </w:r>
      <w:r w:rsidR="00A717D9" w:rsidRPr="004603D8">
        <w:rPr>
          <w:rtl/>
        </w:rPr>
        <w:t>מוצג</w:t>
      </w:r>
      <w:r w:rsidR="00B27F86" w:rsidRPr="004603D8">
        <w:rPr>
          <w:rtl/>
        </w:rPr>
        <w:t xml:space="preserve"> שיעור הנעדרים מכוח העבודה</w:t>
      </w:r>
      <w:r w:rsidR="00A717D9" w:rsidRPr="004603D8">
        <w:rPr>
          <w:rtl/>
        </w:rPr>
        <w:t>, לפי חלוקה לנעדרים בעקבות מילואים וסיבות אחרות. בכל ה</w:t>
      </w:r>
      <w:r w:rsidR="00B27F86" w:rsidRPr="004603D8">
        <w:rPr>
          <w:rtl/>
        </w:rPr>
        <w:t>קבוצות חלה עלייה משמעותית בשיעור הנעדרים ממקום העבודה בחודש אוקטובר</w:t>
      </w:r>
      <w:r w:rsidR="00A717D9" w:rsidRPr="004603D8">
        <w:rPr>
          <w:rtl/>
        </w:rPr>
        <w:t xml:space="preserve"> 2023</w:t>
      </w:r>
      <w:r w:rsidR="00B27F86" w:rsidRPr="004603D8">
        <w:rPr>
          <w:rtl/>
        </w:rPr>
        <w:t xml:space="preserve"> לעומת </w:t>
      </w:r>
      <w:r w:rsidR="00A717D9" w:rsidRPr="004603D8">
        <w:rPr>
          <w:rtl/>
        </w:rPr>
        <w:t xml:space="preserve">חודש </w:t>
      </w:r>
      <w:r w:rsidR="00B27F86" w:rsidRPr="004603D8">
        <w:rPr>
          <w:rtl/>
        </w:rPr>
        <w:t>ספטמבר</w:t>
      </w:r>
      <w:r w:rsidR="00A717D9" w:rsidRPr="004603D8">
        <w:rPr>
          <w:rtl/>
        </w:rPr>
        <w:t xml:space="preserve"> 2023</w:t>
      </w:r>
      <w:r w:rsidR="00B27F86" w:rsidRPr="004603D8">
        <w:rPr>
          <w:rtl/>
        </w:rPr>
        <w:t>. בחינה של השוני בשיעור הנעדרים לפי קבוצות אוכלוסייה מעלה ששיעור הנעדרים מהעבודה בחברה הערבית גבוה בכ-4.5 נקודות אחוז בהשוואה ליהודים</w:t>
      </w:r>
      <w:r w:rsidR="00263468" w:rsidRPr="004603D8">
        <w:rPr>
          <w:rtl/>
        </w:rPr>
        <w:t xml:space="preserve">. הפער </w:t>
      </w:r>
      <w:r w:rsidR="009C393E" w:rsidRPr="004603D8">
        <w:rPr>
          <w:rtl/>
        </w:rPr>
        <w:t xml:space="preserve">מאמיר </w:t>
      </w:r>
      <w:r w:rsidR="00263468" w:rsidRPr="004603D8">
        <w:rPr>
          <w:rtl/>
        </w:rPr>
        <w:t>ל</w:t>
      </w:r>
      <w:r w:rsidR="009C393E" w:rsidRPr="004603D8">
        <w:rPr>
          <w:rtl/>
        </w:rPr>
        <w:t>-</w:t>
      </w:r>
      <w:r w:rsidR="00263468" w:rsidRPr="004603D8">
        <w:rPr>
          <w:rtl/>
        </w:rPr>
        <w:t>8.4 נקודות אחוז כאשר מנכים היעדרויות בגין מילואים אשר</w:t>
      </w:r>
      <w:r w:rsidR="00E971E7" w:rsidRPr="004603D8">
        <w:rPr>
          <w:rtl/>
        </w:rPr>
        <w:t xml:space="preserve"> בדרך כלל</w:t>
      </w:r>
      <w:r w:rsidR="00263468" w:rsidRPr="004603D8">
        <w:rPr>
          <w:rtl/>
        </w:rPr>
        <w:t xml:space="preserve"> </w:t>
      </w:r>
      <w:r w:rsidR="00E971E7" w:rsidRPr="004603D8">
        <w:rPr>
          <w:rtl/>
        </w:rPr>
        <w:t>אינן משקפות פגיעה כלכלית</w:t>
      </w:r>
      <w:r w:rsidR="003B4183" w:rsidRPr="004603D8">
        <w:rPr>
          <w:rtl/>
        </w:rPr>
        <w:t xml:space="preserve"> ישירה</w:t>
      </w:r>
      <w:r w:rsidR="00E971E7" w:rsidRPr="004603D8">
        <w:rPr>
          <w:rtl/>
        </w:rPr>
        <w:t xml:space="preserve"> </w:t>
      </w:r>
      <w:r w:rsidR="003B4183" w:rsidRPr="004603D8">
        <w:rPr>
          <w:rtl/>
        </w:rPr>
        <w:t>ונפוצה כמובן הרבה יותר ב</w:t>
      </w:r>
      <w:r w:rsidR="00263468" w:rsidRPr="004603D8">
        <w:rPr>
          <w:rtl/>
        </w:rPr>
        <w:t>חברה היהודית</w:t>
      </w:r>
      <w:r w:rsidR="00B27F86" w:rsidRPr="004603D8">
        <w:rPr>
          <w:rtl/>
        </w:rPr>
        <w:t>.</w:t>
      </w:r>
      <w:r w:rsidR="0066635A" w:rsidRPr="004603D8">
        <w:rPr>
          <w:rtl/>
        </w:rPr>
        <w:t xml:space="preserve"> הגידול בשיעור הנעדרים מעבודה בחברה הערבית </w:t>
      </w:r>
      <w:r w:rsidR="003B4183" w:rsidRPr="004603D8">
        <w:rPr>
          <w:rtl/>
        </w:rPr>
        <w:t>ב</w:t>
      </w:r>
      <w:r w:rsidR="0066635A" w:rsidRPr="004603D8">
        <w:rPr>
          <w:rtl/>
        </w:rPr>
        <w:t>ש</w:t>
      </w:r>
      <w:r w:rsidR="009C393E" w:rsidRPr="004603D8">
        <w:rPr>
          <w:rtl/>
        </w:rPr>
        <w:t>נ</w:t>
      </w:r>
      <w:r w:rsidR="0066635A" w:rsidRPr="004603D8">
        <w:rPr>
          <w:rtl/>
        </w:rPr>
        <w:t xml:space="preserve">י המינים היה גבוה ממקביליהם בחברה היהודית (איור נ.2 בנספח). </w:t>
      </w:r>
    </w:p>
    <w:p w:rsidR="004845F1" w:rsidRPr="004603D8" w:rsidRDefault="00CE4B43" w:rsidP="00CE4B43">
      <w:pPr>
        <w:spacing w:after="0"/>
        <w:ind w:firstLine="360"/>
        <w:rPr>
          <w:rtl/>
        </w:rPr>
      </w:pPr>
      <w:r w:rsidRPr="004603D8">
        <w:rPr>
          <w:noProof/>
          <w:rtl/>
        </w:rPr>
        <w:drawing>
          <wp:anchor distT="0" distB="0" distL="114300" distR="114300" simplePos="0" relativeHeight="251663360" behindDoc="0" locked="0" layoutInCell="1" allowOverlap="1" wp14:anchorId="6A6879F2" wp14:editId="451B2389">
            <wp:simplePos x="0" y="0"/>
            <wp:positionH relativeFrom="margin">
              <wp:align>center</wp:align>
            </wp:positionH>
            <wp:positionV relativeFrom="paragraph">
              <wp:posOffset>129923</wp:posOffset>
            </wp:positionV>
            <wp:extent cx="5047615" cy="2944495"/>
            <wp:effectExtent l="0" t="0" r="635" b="8255"/>
            <wp:wrapTopAndBottom/>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7615" cy="2944495"/>
                    </a:xfrm>
                    <a:prstGeom prst="rect">
                      <a:avLst/>
                    </a:prstGeom>
                    <a:noFill/>
                  </pic:spPr>
                </pic:pic>
              </a:graphicData>
            </a:graphic>
            <wp14:sizeRelH relativeFrom="page">
              <wp14:pctWidth>0</wp14:pctWidth>
            </wp14:sizeRelH>
            <wp14:sizeRelV relativeFrom="page">
              <wp14:pctHeight>0</wp14:pctHeight>
            </wp14:sizeRelV>
          </wp:anchor>
        </w:drawing>
      </w:r>
    </w:p>
    <w:p w:rsidR="004845F1" w:rsidRPr="004603D8" w:rsidRDefault="00245249" w:rsidP="003A4CDC">
      <w:pPr>
        <w:pStyle w:val="2"/>
        <w:rPr>
          <w:rFonts w:ascii="David" w:hAnsi="David" w:cs="David"/>
          <w:rtl/>
        </w:rPr>
      </w:pPr>
      <w:r w:rsidRPr="004603D8">
        <w:rPr>
          <w:rFonts w:ascii="David" w:hAnsi="David" w:cs="David"/>
          <w:rtl/>
        </w:rPr>
        <w:t>ניתוח התפלגות החשיפה לסיכון לירידה בתעסוקה לפי קבוצות אוכלוסייה</w:t>
      </w:r>
    </w:p>
    <w:p w:rsidR="00255E39" w:rsidRPr="004603D8" w:rsidRDefault="00CF03E1" w:rsidP="00F8720F">
      <w:pPr>
        <w:ind w:firstLine="360"/>
        <w:rPr>
          <w:rtl/>
        </w:rPr>
      </w:pPr>
      <w:r w:rsidRPr="004603D8">
        <w:rPr>
          <w:rtl/>
        </w:rPr>
        <w:t xml:space="preserve">השפעת המלחמה על שוק התעסוקה אינה אחידה בין ענפי הכלכלה וישנם ענפים אשר </w:t>
      </w:r>
      <w:r w:rsidR="00E77127" w:rsidRPr="004603D8">
        <w:rPr>
          <w:rtl/>
        </w:rPr>
        <w:t>חוו</w:t>
      </w:r>
      <w:r w:rsidR="00320434" w:rsidRPr="004603D8">
        <w:rPr>
          <w:rtl/>
        </w:rPr>
        <w:t xml:space="preserve"> פגיעה ניכרת יותר</w:t>
      </w:r>
      <w:r w:rsidR="003A4CDC" w:rsidRPr="004603D8">
        <w:rPr>
          <w:rtl/>
        </w:rPr>
        <w:t xml:space="preserve"> בתעסוקה</w:t>
      </w:r>
      <w:r w:rsidR="00320434" w:rsidRPr="004603D8">
        <w:rPr>
          <w:rtl/>
        </w:rPr>
        <w:t xml:space="preserve"> מענפים אחרים ובכך </w:t>
      </w:r>
      <w:r w:rsidR="00E77127" w:rsidRPr="004603D8">
        <w:rPr>
          <w:rtl/>
        </w:rPr>
        <w:t>חשפו</w:t>
      </w:r>
      <w:r w:rsidR="00320434" w:rsidRPr="004603D8">
        <w:rPr>
          <w:rtl/>
        </w:rPr>
        <w:t xml:space="preserve"> את המועסקים</w:t>
      </w:r>
      <w:r w:rsidR="00AB3F04" w:rsidRPr="004603D8">
        <w:rPr>
          <w:rtl/>
        </w:rPr>
        <w:t xml:space="preserve"> בהם</w:t>
      </w:r>
      <w:r w:rsidR="00320434" w:rsidRPr="004603D8">
        <w:rPr>
          <w:rtl/>
        </w:rPr>
        <w:t xml:space="preserve"> ל</w:t>
      </w:r>
      <w:r w:rsidR="00AB3F04" w:rsidRPr="004603D8">
        <w:rPr>
          <w:rtl/>
        </w:rPr>
        <w:t>סיכון</w:t>
      </w:r>
      <w:r w:rsidR="00F9632A" w:rsidRPr="004603D8">
        <w:rPr>
          <w:rtl/>
        </w:rPr>
        <w:t xml:space="preserve"> מוגבר</w:t>
      </w:r>
      <w:r w:rsidR="00AB3F04" w:rsidRPr="004603D8">
        <w:rPr>
          <w:rtl/>
        </w:rPr>
        <w:t xml:space="preserve"> ל</w:t>
      </w:r>
      <w:r w:rsidR="00320434" w:rsidRPr="004603D8">
        <w:rPr>
          <w:rtl/>
        </w:rPr>
        <w:t xml:space="preserve">ירידה </w:t>
      </w:r>
      <w:r w:rsidR="00F9632A" w:rsidRPr="004603D8">
        <w:rPr>
          <w:rtl/>
        </w:rPr>
        <w:t>בת</w:t>
      </w:r>
      <w:r w:rsidR="00320434" w:rsidRPr="004603D8">
        <w:rPr>
          <w:rtl/>
        </w:rPr>
        <w:t xml:space="preserve">עסוקה. ניתן להבחין בין שני גורמים עיקריים </w:t>
      </w:r>
      <w:r w:rsidR="00E77127" w:rsidRPr="004603D8">
        <w:rPr>
          <w:rtl/>
        </w:rPr>
        <w:t>שהובילו</w:t>
      </w:r>
      <w:r w:rsidR="00320434" w:rsidRPr="004603D8">
        <w:rPr>
          <w:rtl/>
        </w:rPr>
        <w:t xml:space="preserve"> לפגיעה בפעילות הכלכלית של הענפים</w:t>
      </w:r>
      <w:r w:rsidR="0043098D" w:rsidRPr="004603D8">
        <w:rPr>
          <w:rtl/>
        </w:rPr>
        <w:t>:</w:t>
      </w:r>
      <w:r w:rsidR="00320434" w:rsidRPr="004603D8">
        <w:rPr>
          <w:rtl/>
        </w:rPr>
        <w:t xml:space="preserve"> </w:t>
      </w:r>
    </w:p>
    <w:p w:rsidR="00AB3F04" w:rsidRPr="004603D8" w:rsidRDefault="00EE5F2B" w:rsidP="002D62FA">
      <w:pPr>
        <w:pStyle w:val="a3"/>
        <w:numPr>
          <w:ilvl w:val="0"/>
          <w:numId w:val="7"/>
        </w:numPr>
        <w:rPr>
          <w:rtl/>
        </w:rPr>
      </w:pPr>
      <w:r w:rsidRPr="004603D8">
        <w:rPr>
          <w:b/>
          <w:bCs/>
          <w:rtl/>
        </w:rPr>
        <w:t>ירידה בביקוש למוצרים לא חיוניים</w:t>
      </w:r>
      <w:r w:rsidR="002D62FA" w:rsidRPr="004603D8">
        <w:rPr>
          <w:b/>
          <w:bCs/>
          <w:rtl/>
        </w:rPr>
        <w:t xml:space="preserve"> -</w:t>
      </w:r>
      <w:r w:rsidRPr="004603D8">
        <w:rPr>
          <w:rtl/>
        </w:rPr>
        <w:t xml:space="preserve"> </w:t>
      </w:r>
      <w:r w:rsidR="00DB1B06" w:rsidRPr="004603D8">
        <w:rPr>
          <w:rtl/>
        </w:rPr>
        <w:t>מגמה הבאה</w:t>
      </w:r>
      <w:r w:rsidRPr="004603D8">
        <w:rPr>
          <w:rtl/>
        </w:rPr>
        <w:t xml:space="preserve"> לידי ביטוי </w:t>
      </w:r>
      <w:r w:rsidR="00E77127" w:rsidRPr="004603D8">
        <w:rPr>
          <w:rtl/>
        </w:rPr>
        <w:t xml:space="preserve">באופן בולט </w:t>
      </w:r>
      <w:r w:rsidRPr="004603D8">
        <w:rPr>
          <w:rtl/>
        </w:rPr>
        <w:t>בירידה בהוצאות בכרטיסי אשראי</w:t>
      </w:r>
      <w:r w:rsidR="00E77127" w:rsidRPr="004603D8">
        <w:rPr>
          <w:rtl/>
        </w:rPr>
        <w:t xml:space="preserve"> במיוחד בענפי הפנאי השונים -</w:t>
      </w:r>
      <w:r w:rsidR="00096877" w:rsidRPr="004603D8">
        <w:rPr>
          <w:rtl/>
        </w:rPr>
        <w:t xml:space="preserve"> </w:t>
      </w:r>
      <w:r w:rsidR="00D22F81" w:rsidRPr="004603D8">
        <w:rPr>
          <w:rtl/>
        </w:rPr>
        <w:t>חינוך ופנאי, טיסות ובתי מלון, מסעדות ושירותים אחרים</w:t>
      </w:r>
      <w:r w:rsidR="00E77127" w:rsidRPr="004603D8">
        <w:rPr>
          <w:rtl/>
        </w:rPr>
        <w:t>.</w:t>
      </w:r>
      <w:r w:rsidR="005C67CF" w:rsidRPr="004603D8">
        <w:rPr>
          <w:rtl/>
        </w:rPr>
        <w:t xml:space="preserve"> </w:t>
      </w:r>
    </w:p>
    <w:p w:rsidR="00647E1B" w:rsidRPr="004603D8" w:rsidRDefault="00CF03E1" w:rsidP="002D62FA">
      <w:pPr>
        <w:pStyle w:val="a3"/>
        <w:numPr>
          <w:ilvl w:val="0"/>
          <w:numId w:val="7"/>
        </w:numPr>
        <w:rPr>
          <w:rtl/>
        </w:rPr>
      </w:pPr>
      <w:r w:rsidRPr="004603D8">
        <w:rPr>
          <w:b/>
          <w:bCs/>
          <w:rtl/>
        </w:rPr>
        <w:t xml:space="preserve">ירידה </w:t>
      </w:r>
      <w:r w:rsidR="00DB1B06" w:rsidRPr="004603D8">
        <w:rPr>
          <w:b/>
          <w:bCs/>
          <w:rtl/>
        </w:rPr>
        <w:t xml:space="preserve">בפעילות </w:t>
      </w:r>
      <w:r w:rsidR="00E77127" w:rsidRPr="004603D8">
        <w:rPr>
          <w:b/>
          <w:bCs/>
          <w:rtl/>
        </w:rPr>
        <w:t xml:space="preserve">ענפים </w:t>
      </w:r>
      <w:r w:rsidR="00DB1B06" w:rsidRPr="004603D8">
        <w:rPr>
          <w:b/>
          <w:bCs/>
          <w:rtl/>
        </w:rPr>
        <w:t xml:space="preserve">עקב מחסור </w:t>
      </w:r>
      <w:r w:rsidR="00647E1B" w:rsidRPr="004603D8">
        <w:rPr>
          <w:b/>
          <w:bCs/>
          <w:rtl/>
        </w:rPr>
        <w:t>בעובדים</w:t>
      </w:r>
      <w:r w:rsidR="002D62FA" w:rsidRPr="004603D8">
        <w:rPr>
          <w:rtl/>
        </w:rPr>
        <w:t xml:space="preserve"> -</w:t>
      </w:r>
      <w:r w:rsidR="00AB3F04" w:rsidRPr="004603D8">
        <w:rPr>
          <w:rtl/>
        </w:rPr>
        <w:t xml:space="preserve"> </w:t>
      </w:r>
      <w:r w:rsidR="006B2F80" w:rsidRPr="004603D8">
        <w:rPr>
          <w:rtl/>
        </w:rPr>
        <w:t>ירידה כזו עלולה</w:t>
      </w:r>
      <w:r w:rsidR="00AB3F04" w:rsidRPr="004603D8">
        <w:rPr>
          <w:rtl/>
        </w:rPr>
        <w:t xml:space="preserve"> להוביל לירידה בתעסוקה עקב השבתה של חלק מהפעילות בענף ו</w:t>
      </w:r>
      <w:r w:rsidRPr="004603D8">
        <w:rPr>
          <w:rtl/>
        </w:rPr>
        <w:t xml:space="preserve">לפגוע </w:t>
      </w:r>
      <w:r w:rsidR="006B2F80" w:rsidRPr="004603D8">
        <w:rPr>
          <w:rtl/>
        </w:rPr>
        <w:t>ב</w:t>
      </w:r>
      <w:r w:rsidRPr="004603D8">
        <w:rPr>
          <w:rtl/>
        </w:rPr>
        <w:t xml:space="preserve">תעסוקה של עובדים אחרים </w:t>
      </w:r>
      <w:r w:rsidR="006B2F80" w:rsidRPr="004603D8">
        <w:rPr>
          <w:rtl/>
        </w:rPr>
        <w:t xml:space="preserve">בענף </w:t>
      </w:r>
      <w:r w:rsidR="00AB3F04" w:rsidRPr="004603D8">
        <w:rPr>
          <w:rtl/>
        </w:rPr>
        <w:t>המעוניינים</w:t>
      </w:r>
      <w:r w:rsidRPr="004603D8">
        <w:rPr>
          <w:rtl/>
        </w:rPr>
        <w:t xml:space="preserve"> לעבוד. </w:t>
      </w:r>
      <w:r w:rsidR="00647E1B" w:rsidRPr="004603D8">
        <w:rPr>
          <w:rtl/>
        </w:rPr>
        <w:t>דוגמה בולטת לכך הינה ה</w:t>
      </w:r>
      <w:r w:rsidR="005C67CF" w:rsidRPr="004603D8">
        <w:rPr>
          <w:rtl/>
        </w:rPr>
        <w:t xml:space="preserve">מחסור בעובדים </w:t>
      </w:r>
      <w:r w:rsidR="00647E1B" w:rsidRPr="004603D8">
        <w:rPr>
          <w:rtl/>
        </w:rPr>
        <w:t>בענף הבנייה</w:t>
      </w:r>
      <w:r w:rsidR="005C67CF" w:rsidRPr="004603D8">
        <w:rPr>
          <w:rtl/>
        </w:rPr>
        <w:t>,</w:t>
      </w:r>
      <w:r w:rsidR="00647E1B" w:rsidRPr="004603D8">
        <w:rPr>
          <w:rtl/>
        </w:rPr>
        <w:t xml:space="preserve"> עקב </w:t>
      </w:r>
      <w:r w:rsidR="005C67CF" w:rsidRPr="004603D8">
        <w:rPr>
          <w:rtl/>
        </w:rPr>
        <w:t xml:space="preserve">האיסור על </w:t>
      </w:r>
      <w:r w:rsidR="00F8720F" w:rsidRPr="004603D8">
        <w:rPr>
          <w:rtl/>
        </w:rPr>
        <w:t xml:space="preserve">כניסת </w:t>
      </w:r>
      <w:r w:rsidR="005C67CF" w:rsidRPr="004603D8">
        <w:rPr>
          <w:rtl/>
        </w:rPr>
        <w:t>עובדים פלסטינאים</w:t>
      </w:r>
      <w:r w:rsidRPr="004603D8">
        <w:rPr>
          <w:rtl/>
        </w:rPr>
        <w:t xml:space="preserve"> </w:t>
      </w:r>
      <w:r w:rsidR="00F8720F" w:rsidRPr="004603D8">
        <w:rPr>
          <w:rtl/>
        </w:rPr>
        <w:t>ו</w:t>
      </w:r>
      <w:r w:rsidR="00647E1B" w:rsidRPr="004603D8">
        <w:rPr>
          <w:rtl/>
        </w:rPr>
        <w:t xml:space="preserve">עזיבה של חלק </w:t>
      </w:r>
      <w:r w:rsidR="00647E1B" w:rsidRPr="004603D8">
        <w:rPr>
          <w:rtl/>
        </w:rPr>
        <w:lastRenderedPageBreak/>
        <w:t xml:space="preserve">מן העובדים הזרים. </w:t>
      </w:r>
      <w:r w:rsidR="00910891" w:rsidRPr="004603D8">
        <w:rPr>
          <w:rtl/>
        </w:rPr>
        <w:t>בגל השני של סקר הבזק</w:t>
      </w:r>
      <w:r w:rsidR="00F8720F" w:rsidRPr="004603D8">
        <w:rPr>
          <w:rtl/>
        </w:rPr>
        <w:t xml:space="preserve"> של </w:t>
      </w:r>
      <w:proofErr w:type="spellStart"/>
      <w:r w:rsidR="00F8720F" w:rsidRPr="004603D8">
        <w:rPr>
          <w:rtl/>
        </w:rPr>
        <w:t>הלמ"ס</w:t>
      </w:r>
      <w:proofErr w:type="spellEnd"/>
      <w:r w:rsidR="00F8720F" w:rsidRPr="004603D8">
        <w:rPr>
          <w:rtl/>
        </w:rPr>
        <w:t xml:space="preserve"> שנערך במחצית </w:t>
      </w:r>
      <w:r w:rsidR="0072642B" w:rsidRPr="004603D8">
        <w:rPr>
          <w:rtl/>
        </w:rPr>
        <w:t>השנייה</w:t>
      </w:r>
      <w:r w:rsidR="00F8720F" w:rsidRPr="004603D8">
        <w:rPr>
          <w:rtl/>
        </w:rPr>
        <w:t xml:space="preserve"> של נובמבר</w:t>
      </w:r>
      <w:r w:rsidR="000D1C7F" w:rsidRPr="004603D8">
        <w:rPr>
          <w:rStyle w:val="af1"/>
          <w:rtl/>
        </w:rPr>
        <w:footnoteReference w:id="5"/>
      </w:r>
      <w:r w:rsidR="00910891" w:rsidRPr="004603D8">
        <w:rPr>
          <w:rtl/>
        </w:rPr>
        <w:t>, רק בענף הבנייה החברות דיווחו</w:t>
      </w:r>
      <w:r w:rsidR="00F8720F" w:rsidRPr="004603D8">
        <w:rPr>
          <w:rtl/>
        </w:rPr>
        <w:t xml:space="preserve"> באופן נרחב</w:t>
      </w:r>
      <w:r w:rsidR="00910891" w:rsidRPr="004603D8">
        <w:rPr>
          <w:rtl/>
        </w:rPr>
        <w:t xml:space="preserve"> שהמחסור בעובדים היה הסיבה העיקרית לירידה בפעילות הכלכלית של העסק, בעוד שביתר הענפים הגורם העיקרי היה ירידה בביקוש למוצר או לשירות</w:t>
      </w:r>
      <w:r w:rsidR="002F4161" w:rsidRPr="004603D8">
        <w:rPr>
          <w:rtl/>
        </w:rPr>
        <w:t>.</w:t>
      </w:r>
      <w:r w:rsidR="00647E1B" w:rsidRPr="004603D8">
        <w:rPr>
          <w:rtl/>
        </w:rPr>
        <w:t xml:space="preserve"> </w:t>
      </w:r>
      <w:r w:rsidR="006A000D" w:rsidRPr="004603D8">
        <w:rPr>
          <w:rtl/>
        </w:rPr>
        <w:t>מחסור זה בעובדים מוביל ל</w:t>
      </w:r>
      <w:r w:rsidR="00647E1B" w:rsidRPr="004603D8">
        <w:rPr>
          <w:rtl/>
        </w:rPr>
        <w:t>השבתה חלקית של אתרי בניה</w:t>
      </w:r>
      <w:r w:rsidR="006A000D" w:rsidRPr="004603D8">
        <w:rPr>
          <w:rtl/>
        </w:rPr>
        <w:t xml:space="preserve">, </w:t>
      </w:r>
      <w:r w:rsidR="00236C72" w:rsidRPr="004603D8">
        <w:rPr>
          <w:rtl/>
        </w:rPr>
        <w:t>לירידה כוללת בתפוקת הענף ו</w:t>
      </w:r>
      <w:r w:rsidR="006A000D" w:rsidRPr="004603D8">
        <w:rPr>
          <w:rtl/>
        </w:rPr>
        <w:t xml:space="preserve">מהווה </w:t>
      </w:r>
      <w:r w:rsidR="00236C72" w:rsidRPr="004603D8">
        <w:rPr>
          <w:rtl/>
        </w:rPr>
        <w:t>גורם סיכון</w:t>
      </w:r>
      <w:r w:rsidR="006A000D" w:rsidRPr="004603D8">
        <w:rPr>
          <w:rtl/>
        </w:rPr>
        <w:t xml:space="preserve"> לתעסוקה</w:t>
      </w:r>
      <w:r w:rsidR="00236C72" w:rsidRPr="004603D8">
        <w:rPr>
          <w:rtl/>
        </w:rPr>
        <w:t xml:space="preserve"> עבור העובדים אשר יכולים לשוב לעבודה.</w:t>
      </w:r>
      <w:r w:rsidR="00D1595F" w:rsidRPr="004603D8">
        <w:rPr>
          <w:rtl/>
        </w:rPr>
        <w:t xml:space="preserve"> </w:t>
      </w:r>
    </w:p>
    <w:p w:rsidR="00FF441C" w:rsidRPr="004603D8" w:rsidRDefault="006A000D" w:rsidP="009B7524">
      <w:pPr>
        <w:pStyle w:val="a3"/>
        <w:numPr>
          <w:ilvl w:val="0"/>
          <w:numId w:val="7"/>
        </w:numPr>
        <w:rPr>
          <w:rtl/>
        </w:rPr>
      </w:pPr>
      <w:r w:rsidRPr="004603D8">
        <w:rPr>
          <w:b/>
          <w:bCs/>
          <w:rtl/>
        </w:rPr>
        <w:t>ירידה</w:t>
      </w:r>
      <w:r w:rsidR="000D1C7F" w:rsidRPr="004603D8">
        <w:rPr>
          <w:b/>
          <w:bCs/>
          <w:rtl/>
        </w:rPr>
        <w:t xml:space="preserve"> אפשרית</w:t>
      </w:r>
      <w:r w:rsidRPr="004603D8">
        <w:rPr>
          <w:b/>
          <w:bCs/>
          <w:rtl/>
        </w:rPr>
        <w:t xml:space="preserve"> באינטראקציה בשוק העבודה בין יהודים לערבים</w:t>
      </w:r>
      <w:r w:rsidRPr="004603D8">
        <w:rPr>
          <w:rtl/>
        </w:rPr>
        <w:t xml:space="preserve"> כתוצאה מהדרדרות המצב הביטחוני וירידה בתפיסת הביטחון האישי מהווה גורם סיכון ייחודי לירידה בתעסוקה של החברה הערבית. </w:t>
      </w:r>
      <w:r w:rsidR="003419BE" w:rsidRPr="004603D8">
        <w:rPr>
          <w:rtl/>
        </w:rPr>
        <w:t xml:space="preserve">השפעה </w:t>
      </w:r>
      <w:r w:rsidR="005C15E5" w:rsidRPr="004603D8">
        <w:rPr>
          <w:rtl/>
        </w:rPr>
        <w:t xml:space="preserve">זו </w:t>
      </w:r>
      <w:r w:rsidR="003419BE" w:rsidRPr="004603D8">
        <w:rPr>
          <w:rtl/>
        </w:rPr>
        <w:t xml:space="preserve">עשויה לבוא לידי </w:t>
      </w:r>
      <w:r w:rsidR="00A407B2" w:rsidRPr="004603D8">
        <w:rPr>
          <w:rtl/>
        </w:rPr>
        <w:t>ביטוי בחשש של עובדים ערבים להגיע למקומות העבודה</w:t>
      </w:r>
      <w:r w:rsidR="00D1595F" w:rsidRPr="004603D8">
        <w:rPr>
          <w:rtl/>
        </w:rPr>
        <w:t xml:space="preserve">, </w:t>
      </w:r>
      <w:r w:rsidR="006B2F80" w:rsidRPr="004603D8">
        <w:rPr>
          <w:rtl/>
        </w:rPr>
        <w:t xml:space="preserve">ולהעדפה של </w:t>
      </w:r>
      <w:r w:rsidR="00A407B2" w:rsidRPr="004603D8">
        <w:rPr>
          <w:rtl/>
        </w:rPr>
        <w:t>מעסיקים יהודים לא להשיב עובדים ערבים ל</w:t>
      </w:r>
      <w:r w:rsidR="006B2F80" w:rsidRPr="004603D8">
        <w:rPr>
          <w:rtl/>
        </w:rPr>
        <w:t>עבודה</w:t>
      </w:r>
      <w:r w:rsidR="003419BE" w:rsidRPr="004603D8">
        <w:rPr>
          <w:rtl/>
        </w:rPr>
        <w:t xml:space="preserve">. </w:t>
      </w:r>
      <w:r w:rsidR="000D1C7F" w:rsidRPr="004603D8">
        <w:rPr>
          <w:rtl/>
        </w:rPr>
        <w:t>אין לתופעה זו מידע רשמי עד כה באירוע הנוכחי, אך ניתן ללמוד על התופעה מכך ש</w:t>
      </w:r>
      <w:r w:rsidR="003419BE" w:rsidRPr="004603D8">
        <w:rPr>
          <w:rtl/>
        </w:rPr>
        <w:t>בישרא</w:t>
      </w:r>
      <w:r w:rsidR="00CC1FDB" w:rsidRPr="004603D8">
        <w:rPr>
          <w:rtl/>
        </w:rPr>
        <w:t xml:space="preserve">ל נעשו מספר מחקרים אשר בחנו את ההשפעות של </w:t>
      </w:r>
      <w:r w:rsidR="005C15E5" w:rsidRPr="004603D8">
        <w:rPr>
          <w:rtl/>
        </w:rPr>
        <w:t>אירועים</w:t>
      </w:r>
      <w:r w:rsidR="00CC1FDB" w:rsidRPr="004603D8">
        <w:rPr>
          <w:rtl/>
        </w:rPr>
        <w:t xml:space="preserve"> ביטחוניים על מצב התעסוקה של החברה הערבי</w:t>
      </w:r>
      <w:r w:rsidR="00FF441C" w:rsidRPr="004603D8">
        <w:rPr>
          <w:rtl/>
        </w:rPr>
        <w:t>ת.</w:t>
      </w:r>
      <w:r w:rsidR="005C15E5" w:rsidRPr="004603D8">
        <w:rPr>
          <w:rStyle w:val="af1"/>
          <w:rtl/>
        </w:rPr>
        <w:footnoteReference w:id="6"/>
      </w:r>
      <w:r w:rsidR="00FF441C" w:rsidRPr="004603D8">
        <w:rPr>
          <w:rtl/>
        </w:rPr>
        <w:t xml:space="preserve"> </w:t>
      </w:r>
      <w:r w:rsidR="005E7BC4" w:rsidRPr="004603D8">
        <w:rPr>
          <w:rtl/>
        </w:rPr>
        <w:t xml:space="preserve">זוסמן וצבי (2023) ניתחו את ההשפעה של </w:t>
      </w:r>
      <w:r w:rsidR="00A910D5" w:rsidRPr="004603D8">
        <w:rPr>
          <w:rtl/>
        </w:rPr>
        <w:t>מבצעים צבאיים</w:t>
      </w:r>
      <w:r w:rsidR="005E7BC4" w:rsidRPr="004603D8">
        <w:rPr>
          <w:rtl/>
        </w:rPr>
        <w:t xml:space="preserve"> שהתרחשו </w:t>
      </w:r>
      <w:r w:rsidR="002F4161" w:rsidRPr="004603D8">
        <w:rPr>
          <w:rtl/>
        </w:rPr>
        <w:t>לאחר האינתיפאדה השנייה ועד 2018</w:t>
      </w:r>
      <w:r w:rsidR="005E7BC4" w:rsidRPr="004603D8">
        <w:rPr>
          <w:rtl/>
        </w:rPr>
        <w:t xml:space="preserve"> על התעסוקה בחברה הערבית ו</w:t>
      </w:r>
      <w:r w:rsidR="00C96A50" w:rsidRPr="004603D8">
        <w:rPr>
          <w:rtl/>
        </w:rPr>
        <w:t>במרבית האירועים ל</w:t>
      </w:r>
      <w:r w:rsidR="005E7BC4" w:rsidRPr="004603D8">
        <w:rPr>
          <w:rtl/>
        </w:rPr>
        <w:t xml:space="preserve">א מצאו קשר </w:t>
      </w:r>
      <w:r w:rsidR="00AC4728" w:rsidRPr="004603D8">
        <w:rPr>
          <w:rtl/>
        </w:rPr>
        <w:t>בין</w:t>
      </w:r>
      <w:r w:rsidR="002D62FA" w:rsidRPr="004603D8">
        <w:rPr>
          <w:rtl/>
        </w:rPr>
        <w:t xml:space="preserve"> האירוע הביטחוני לסיכוי</w:t>
      </w:r>
      <w:r w:rsidR="00AC4728" w:rsidRPr="004603D8">
        <w:rPr>
          <w:rtl/>
        </w:rPr>
        <w:t xml:space="preserve"> להיפרדות בין העובד למקום עבודתו, אם ביוזמתו או ביוזמת המעסיק</w:t>
      </w:r>
      <w:r w:rsidR="005E7BC4" w:rsidRPr="004603D8">
        <w:rPr>
          <w:rtl/>
        </w:rPr>
        <w:t>.</w:t>
      </w:r>
      <w:r w:rsidR="005E7BC4" w:rsidRPr="004603D8">
        <w:rPr>
          <w:rStyle w:val="af1"/>
          <w:rtl/>
        </w:rPr>
        <w:footnoteReference w:id="7"/>
      </w:r>
      <w:r w:rsidR="00A910D5" w:rsidRPr="004603D8">
        <w:rPr>
          <w:rtl/>
        </w:rPr>
        <w:t xml:space="preserve"> </w:t>
      </w:r>
      <w:proofErr w:type="spellStart"/>
      <w:r w:rsidR="00A910D5" w:rsidRPr="004603D8">
        <w:rPr>
          <w:rtl/>
        </w:rPr>
        <w:t>מיעארי</w:t>
      </w:r>
      <w:proofErr w:type="spellEnd"/>
      <w:r w:rsidR="00A910D5" w:rsidRPr="004603D8">
        <w:rPr>
          <w:rtl/>
        </w:rPr>
        <w:t xml:space="preserve"> ואחרים (</w:t>
      </w:r>
      <w:r w:rsidR="00A910D5" w:rsidRPr="004603D8">
        <w:t>2012</w:t>
      </w:r>
      <w:r w:rsidR="00A910D5" w:rsidRPr="004603D8">
        <w:rPr>
          <w:rtl/>
        </w:rPr>
        <w:t xml:space="preserve">) מצאו שבתקופת האינתיפאדה השנייה שהייתה אירוע מתמשך (2000-2005) עלו </w:t>
      </w:r>
      <w:r w:rsidR="00AC4728" w:rsidRPr="004603D8">
        <w:rPr>
          <w:rtl/>
        </w:rPr>
        <w:t>סיכויי ההיפרדות</w:t>
      </w:r>
      <w:r w:rsidR="00A910D5" w:rsidRPr="004603D8">
        <w:rPr>
          <w:rtl/>
        </w:rPr>
        <w:t>, בכ-2.5 נקודות אחוז בהשוואה לתקופה של טרום האירוע הביטחוני.</w:t>
      </w:r>
    </w:p>
    <w:p w:rsidR="00924806" w:rsidRPr="004603D8" w:rsidRDefault="00746732" w:rsidP="002764C8">
      <w:pPr>
        <w:ind w:firstLine="360"/>
        <w:rPr>
          <w:rtl/>
        </w:rPr>
      </w:pPr>
      <w:r w:rsidRPr="004603D8">
        <w:rPr>
          <w:rtl/>
        </w:rPr>
        <w:t xml:space="preserve">ניתוח </w:t>
      </w:r>
      <w:r w:rsidR="00C85B80" w:rsidRPr="004603D8">
        <w:rPr>
          <w:rtl/>
        </w:rPr>
        <w:t xml:space="preserve">החשיפה של החברה הערבית לענפי תעסוקה ומשלחי יד אשר עלולים לחוות ירידה בתעסוקה בזמן המלחמה </w:t>
      </w:r>
      <w:r w:rsidRPr="004603D8">
        <w:rPr>
          <w:rtl/>
        </w:rPr>
        <w:t xml:space="preserve">התבסס על נתוני סקר </w:t>
      </w:r>
      <w:r w:rsidR="00924806" w:rsidRPr="004603D8">
        <w:rPr>
          <w:rtl/>
        </w:rPr>
        <w:t>כוח אדם לשנת 2022</w:t>
      </w:r>
      <w:r w:rsidR="00C85B80" w:rsidRPr="004603D8">
        <w:rPr>
          <w:rtl/>
        </w:rPr>
        <w:t>.</w:t>
      </w:r>
      <w:r w:rsidR="00924806" w:rsidRPr="004603D8">
        <w:rPr>
          <w:rtl/>
        </w:rPr>
        <w:t xml:space="preserve"> אוכלוסיית המחקר כללה מועסקים </w:t>
      </w:r>
      <w:r w:rsidR="00747FB7" w:rsidRPr="004603D8">
        <w:rPr>
          <w:rtl/>
        </w:rPr>
        <w:t>ערבים ויהודים</w:t>
      </w:r>
      <w:r w:rsidR="00924806" w:rsidRPr="004603D8">
        <w:rPr>
          <w:rtl/>
        </w:rPr>
        <w:t xml:space="preserve">, </w:t>
      </w:r>
      <w:r w:rsidR="00747FB7" w:rsidRPr="004603D8">
        <w:rPr>
          <w:rtl/>
        </w:rPr>
        <w:t>ב</w:t>
      </w:r>
      <w:r w:rsidR="00924806" w:rsidRPr="004603D8">
        <w:rPr>
          <w:rtl/>
        </w:rPr>
        <w:t>ענ</w:t>
      </w:r>
      <w:r w:rsidR="00747FB7" w:rsidRPr="004603D8">
        <w:rPr>
          <w:rtl/>
        </w:rPr>
        <w:t>פי</w:t>
      </w:r>
      <w:r w:rsidR="00A3181F" w:rsidRPr="004603D8">
        <w:rPr>
          <w:rtl/>
        </w:rPr>
        <w:t xml:space="preserve"> </w:t>
      </w:r>
      <w:r w:rsidR="00924806" w:rsidRPr="004603D8">
        <w:rPr>
          <w:rtl/>
        </w:rPr>
        <w:t>התעסוקה ומשלח</w:t>
      </w:r>
      <w:r w:rsidR="002764C8" w:rsidRPr="004603D8">
        <w:rPr>
          <w:rtl/>
        </w:rPr>
        <w:t>י</w:t>
      </w:r>
      <w:r w:rsidR="00924806" w:rsidRPr="004603D8">
        <w:rPr>
          <w:rtl/>
        </w:rPr>
        <w:t xml:space="preserve"> </w:t>
      </w:r>
      <w:r w:rsidR="00D1595F" w:rsidRPr="004603D8">
        <w:rPr>
          <w:rtl/>
        </w:rPr>
        <w:t>ה</w:t>
      </w:r>
      <w:r w:rsidR="00924806" w:rsidRPr="004603D8">
        <w:rPr>
          <w:rtl/>
        </w:rPr>
        <w:t xml:space="preserve">יד </w:t>
      </w:r>
      <w:r w:rsidR="00747FB7" w:rsidRPr="004603D8">
        <w:rPr>
          <w:rtl/>
        </w:rPr>
        <w:t>השונים</w:t>
      </w:r>
      <w:r w:rsidR="00924806" w:rsidRPr="004603D8">
        <w:rPr>
          <w:rtl/>
        </w:rPr>
        <w:t>.</w:t>
      </w:r>
      <w:r w:rsidRPr="004603D8">
        <w:rPr>
          <w:rStyle w:val="af1"/>
          <w:rtl/>
        </w:rPr>
        <w:footnoteReference w:id="8"/>
      </w:r>
      <w:r w:rsidR="00924806" w:rsidRPr="004603D8">
        <w:rPr>
          <w:rtl/>
        </w:rPr>
        <w:t xml:space="preserve"> במידה והמשיב </w:t>
      </w:r>
      <w:r w:rsidR="000C1C47" w:rsidRPr="004603D8">
        <w:rPr>
          <w:rtl/>
        </w:rPr>
        <w:t>לסקר משתייך לחברה ה</w:t>
      </w:r>
      <w:r w:rsidR="00924806" w:rsidRPr="004603D8">
        <w:rPr>
          <w:rtl/>
        </w:rPr>
        <w:t>ערבי</w:t>
      </w:r>
      <w:r w:rsidR="000C1C47" w:rsidRPr="004603D8">
        <w:rPr>
          <w:rtl/>
        </w:rPr>
        <w:t>ת</w:t>
      </w:r>
      <w:r w:rsidR="00924806" w:rsidRPr="004603D8">
        <w:rPr>
          <w:rtl/>
        </w:rPr>
        <w:t xml:space="preserve"> נבחן </w:t>
      </w:r>
      <w:r w:rsidR="000C1C47" w:rsidRPr="004603D8">
        <w:rPr>
          <w:rtl/>
        </w:rPr>
        <w:t>מה</w:t>
      </w:r>
      <w:r w:rsidR="00924806" w:rsidRPr="004603D8">
        <w:rPr>
          <w:rtl/>
        </w:rPr>
        <w:t xml:space="preserve"> יישוב התעסוקה תוך אבחנה בין יישוב תעסוקה ערבי, יהודי, מעורב או לא ידוע.</w:t>
      </w:r>
      <w:r w:rsidRPr="004603D8">
        <w:rPr>
          <w:rStyle w:val="af1"/>
          <w:rtl/>
        </w:rPr>
        <w:footnoteReference w:id="9"/>
      </w:r>
      <w:r w:rsidR="00924806" w:rsidRPr="004603D8">
        <w:rPr>
          <w:rtl/>
        </w:rPr>
        <w:t xml:space="preserve"> עבור כל צירוף של קב</w:t>
      </w:r>
      <w:r w:rsidR="00747FB7" w:rsidRPr="004603D8">
        <w:rPr>
          <w:rtl/>
        </w:rPr>
        <w:t>ו</w:t>
      </w:r>
      <w:r w:rsidR="00924806" w:rsidRPr="004603D8">
        <w:rPr>
          <w:rtl/>
        </w:rPr>
        <w:t>צת אוכלוסייה, ענף, משלח יד מקובץ ויישוב ניתן דירוג סובייקטיבי לחשיפה לסיכון של ירידה בתעסוקה</w:t>
      </w:r>
      <w:r w:rsidR="00747FB7" w:rsidRPr="004603D8">
        <w:rPr>
          <w:rtl/>
        </w:rPr>
        <w:t>, מהסיבות שנדונו לעיל</w:t>
      </w:r>
      <w:r w:rsidR="00924806" w:rsidRPr="004603D8">
        <w:rPr>
          <w:rtl/>
        </w:rPr>
        <w:t>.</w:t>
      </w:r>
      <w:r w:rsidR="00924806" w:rsidRPr="004603D8">
        <w:rPr>
          <w:rStyle w:val="af1"/>
          <w:rtl/>
        </w:rPr>
        <w:footnoteReference w:id="10"/>
      </w:r>
      <w:r w:rsidR="00924806" w:rsidRPr="004603D8">
        <w:rPr>
          <w:rtl/>
        </w:rPr>
        <w:t xml:space="preserve"> </w:t>
      </w:r>
    </w:p>
    <w:p w:rsidR="00E91016" w:rsidRPr="004603D8" w:rsidRDefault="00924806" w:rsidP="002764C8">
      <w:pPr>
        <w:ind w:firstLine="360"/>
        <w:rPr>
          <w:rtl/>
        </w:rPr>
      </w:pPr>
      <w:r w:rsidRPr="004603D8">
        <w:rPr>
          <w:rtl/>
        </w:rPr>
        <w:t xml:space="preserve">דירוג </w:t>
      </w:r>
      <w:r w:rsidR="00520A5F" w:rsidRPr="004603D8">
        <w:rPr>
          <w:rtl/>
        </w:rPr>
        <w:t xml:space="preserve">החשיפה לסיכון של ירידה בתעסוקה חולק לשלוש רמות: </w:t>
      </w:r>
      <w:r w:rsidR="000C1C47" w:rsidRPr="004603D8">
        <w:rPr>
          <w:b/>
          <w:bCs/>
          <w:rtl/>
        </w:rPr>
        <w:t>סיכון נמוך</w:t>
      </w:r>
      <w:r w:rsidR="00520A5F" w:rsidRPr="004603D8">
        <w:rPr>
          <w:rtl/>
        </w:rPr>
        <w:t xml:space="preserve">– ענפים בהם הפעילות הענפית והביקוש לתעסוקה </w:t>
      </w:r>
      <w:r w:rsidR="00830517" w:rsidRPr="004603D8">
        <w:rPr>
          <w:rtl/>
        </w:rPr>
        <w:t xml:space="preserve">של משלח היד </w:t>
      </w:r>
      <w:r w:rsidR="00520A5F" w:rsidRPr="004603D8">
        <w:rPr>
          <w:rtl/>
        </w:rPr>
        <w:t xml:space="preserve">לא </w:t>
      </w:r>
      <w:r w:rsidR="00830517" w:rsidRPr="004603D8">
        <w:rPr>
          <w:rtl/>
        </w:rPr>
        <w:t xml:space="preserve">היו צפויים להיפגע </w:t>
      </w:r>
      <w:r w:rsidR="00520A5F" w:rsidRPr="004603D8">
        <w:rPr>
          <w:rtl/>
        </w:rPr>
        <w:t>באופן משמעותי</w:t>
      </w:r>
      <w:r w:rsidR="00E91016" w:rsidRPr="004603D8">
        <w:rPr>
          <w:rtl/>
        </w:rPr>
        <w:t xml:space="preserve"> בעקבות המלחמה</w:t>
      </w:r>
      <w:r w:rsidR="00520A5F" w:rsidRPr="004603D8">
        <w:rPr>
          <w:rtl/>
        </w:rPr>
        <w:t>;</w:t>
      </w:r>
      <w:r w:rsidR="000C1C47" w:rsidRPr="004603D8">
        <w:rPr>
          <w:rtl/>
        </w:rPr>
        <w:t xml:space="preserve"> </w:t>
      </w:r>
      <w:r w:rsidR="000C1C47" w:rsidRPr="004603D8">
        <w:rPr>
          <w:b/>
          <w:bCs/>
          <w:rtl/>
        </w:rPr>
        <w:t>סיכון גבוה</w:t>
      </w:r>
      <w:r w:rsidR="00830517" w:rsidRPr="004603D8">
        <w:rPr>
          <w:rtl/>
        </w:rPr>
        <w:t xml:space="preserve"> – ענפים ומשלחי יד (בענפים) בהם עלולה להיות ירידה בתעסוקה, </w:t>
      </w:r>
      <w:r w:rsidR="00D1595F" w:rsidRPr="004603D8">
        <w:rPr>
          <w:rtl/>
        </w:rPr>
        <w:t>תוך הבחנה</w:t>
      </w:r>
      <w:r w:rsidR="00830517" w:rsidRPr="004603D8">
        <w:rPr>
          <w:rtl/>
        </w:rPr>
        <w:t xml:space="preserve"> בין</w:t>
      </w:r>
      <w:r w:rsidR="00BD4AB8" w:rsidRPr="004603D8">
        <w:rPr>
          <w:rtl/>
        </w:rPr>
        <w:t xml:space="preserve"> שלושה גורמי</w:t>
      </w:r>
      <w:r w:rsidR="000C1C47" w:rsidRPr="004603D8">
        <w:rPr>
          <w:rtl/>
        </w:rPr>
        <w:t xml:space="preserve"> הסיכון</w:t>
      </w:r>
      <w:r w:rsidR="00BD4AB8" w:rsidRPr="004603D8">
        <w:rPr>
          <w:rtl/>
        </w:rPr>
        <w:t xml:space="preserve"> </w:t>
      </w:r>
      <w:r w:rsidR="000C1C47" w:rsidRPr="004603D8">
        <w:rPr>
          <w:rtl/>
        </w:rPr>
        <w:lastRenderedPageBreak/>
        <w:t>ה</w:t>
      </w:r>
      <w:r w:rsidR="00BD4AB8" w:rsidRPr="004603D8">
        <w:rPr>
          <w:rtl/>
        </w:rPr>
        <w:t>עיקריים</w:t>
      </w:r>
      <w:r w:rsidR="000C1C47" w:rsidRPr="004603D8">
        <w:rPr>
          <w:rtl/>
        </w:rPr>
        <w:t xml:space="preserve"> </w:t>
      </w:r>
      <w:r w:rsidR="00D1595F" w:rsidRPr="004603D8">
        <w:rPr>
          <w:rtl/>
        </w:rPr>
        <w:t>שצוינו</w:t>
      </w:r>
      <w:r w:rsidR="000C1C47" w:rsidRPr="004603D8">
        <w:rPr>
          <w:rtl/>
        </w:rPr>
        <w:t xml:space="preserve"> </w:t>
      </w:r>
      <w:r w:rsidR="00747FB7" w:rsidRPr="004603D8">
        <w:rPr>
          <w:rtl/>
        </w:rPr>
        <w:t>לעיל</w:t>
      </w:r>
      <w:r w:rsidR="00BD4AB8" w:rsidRPr="004603D8">
        <w:rPr>
          <w:rtl/>
        </w:rPr>
        <w:t>:</w:t>
      </w:r>
      <w:r w:rsidR="000C1C47" w:rsidRPr="004603D8">
        <w:rPr>
          <w:rtl/>
        </w:rPr>
        <w:t xml:space="preserve"> </w:t>
      </w:r>
      <w:r w:rsidR="000C1C47" w:rsidRPr="004603D8">
        <w:rPr>
          <w:u w:val="single"/>
          <w:rtl/>
        </w:rPr>
        <w:t>ירידה בביקוש</w:t>
      </w:r>
      <w:r w:rsidR="00BD4AB8" w:rsidRPr="004603D8">
        <w:rPr>
          <w:rtl/>
        </w:rPr>
        <w:t xml:space="preserve"> – ענפים בהם ירד הביקוש למוצרים </w:t>
      </w:r>
      <w:r w:rsidR="00D1595F" w:rsidRPr="004603D8">
        <w:rPr>
          <w:rtl/>
        </w:rPr>
        <w:t>וכתוצאה מכך</w:t>
      </w:r>
      <w:r w:rsidR="000C1C47" w:rsidRPr="004603D8">
        <w:rPr>
          <w:rtl/>
        </w:rPr>
        <w:t xml:space="preserve"> </w:t>
      </w:r>
      <w:r w:rsidR="00BD4AB8" w:rsidRPr="004603D8">
        <w:rPr>
          <w:rtl/>
        </w:rPr>
        <w:t xml:space="preserve">הביקוש לעובדים </w:t>
      </w:r>
      <w:r w:rsidR="000C1C47" w:rsidRPr="004603D8">
        <w:rPr>
          <w:rtl/>
        </w:rPr>
        <w:t xml:space="preserve">היה עלול לרדת </w:t>
      </w:r>
      <w:r w:rsidR="00BD4AB8" w:rsidRPr="004603D8">
        <w:rPr>
          <w:rtl/>
        </w:rPr>
        <w:t xml:space="preserve">(בין אם </w:t>
      </w:r>
      <w:r w:rsidR="00886E2B" w:rsidRPr="004603D8">
        <w:rPr>
          <w:rtl/>
        </w:rPr>
        <w:t xml:space="preserve">בקרב </w:t>
      </w:r>
      <w:r w:rsidR="00BD4AB8" w:rsidRPr="004603D8">
        <w:rPr>
          <w:rtl/>
        </w:rPr>
        <w:t>כלל העובדים או במשלחי יד לא מקצועיים)</w:t>
      </w:r>
      <w:r w:rsidR="00886E2B" w:rsidRPr="004603D8">
        <w:rPr>
          <w:rtl/>
        </w:rPr>
        <w:t xml:space="preserve">. בין ענפים אלה ניתן למנות את ענפי המסחר, אירוח ואוכל ואומנות בידור ופנאי </w:t>
      </w:r>
      <w:r w:rsidR="00BD4AB8" w:rsidRPr="004603D8">
        <w:rPr>
          <w:rtl/>
        </w:rPr>
        <w:t xml:space="preserve">; </w:t>
      </w:r>
      <w:r w:rsidR="00BD4AB8" w:rsidRPr="004603D8">
        <w:rPr>
          <w:u w:val="single"/>
          <w:rtl/>
        </w:rPr>
        <w:t>ה</w:t>
      </w:r>
      <w:r w:rsidR="000C1C47" w:rsidRPr="004603D8">
        <w:rPr>
          <w:u w:val="single"/>
          <w:rtl/>
        </w:rPr>
        <w:t>שתייכות לענף הבינוי</w:t>
      </w:r>
      <w:r w:rsidR="00096877" w:rsidRPr="004603D8">
        <w:rPr>
          <w:u w:val="single"/>
          <w:rtl/>
        </w:rPr>
        <w:t xml:space="preserve"> </w:t>
      </w:r>
      <w:r w:rsidR="00BD4AB8" w:rsidRPr="004603D8">
        <w:rPr>
          <w:rtl/>
        </w:rPr>
        <w:t xml:space="preserve">– ענף </w:t>
      </w:r>
      <w:r w:rsidR="00886E2B" w:rsidRPr="004603D8">
        <w:rPr>
          <w:rtl/>
        </w:rPr>
        <w:t xml:space="preserve">הסובל ממחסור ניכר בכוח אדם (פלסטינאים וזרים) </w:t>
      </w:r>
      <w:r w:rsidR="00E2599E" w:rsidRPr="004603D8">
        <w:rPr>
          <w:rtl/>
        </w:rPr>
        <w:t>ופעל באופן חלקי במהלך החודשים אוקטובר ונובמבר</w:t>
      </w:r>
      <w:r w:rsidR="002764C8" w:rsidRPr="004603D8">
        <w:rPr>
          <w:rtl/>
        </w:rPr>
        <w:t>,</w:t>
      </w:r>
      <w:r w:rsidR="00D1595F" w:rsidRPr="004603D8">
        <w:rPr>
          <w:rtl/>
        </w:rPr>
        <w:t xml:space="preserve"> בין אם כתוצאה ממחסור בעובדים או השבתה יזומה של אתרי בניה בחלק מן הרשויות המקומיות</w:t>
      </w:r>
      <w:r w:rsidR="00BD4AB8" w:rsidRPr="004603D8">
        <w:rPr>
          <w:rtl/>
        </w:rPr>
        <w:t xml:space="preserve">; </w:t>
      </w:r>
      <w:r w:rsidR="000C1C47" w:rsidRPr="004603D8">
        <w:rPr>
          <w:u w:val="single"/>
          <w:rtl/>
        </w:rPr>
        <w:t>צמצום אינטראקציה</w:t>
      </w:r>
      <w:r w:rsidR="00373B4C" w:rsidRPr="004603D8">
        <w:rPr>
          <w:u w:val="single"/>
          <w:rtl/>
        </w:rPr>
        <w:t xml:space="preserve"> בין יהודים וערבים</w:t>
      </w:r>
      <w:r w:rsidR="00096877" w:rsidRPr="004603D8">
        <w:rPr>
          <w:u w:val="single"/>
          <w:rtl/>
        </w:rPr>
        <w:t xml:space="preserve"> </w:t>
      </w:r>
      <w:r w:rsidR="00BD4AB8" w:rsidRPr="004603D8">
        <w:rPr>
          <w:rtl/>
        </w:rPr>
        <w:t xml:space="preserve">– סיכון ייחודי עבור </w:t>
      </w:r>
      <w:r w:rsidR="00373B4C" w:rsidRPr="004603D8">
        <w:rPr>
          <w:rtl/>
        </w:rPr>
        <w:t xml:space="preserve">מועסקים </w:t>
      </w:r>
      <w:r w:rsidR="00BD4AB8" w:rsidRPr="004603D8">
        <w:rPr>
          <w:rtl/>
        </w:rPr>
        <w:t xml:space="preserve">ערבים אשר מועסקים ביישוב יהודי או מעורב, </w:t>
      </w:r>
      <w:r w:rsidR="00373B4C" w:rsidRPr="004603D8">
        <w:rPr>
          <w:rtl/>
        </w:rPr>
        <w:t xml:space="preserve">במשלחי יד לא מקצועיים </w:t>
      </w:r>
      <w:r w:rsidR="00BD4AB8" w:rsidRPr="004603D8">
        <w:rPr>
          <w:rtl/>
        </w:rPr>
        <w:t xml:space="preserve">בענפים </w:t>
      </w:r>
      <w:r w:rsidR="00373B4C" w:rsidRPr="004603D8">
        <w:rPr>
          <w:rtl/>
        </w:rPr>
        <w:t xml:space="preserve">עם </w:t>
      </w:r>
      <w:r w:rsidR="00BD4AB8" w:rsidRPr="004603D8">
        <w:rPr>
          <w:rtl/>
        </w:rPr>
        <w:t>אינטראקציה גבוהה</w:t>
      </w:r>
      <w:r w:rsidR="00373B4C" w:rsidRPr="004603D8">
        <w:rPr>
          <w:rtl/>
        </w:rPr>
        <w:t>. בין ענפים אלו ניתן למנות</w:t>
      </w:r>
      <w:r w:rsidR="00E2599E" w:rsidRPr="004603D8">
        <w:rPr>
          <w:rtl/>
        </w:rPr>
        <w:t xml:space="preserve"> מועסקים בתחומי החינוך, </w:t>
      </w:r>
      <w:r w:rsidR="00747FB7" w:rsidRPr="004603D8">
        <w:rPr>
          <w:rtl/>
        </w:rPr>
        <w:t>מועסקים ב</w:t>
      </w:r>
      <w:r w:rsidR="00E2599E" w:rsidRPr="004603D8">
        <w:rPr>
          <w:rtl/>
        </w:rPr>
        <w:t>משקי בית</w:t>
      </w:r>
      <w:r w:rsidR="00D1595F" w:rsidRPr="004603D8">
        <w:rPr>
          <w:rtl/>
        </w:rPr>
        <w:t xml:space="preserve"> </w:t>
      </w:r>
      <w:r w:rsidR="00747FB7" w:rsidRPr="004603D8">
        <w:rPr>
          <w:rtl/>
        </w:rPr>
        <w:t>יהודים</w:t>
      </w:r>
      <w:r w:rsidR="00E2599E" w:rsidRPr="004603D8">
        <w:rPr>
          <w:rtl/>
        </w:rPr>
        <w:t xml:space="preserve">, </w:t>
      </w:r>
      <w:r w:rsidR="00747FB7" w:rsidRPr="004603D8">
        <w:rPr>
          <w:rtl/>
        </w:rPr>
        <w:t xml:space="preserve">ומועסקים בענפי </w:t>
      </w:r>
      <w:r w:rsidR="00E2599E" w:rsidRPr="004603D8">
        <w:rPr>
          <w:rtl/>
        </w:rPr>
        <w:t>שירותי ניהול ותמיכה ושירותים אחרים</w:t>
      </w:r>
      <w:r w:rsidR="00BD4AB8" w:rsidRPr="004603D8">
        <w:rPr>
          <w:rtl/>
        </w:rPr>
        <w:t>.</w:t>
      </w:r>
      <w:r w:rsidR="00E91016" w:rsidRPr="004603D8">
        <w:rPr>
          <w:rtl/>
        </w:rPr>
        <w:t xml:space="preserve"> </w:t>
      </w:r>
      <w:r w:rsidR="00E91016" w:rsidRPr="004603D8">
        <w:rPr>
          <w:b/>
          <w:bCs/>
          <w:u w:val="single"/>
          <w:rtl/>
        </w:rPr>
        <w:t>סיכון בינוני</w:t>
      </w:r>
      <w:r w:rsidR="00E91016" w:rsidRPr="004603D8">
        <w:rPr>
          <w:rtl/>
        </w:rPr>
        <w:t xml:space="preserve"> –כלל ענפים או משלחי יד (בענפים) </w:t>
      </w:r>
      <w:r w:rsidR="00373B4C" w:rsidRPr="004603D8">
        <w:rPr>
          <w:rtl/>
        </w:rPr>
        <w:t xml:space="preserve">אשר לא נכללו בשתי הקבוצות </w:t>
      </w:r>
      <w:r w:rsidR="00D1595F" w:rsidRPr="004603D8">
        <w:rPr>
          <w:rtl/>
        </w:rPr>
        <w:t>הק</w:t>
      </w:r>
      <w:r w:rsidR="002764C8" w:rsidRPr="004603D8">
        <w:rPr>
          <w:rtl/>
        </w:rPr>
        <w:t>ו</w:t>
      </w:r>
      <w:r w:rsidR="00D1595F" w:rsidRPr="004603D8">
        <w:rPr>
          <w:rtl/>
        </w:rPr>
        <w:t>דמות</w:t>
      </w:r>
      <w:r w:rsidR="00E91016" w:rsidRPr="004603D8">
        <w:rPr>
          <w:rtl/>
        </w:rPr>
        <w:t>;</w:t>
      </w:r>
    </w:p>
    <w:p w:rsidR="00066266" w:rsidRPr="004603D8" w:rsidRDefault="00CE4B43" w:rsidP="0097374C">
      <w:pPr>
        <w:pStyle w:val="a3"/>
        <w:ind w:left="360" w:firstLine="360"/>
        <w:rPr>
          <w:rtl/>
        </w:rPr>
      </w:pPr>
      <w:r w:rsidRPr="004603D8">
        <w:rPr>
          <w:noProof/>
          <w:rtl/>
        </w:rPr>
        <w:drawing>
          <wp:anchor distT="0" distB="0" distL="114300" distR="114300" simplePos="0" relativeHeight="251671552" behindDoc="0" locked="0" layoutInCell="1" allowOverlap="1" wp14:anchorId="3D2F2AD1" wp14:editId="558A6AEB">
            <wp:simplePos x="0" y="0"/>
            <wp:positionH relativeFrom="margin">
              <wp:align>center</wp:align>
            </wp:positionH>
            <wp:positionV relativeFrom="paragraph">
              <wp:posOffset>3059065</wp:posOffset>
            </wp:positionV>
            <wp:extent cx="5047615" cy="2748625"/>
            <wp:effectExtent l="0" t="0" r="635" b="0"/>
            <wp:wrapTopAndBottom/>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7615" cy="2748625"/>
                    </a:xfrm>
                    <a:prstGeom prst="rect">
                      <a:avLst/>
                    </a:prstGeom>
                    <a:noFill/>
                  </pic:spPr>
                </pic:pic>
              </a:graphicData>
            </a:graphic>
            <wp14:sizeRelH relativeFrom="page">
              <wp14:pctWidth>0</wp14:pctWidth>
            </wp14:sizeRelH>
            <wp14:sizeRelV relativeFrom="page">
              <wp14:pctHeight>0</wp14:pctHeight>
            </wp14:sizeRelV>
          </wp:anchor>
        </w:drawing>
      </w:r>
      <w:r w:rsidR="00747FB7" w:rsidRPr="004603D8">
        <w:rPr>
          <w:b/>
          <w:bCs/>
          <w:rtl/>
        </w:rPr>
        <w:t xml:space="preserve">מאיור 3 ניתן לראות כי </w:t>
      </w:r>
      <w:r w:rsidR="003912A6" w:rsidRPr="004603D8">
        <w:rPr>
          <w:b/>
          <w:bCs/>
          <w:rtl/>
        </w:rPr>
        <w:t xml:space="preserve">הסיכון לירידה בתעסוקה בחברה הערבית גבוה </w:t>
      </w:r>
      <w:r w:rsidR="001110C8" w:rsidRPr="004603D8">
        <w:rPr>
          <w:b/>
          <w:bCs/>
          <w:rtl/>
        </w:rPr>
        <w:t xml:space="preserve">משמעותית </w:t>
      </w:r>
      <w:r w:rsidR="00166968" w:rsidRPr="004603D8">
        <w:rPr>
          <w:b/>
          <w:bCs/>
          <w:rtl/>
        </w:rPr>
        <w:t>ב</w:t>
      </w:r>
      <w:r w:rsidR="001110C8" w:rsidRPr="004603D8">
        <w:rPr>
          <w:b/>
          <w:bCs/>
          <w:rtl/>
        </w:rPr>
        <w:t>השוואה ל</w:t>
      </w:r>
      <w:r w:rsidR="003912A6" w:rsidRPr="004603D8">
        <w:rPr>
          <w:b/>
          <w:bCs/>
          <w:rtl/>
        </w:rPr>
        <w:t>חברה היהודית</w:t>
      </w:r>
      <w:r w:rsidR="001110C8" w:rsidRPr="004603D8">
        <w:rPr>
          <w:rtl/>
        </w:rPr>
        <w:t xml:space="preserve">. </w:t>
      </w:r>
      <w:r w:rsidR="00C83450" w:rsidRPr="004603D8">
        <w:rPr>
          <w:rtl/>
        </w:rPr>
        <w:t xml:space="preserve">כ – </w:t>
      </w:r>
      <w:r w:rsidR="008A5E65" w:rsidRPr="004603D8">
        <w:rPr>
          <w:rtl/>
        </w:rPr>
        <w:t>33</w:t>
      </w:r>
      <w:r w:rsidR="00C83450" w:rsidRPr="004603D8">
        <w:rPr>
          <w:rtl/>
        </w:rPr>
        <w:t xml:space="preserve"> </w:t>
      </w:r>
      <w:r w:rsidR="00B23FFC" w:rsidRPr="004603D8">
        <w:rPr>
          <w:rtl/>
        </w:rPr>
        <w:t>אחוז</w:t>
      </w:r>
      <w:r w:rsidR="002764C8" w:rsidRPr="004603D8">
        <w:rPr>
          <w:rtl/>
        </w:rPr>
        <w:t>ים</w:t>
      </w:r>
      <w:r w:rsidR="00B23FFC" w:rsidRPr="004603D8">
        <w:rPr>
          <w:rtl/>
        </w:rPr>
        <w:t xml:space="preserve"> </w:t>
      </w:r>
      <w:r w:rsidR="00C83450" w:rsidRPr="004603D8">
        <w:rPr>
          <w:rtl/>
        </w:rPr>
        <w:t>מהמועסקים בחברה הערבית מועסקים בענפים ובמשלחי יד החשופ</w:t>
      </w:r>
      <w:r w:rsidR="00640727" w:rsidRPr="004603D8">
        <w:rPr>
          <w:rtl/>
        </w:rPr>
        <w:t>ים ל</w:t>
      </w:r>
      <w:r w:rsidR="000D1C7F" w:rsidRPr="004603D8">
        <w:rPr>
          <w:rtl/>
        </w:rPr>
        <w:t>"</w:t>
      </w:r>
      <w:r w:rsidR="00640727" w:rsidRPr="004603D8">
        <w:rPr>
          <w:rtl/>
        </w:rPr>
        <w:t>סיכון גבוה</w:t>
      </w:r>
      <w:r w:rsidR="000D1C7F" w:rsidRPr="004603D8">
        <w:rPr>
          <w:rtl/>
        </w:rPr>
        <w:t xml:space="preserve">" (כפי שהוגדר </w:t>
      </w:r>
      <w:r w:rsidR="0097374C" w:rsidRPr="004603D8">
        <w:rPr>
          <w:rtl/>
        </w:rPr>
        <w:t>לעיל</w:t>
      </w:r>
      <w:r w:rsidR="000D1C7F" w:rsidRPr="004603D8">
        <w:rPr>
          <w:rtl/>
        </w:rPr>
        <w:t>)</w:t>
      </w:r>
      <w:r w:rsidR="00640727" w:rsidRPr="004603D8">
        <w:rPr>
          <w:rtl/>
        </w:rPr>
        <w:t xml:space="preserve"> לירידה בתעסוקה </w:t>
      </w:r>
      <w:r w:rsidR="00C83450" w:rsidRPr="004603D8">
        <w:rPr>
          <w:rtl/>
        </w:rPr>
        <w:t>לעומת כ– 1</w:t>
      </w:r>
      <w:r w:rsidR="008A5E65" w:rsidRPr="004603D8">
        <w:rPr>
          <w:rtl/>
        </w:rPr>
        <w:t xml:space="preserve">4 </w:t>
      </w:r>
      <w:r w:rsidR="00C83450" w:rsidRPr="004603D8">
        <w:rPr>
          <w:rtl/>
        </w:rPr>
        <w:t>אחו</w:t>
      </w:r>
      <w:r w:rsidR="00640727" w:rsidRPr="004603D8">
        <w:rPr>
          <w:rtl/>
        </w:rPr>
        <w:t>ז</w:t>
      </w:r>
      <w:r w:rsidR="002764C8" w:rsidRPr="004603D8">
        <w:rPr>
          <w:rtl/>
        </w:rPr>
        <w:t>ים</w:t>
      </w:r>
      <w:r w:rsidR="00640727" w:rsidRPr="004603D8">
        <w:rPr>
          <w:rtl/>
        </w:rPr>
        <w:t xml:space="preserve"> באוכלוסייה היהודית. באיור 4 מוצגים הגורמים התורמים לחשיפה לסיכון התעסוקה הגבוה בקבוצות האוכלוסייה השונות</w:t>
      </w:r>
      <w:r w:rsidR="000038C9" w:rsidRPr="004603D8">
        <w:rPr>
          <w:rtl/>
        </w:rPr>
        <w:t xml:space="preserve">. </w:t>
      </w:r>
      <w:r w:rsidR="000038C9" w:rsidRPr="004603D8">
        <w:rPr>
          <w:b/>
          <w:bCs/>
          <w:rtl/>
        </w:rPr>
        <w:t>השיעור הגבוה של עובדים ערבים בתחום הבינוי</w:t>
      </w:r>
      <w:r w:rsidR="00066266" w:rsidRPr="004603D8">
        <w:rPr>
          <w:b/>
          <w:bCs/>
          <w:rtl/>
        </w:rPr>
        <w:t xml:space="preserve"> מהווה את הגורם העיקרי התורם לפער בסיכון התעסוקה בין קבוצות האוכלוסייה</w:t>
      </w:r>
      <w:r w:rsidR="000038C9" w:rsidRPr="004603D8">
        <w:rPr>
          <w:rtl/>
        </w:rPr>
        <w:t xml:space="preserve"> (כ</w:t>
      </w:r>
      <w:r w:rsidR="00066266" w:rsidRPr="004603D8">
        <w:rPr>
          <w:rtl/>
        </w:rPr>
        <w:t>-</w:t>
      </w:r>
      <w:r w:rsidR="008A5E65" w:rsidRPr="004603D8">
        <w:rPr>
          <w:rtl/>
        </w:rPr>
        <w:t>15</w:t>
      </w:r>
      <w:r w:rsidR="000038C9" w:rsidRPr="004603D8">
        <w:rPr>
          <w:rtl/>
        </w:rPr>
        <w:t xml:space="preserve"> אחוז</w:t>
      </w:r>
      <w:r w:rsidR="001151B1" w:rsidRPr="004603D8">
        <w:rPr>
          <w:rtl/>
        </w:rPr>
        <w:t>ים</w:t>
      </w:r>
      <w:r w:rsidR="000038C9" w:rsidRPr="004603D8">
        <w:rPr>
          <w:rtl/>
        </w:rPr>
        <w:t xml:space="preserve"> </w:t>
      </w:r>
      <w:r w:rsidR="00640727" w:rsidRPr="004603D8">
        <w:rPr>
          <w:rtl/>
        </w:rPr>
        <w:t>מהמועסקים</w:t>
      </w:r>
      <w:r w:rsidR="00066266" w:rsidRPr="004603D8">
        <w:rPr>
          <w:rtl/>
        </w:rPr>
        <w:t xml:space="preserve"> הערבים</w:t>
      </w:r>
      <w:r w:rsidR="00640727" w:rsidRPr="004603D8">
        <w:rPr>
          <w:rtl/>
        </w:rPr>
        <w:t xml:space="preserve"> </w:t>
      </w:r>
      <w:r w:rsidR="000038C9" w:rsidRPr="004603D8">
        <w:rPr>
          <w:rtl/>
        </w:rPr>
        <w:t>לעומת</w:t>
      </w:r>
      <w:r w:rsidR="00096877" w:rsidRPr="004603D8">
        <w:rPr>
          <w:rtl/>
        </w:rPr>
        <w:t xml:space="preserve"> </w:t>
      </w:r>
      <w:r w:rsidR="008A5E65" w:rsidRPr="004603D8">
        <w:rPr>
          <w:rtl/>
        </w:rPr>
        <w:t xml:space="preserve">4 </w:t>
      </w:r>
      <w:r w:rsidR="000038C9" w:rsidRPr="004603D8">
        <w:rPr>
          <w:rtl/>
        </w:rPr>
        <w:t>אחוז</w:t>
      </w:r>
      <w:r w:rsidR="001151B1" w:rsidRPr="004603D8">
        <w:rPr>
          <w:rtl/>
        </w:rPr>
        <w:t>ים</w:t>
      </w:r>
      <w:r w:rsidR="00066266" w:rsidRPr="004603D8">
        <w:rPr>
          <w:rtl/>
        </w:rPr>
        <w:t xml:space="preserve"> מהיהודים</w:t>
      </w:r>
      <w:r w:rsidR="000038C9" w:rsidRPr="004603D8">
        <w:rPr>
          <w:rtl/>
        </w:rPr>
        <w:t>).</w:t>
      </w:r>
      <w:r w:rsidR="004126FF" w:rsidRPr="004603D8">
        <w:rPr>
          <w:rStyle w:val="af1"/>
          <w:rtl/>
        </w:rPr>
        <w:footnoteReference w:id="11"/>
      </w:r>
      <w:r w:rsidR="000038C9" w:rsidRPr="004603D8">
        <w:rPr>
          <w:rtl/>
        </w:rPr>
        <w:t xml:space="preserve"> </w:t>
      </w:r>
      <w:r w:rsidR="00AC4728" w:rsidRPr="004603D8">
        <w:rPr>
          <w:rtl/>
        </w:rPr>
        <w:t>ענף</w:t>
      </w:r>
      <w:r w:rsidR="00886E2B" w:rsidRPr="004603D8">
        <w:rPr>
          <w:rtl/>
        </w:rPr>
        <w:t xml:space="preserve"> הבינוי</w:t>
      </w:r>
      <w:r w:rsidR="00242B92" w:rsidRPr="004603D8">
        <w:rPr>
          <w:rtl/>
        </w:rPr>
        <w:t xml:space="preserve"> ספג ירידה ניכרת בפעילות במהלך חודש אוקטובר</w:t>
      </w:r>
      <w:r w:rsidR="00886E2B" w:rsidRPr="004603D8">
        <w:rPr>
          <w:rtl/>
        </w:rPr>
        <w:t>,</w:t>
      </w:r>
      <w:r w:rsidR="000038C9" w:rsidRPr="004603D8">
        <w:rPr>
          <w:rtl/>
        </w:rPr>
        <w:t xml:space="preserve"> אך מאז החל לחזור לשגרה באופן חלקי</w:t>
      </w:r>
      <w:r w:rsidR="00D206C6" w:rsidRPr="004603D8">
        <w:rPr>
          <w:rtl/>
        </w:rPr>
        <w:t xml:space="preserve"> ללא פועלים פלסטינאים</w:t>
      </w:r>
      <w:r w:rsidR="00742177" w:rsidRPr="004603D8">
        <w:rPr>
          <w:rtl/>
        </w:rPr>
        <w:t xml:space="preserve"> </w:t>
      </w:r>
      <w:r w:rsidR="00D206C6" w:rsidRPr="004603D8">
        <w:rPr>
          <w:rtl/>
        </w:rPr>
        <w:t xml:space="preserve">ולכן השיבושים בענף צפויים להימשך בשבועות הקרובים. מנגד, אי החזרתם של הפועלים הפלסטינאים יכולה להתבטא </w:t>
      </w:r>
      <w:r w:rsidR="00255E39" w:rsidRPr="004603D8">
        <w:rPr>
          <w:rtl/>
        </w:rPr>
        <w:t>בעתיד</w:t>
      </w:r>
      <w:r w:rsidR="00D206C6" w:rsidRPr="004603D8">
        <w:rPr>
          <w:rtl/>
        </w:rPr>
        <w:t xml:space="preserve"> ביותר הזדמנויות תעסוקה בענף</w:t>
      </w:r>
      <w:r w:rsidR="000038C9" w:rsidRPr="004603D8">
        <w:rPr>
          <w:rtl/>
        </w:rPr>
        <w:t xml:space="preserve">. </w:t>
      </w:r>
      <w:r w:rsidR="00910891" w:rsidRPr="004603D8">
        <w:rPr>
          <w:rtl/>
        </w:rPr>
        <w:t>עדות להקלת המגבלה במחסור בעובדים בתחום הבינוי מתקבלת מ</w:t>
      </w:r>
      <w:r w:rsidR="000038C9" w:rsidRPr="004603D8">
        <w:rPr>
          <w:rtl/>
        </w:rPr>
        <w:t xml:space="preserve">השוואה של שיעור העסקים בתחום הבינוי אשר הצהירו </w:t>
      </w:r>
      <w:r w:rsidR="00640727" w:rsidRPr="004603D8">
        <w:rPr>
          <w:rtl/>
        </w:rPr>
        <w:t xml:space="preserve">בסקר הבזק של </w:t>
      </w:r>
      <w:proofErr w:type="spellStart"/>
      <w:r w:rsidR="00640727" w:rsidRPr="004603D8">
        <w:rPr>
          <w:rtl/>
        </w:rPr>
        <w:t>הלמ"ס</w:t>
      </w:r>
      <w:proofErr w:type="spellEnd"/>
      <w:r w:rsidR="00640727" w:rsidRPr="004603D8">
        <w:rPr>
          <w:rtl/>
        </w:rPr>
        <w:t xml:space="preserve"> </w:t>
      </w:r>
      <w:r w:rsidR="000038C9" w:rsidRPr="004603D8">
        <w:rPr>
          <w:rtl/>
        </w:rPr>
        <w:t xml:space="preserve">שהיקף התעסוקה בהם </w:t>
      </w:r>
      <w:r w:rsidR="00A910D5" w:rsidRPr="004603D8">
        <w:rPr>
          <w:rtl/>
        </w:rPr>
        <w:t>ירד באופן משמעותי ביחס</w:t>
      </w:r>
      <w:r w:rsidR="00886E2B" w:rsidRPr="004603D8">
        <w:rPr>
          <w:rtl/>
        </w:rPr>
        <w:t xml:space="preserve"> ל</w:t>
      </w:r>
      <w:r w:rsidR="000038C9" w:rsidRPr="004603D8">
        <w:rPr>
          <w:rtl/>
        </w:rPr>
        <w:t>שגרה</w:t>
      </w:r>
      <w:r w:rsidR="00A910D5" w:rsidRPr="004603D8">
        <w:rPr>
          <w:rtl/>
        </w:rPr>
        <w:t xml:space="preserve"> (מעל 80 אחוז פגיעה ביחס לשגרה)</w:t>
      </w:r>
      <w:r w:rsidR="00910891" w:rsidRPr="004603D8">
        <w:rPr>
          <w:rtl/>
        </w:rPr>
        <w:t>,</w:t>
      </w:r>
      <w:r w:rsidR="000038C9" w:rsidRPr="004603D8">
        <w:rPr>
          <w:rtl/>
        </w:rPr>
        <w:t xml:space="preserve"> </w:t>
      </w:r>
      <w:r w:rsidR="00910891" w:rsidRPr="004603D8">
        <w:rPr>
          <w:rtl/>
        </w:rPr>
        <w:t>בעוד שבגל הראשון של הסקר</w:t>
      </w:r>
      <w:r w:rsidR="004F2383" w:rsidRPr="004603D8">
        <w:rPr>
          <w:rtl/>
        </w:rPr>
        <w:t xml:space="preserve"> (מחצית שניה של אוקטובר)</w:t>
      </w:r>
      <w:r w:rsidR="00910891" w:rsidRPr="004603D8">
        <w:rPr>
          <w:rtl/>
        </w:rPr>
        <w:t xml:space="preserve"> שיעור המשיבים עמד על </w:t>
      </w:r>
      <w:r w:rsidR="000038C9" w:rsidRPr="004603D8">
        <w:rPr>
          <w:rtl/>
        </w:rPr>
        <w:t>כ – 60 אחוז</w:t>
      </w:r>
      <w:r w:rsidR="002764C8" w:rsidRPr="004603D8">
        <w:rPr>
          <w:rtl/>
        </w:rPr>
        <w:t>ים</w:t>
      </w:r>
      <w:r w:rsidR="004F2383" w:rsidRPr="004603D8">
        <w:rPr>
          <w:rtl/>
        </w:rPr>
        <w:t>,</w:t>
      </w:r>
      <w:r w:rsidR="000038C9" w:rsidRPr="004603D8">
        <w:rPr>
          <w:rtl/>
        </w:rPr>
        <w:t xml:space="preserve"> בגל </w:t>
      </w:r>
      <w:r w:rsidR="00910891" w:rsidRPr="004603D8">
        <w:rPr>
          <w:rtl/>
        </w:rPr>
        <w:t xml:space="preserve">השני </w:t>
      </w:r>
      <w:r w:rsidR="004F2383" w:rsidRPr="004603D8">
        <w:rPr>
          <w:rtl/>
        </w:rPr>
        <w:t xml:space="preserve">(מחצית שניה של נובמבר) </w:t>
      </w:r>
      <w:r w:rsidR="0072642B" w:rsidRPr="004603D8">
        <w:rPr>
          <w:rtl/>
        </w:rPr>
        <w:t>השיעור</w:t>
      </w:r>
      <w:r w:rsidR="004F2383" w:rsidRPr="004603D8">
        <w:rPr>
          <w:rtl/>
        </w:rPr>
        <w:t xml:space="preserve"> </w:t>
      </w:r>
      <w:r w:rsidR="00910891" w:rsidRPr="004603D8">
        <w:rPr>
          <w:rtl/>
        </w:rPr>
        <w:t xml:space="preserve">עמד על </w:t>
      </w:r>
      <w:r w:rsidR="000038C9" w:rsidRPr="004603D8">
        <w:rPr>
          <w:rtl/>
        </w:rPr>
        <w:t>כ- 35 אחוז</w:t>
      </w:r>
      <w:r w:rsidR="002764C8" w:rsidRPr="004603D8">
        <w:rPr>
          <w:rtl/>
        </w:rPr>
        <w:t>ים</w:t>
      </w:r>
      <w:r w:rsidR="00910891" w:rsidRPr="004603D8">
        <w:rPr>
          <w:rtl/>
        </w:rPr>
        <w:t>.</w:t>
      </w:r>
    </w:p>
    <w:p w:rsidR="00CE4B43" w:rsidRPr="004603D8" w:rsidRDefault="00CE4B43" w:rsidP="00AC4728">
      <w:pPr>
        <w:pStyle w:val="a3"/>
        <w:ind w:left="360" w:firstLine="360"/>
        <w:rPr>
          <w:rtl/>
        </w:rPr>
      </w:pPr>
    </w:p>
    <w:p w:rsidR="003912A6" w:rsidRPr="004603D8" w:rsidRDefault="00EE198B" w:rsidP="006A517D">
      <w:pPr>
        <w:pStyle w:val="a3"/>
        <w:ind w:left="360"/>
      </w:pPr>
      <w:r w:rsidRPr="004603D8">
        <w:rPr>
          <w:noProof/>
        </w:rPr>
        <w:drawing>
          <wp:anchor distT="0" distB="0" distL="114300" distR="114300" simplePos="0" relativeHeight="251667456" behindDoc="0" locked="0" layoutInCell="1" allowOverlap="1" wp14:anchorId="3A348ECA" wp14:editId="0D56B7EC">
            <wp:simplePos x="0" y="0"/>
            <wp:positionH relativeFrom="margin">
              <wp:align>center</wp:align>
            </wp:positionH>
            <wp:positionV relativeFrom="paragraph">
              <wp:posOffset>1935480</wp:posOffset>
            </wp:positionV>
            <wp:extent cx="5053965" cy="2743200"/>
            <wp:effectExtent l="0" t="0" r="0" b="0"/>
            <wp:wrapTopAndBottom/>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53965" cy="2743200"/>
                    </a:xfrm>
                    <a:prstGeom prst="rect">
                      <a:avLst/>
                    </a:prstGeom>
                    <a:noFill/>
                  </pic:spPr>
                </pic:pic>
              </a:graphicData>
            </a:graphic>
            <wp14:sizeRelH relativeFrom="page">
              <wp14:pctWidth>0</wp14:pctWidth>
            </wp14:sizeRelH>
            <wp14:sizeRelV relativeFrom="page">
              <wp14:pctHeight>0</wp14:pctHeight>
            </wp14:sizeRelV>
          </wp:anchor>
        </w:drawing>
      </w:r>
      <w:r w:rsidR="00E2599E" w:rsidRPr="004603D8">
        <w:rPr>
          <w:b/>
          <w:bCs/>
        </w:rPr>
        <w:t xml:space="preserve"> </w:t>
      </w:r>
      <w:r w:rsidR="00D1595F" w:rsidRPr="004603D8">
        <w:rPr>
          <w:b/>
          <w:bCs/>
          <w:rtl/>
        </w:rPr>
        <w:tab/>
      </w:r>
      <w:r w:rsidR="00066266" w:rsidRPr="004603D8">
        <w:rPr>
          <w:b/>
          <w:bCs/>
          <w:rtl/>
        </w:rPr>
        <w:t>שיעור המועסקים בענפים החשופים לירידה בביקוש דומה בין קבוצות האוכלוסייה</w:t>
      </w:r>
      <w:r w:rsidR="00C84D06" w:rsidRPr="004603D8">
        <w:rPr>
          <w:rtl/>
        </w:rPr>
        <w:t xml:space="preserve">. </w:t>
      </w:r>
      <w:r w:rsidR="00306438" w:rsidRPr="004603D8">
        <w:rPr>
          <w:rtl/>
        </w:rPr>
        <w:t>כ –</w:t>
      </w:r>
      <w:r w:rsidR="00444DC2" w:rsidRPr="004603D8">
        <w:rPr>
          <w:rtl/>
        </w:rPr>
        <w:t>1</w:t>
      </w:r>
      <w:r w:rsidR="008A5E65" w:rsidRPr="004603D8">
        <w:rPr>
          <w:rtl/>
        </w:rPr>
        <w:t>2</w:t>
      </w:r>
      <w:r w:rsidR="00444DC2" w:rsidRPr="004603D8">
        <w:rPr>
          <w:rtl/>
        </w:rPr>
        <w:t xml:space="preserve"> </w:t>
      </w:r>
      <w:r w:rsidR="00306438" w:rsidRPr="004603D8">
        <w:rPr>
          <w:rtl/>
        </w:rPr>
        <w:t>אחוז</w:t>
      </w:r>
      <w:r w:rsidR="00166968" w:rsidRPr="004603D8">
        <w:rPr>
          <w:rtl/>
        </w:rPr>
        <w:t>ים</w:t>
      </w:r>
      <w:r w:rsidR="00306438" w:rsidRPr="004603D8">
        <w:rPr>
          <w:rtl/>
        </w:rPr>
        <w:t xml:space="preserve"> מהמועסקים בחברה הערבית</w:t>
      </w:r>
      <w:r w:rsidR="00385612" w:rsidRPr="004603D8">
        <w:rPr>
          <w:rtl/>
        </w:rPr>
        <w:t xml:space="preserve"> </w:t>
      </w:r>
      <w:r w:rsidR="00306438" w:rsidRPr="004603D8">
        <w:rPr>
          <w:rtl/>
        </w:rPr>
        <w:t xml:space="preserve">מועסקים בתחומים עם </w:t>
      </w:r>
      <w:r w:rsidR="00AD26B6" w:rsidRPr="004603D8">
        <w:rPr>
          <w:rtl/>
        </w:rPr>
        <w:t>חשיפה ל</w:t>
      </w:r>
      <w:r w:rsidR="00306438" w:rsidRPr="004603D8">
        <w:rPr>
          <w:rtl/>
        </w:rPr>
        <w:t>סיכון גבוה לפגיעה בתעסוקה</w:t>
      </w:r>
      <w:r w:rsidR="00444DC2" w:rsidRPr="004603D8">
        <w:rPr>
          <w:rtl/>
        </w:rPr>
        <w:t>, לא שונה בא</w:t>
      </w:r>
      <w:r w:rsidR="00166968" w:rsidRPr="004603D8">
        <w:rPr>
          <w:rtl/>
        </w:rPr>
        <w:t>ו</w:t>
      </w:r>
      <w:r w:rsidR="00444DC2" w:rsidRPr="004603D8">
        <w:rPr>
          <w:rtl/>
        </w:rPr>
        <w:t>פן משמעותי מהחברה היהודית שם כ-</w:t>
      </w:r>
      <w:r w:rsidR="008A5E65" w:rsidRPr="004603D8">
        <w:rPr>
          <w:rtl/>
        </w:rPr>
        <w:t>10</w:t>
      </w:r>
      <w:r w:rsidR="00444DC2" w:rsidRPr="004603D8">
        <w:rPr>
          <w:rtl/>
        </w:rPr>
        <w:t xml:space="preserve"> אחוז</w:t>
      </w:r>
      <w:r w:rsidR="00166968" w:rsidRPr="004603D8">
        <w:rPr>
          <w:rtl/>
        </w:rPr>
        <w:t>ים</w:t>
      </w:r>
      <w:r w:rsidR="00444DC2" w:rsidRPr="004603D8">
        <w:rPr>
          <w:rtl/>
        </w:rPr>
        <w:t xml:space="preserve"> מהמועסקים מועסקים בתחומים אלו</w:t>
      </w:r>
      <w:r w:rsidR="00306438" w:rsidRPr="004603D8">
        <w:rPr>
          <w:rtl/>
        </w:rPr>
        <w:t>.</w:t>
      </w:r>
      <w:r w:rsidR="00444DC2" w:rsidRPr="004603D8">
        <w:rPr>
          <w:rtl/>
        </w:rPr>
        <w:t xml:space="preserve"> </w:t>
      </w:r>
      <w:r w:rsidR="00C84D06" w:rsidRPr="004603D8">
        <w:rPr>
          <w:b/>
          <w:bCs/>
          <w:rtl/>
        </w:rPr>
        <w:t xml:space="preserve">צמצום האינטראקציה בין יהודים וערבים מהווה גורם סיכון </w:t>
      </w:r>
      <w:proofErr w:type="spellStart"/>
      <w:r w:rsidR="00C84D06" w:rsidRPr="004603D8">
        <w:rPr>
          <w:b/>
          <w:bCs/>
          <w:rtl/>
        </w:rPr>
        <w:t>ל</w:t>
      </w:r>
      <w:r w:rsidR="00444DC2" w:rsidRPr="004603D8">
        <w:rPr>
          <w:b/>
          <w:bCs/>
          <w:rtl/>
        </w:rPr>
        <w:t>כ</w:t>
      </w:r>
      <w:proofErr w:type="spellEnd"/>
      <w:r w:rsidR="00444DC2" w:rsidRPr="004603D8">
        <w:rPr>
          <w:b/>
          <w:bCs/>
          <w:rtl/>
        </w:rPr>
        <w:t xml:space="preserve"> –</w:t>
      </w:r>
      <w:r w:rsidR="008A5E65" w:rsidRPr="004603D8">
        <w:rPr>
          <w:b/>
          <w:bCs/>
          <w:rtl/>
        </w:rPr>
        <w:t>7</w:t>
      </w:r>
      <w:r w:rsidR="001212BB" w:rsidRPr="004603D8">
        <w:rPr>
          <w:b/>
          <w:bCs/>
          <w:rtl/>
        </w:rPr>
        <w:t xml:space="preserve"> </w:t>
      </w:r>
      <w:r w:rsidR="00444DC2" w:rsidRPr="004603D8">
        <w:rPr>
          <w:b/>
          <w:bCs/>
          <w:rtl/>
        </w:rPr>
        <w:t>אחוז</w:t>
      </w:r>
      <w:r w:rsidR="00166968" w:rsidRPr="004603D8">
        <w:rPr>
          <w:b/>
          <w:bCs/>
          <w:rtl/>
        </w:rPr>
        <w:t>ים</w:t>
      </w:r>
      <w:r w:rsidR="00444DC2" w:rsidRPr="004603D8">
        <w:rPr>
          <w:b/>
          <w:bCs/>
          <w:rtl/>
        </w:rPr>
        <w:t xml:space="preserve"> מהמועסקים הערבים</w:t>
      </w:r>
      <w:r w:rsidR="00C84D06" w:rsidRPr="004603D8">
        <w:rPr>
          <w:b/>
          <w:bCs/>
          <w:rtl/>
        </w:rPr>
        <w:t>.</w:t>
      </w:r>
      <w:r w:rsidR="00D079F1" w:rsidRPr="004603D8">
        <w:rPr>
          <w:rStyle w:val="af1"/>
          <w:b/>
          <w:bCs/>
          <w:rtl/>
        </w:rPr>
        <w:footnoteReference w:id="12"/>
      </w:r>
      <w:r w:rsidR="00C84D06" w:rsidRPr="004603D8">
        <w:rPr>
          <w:rtl/>
        </w:rPr>
        <w:t xml:space="preserve"> בין </w:t>
      </w:r>
      <w:r w:rsidR="008A5E65" w:rsidRPr="004603D8">
        <w:rPr>
          <w:rtl/>
        </w:rPr>
        <w:t>34</w:t>
      </w:r>
      <w:r w:rsidR="00C84D06" w:rsidRPr="004603D8">
        <w:rPr>
          <w:rtl/>
        </w:rPr>
        <w:t xml:space="preserve"> ל- 4</w:t>
      </w:r>
      <w:r w:rsidR="008A5E65" w:rsidRPr="004603D8">
        <w:rPr>
          <w:rtl/>
        </w:rPr>
        <w:t>7</w:t>
      </w:r>
      <w:r w:rsidR="00C84D06" w:rsidRPr="004603D8">
        <w:rPr>
          <w:rtl/>
        </w:rPr>
        <w:t xml:space="preserve"> אחוז מהמועסקים הערבים עובדים ביישוב יהודי או מעורב,</w:t>
      </w:r>
      <w:r w:rsidR="00C84D06" w:rsidRPr="004603D8">
        <w:rPr>
          <w:rStyle w:val="af1"/>
          <w:rtl/>
        </w:rPr>
        <w:footnoteReference w:id="13"/>
      </w:r>
      <w:r w:rsidR="00096877" w:rsidRPr="004603D8">
        <w:rPr>
          <w:rtl/>
        </w:rPr>
        <w:t xml:space="preserve"> </w:t>
      </w:r>
      <w:r w:rsidR="00255E39" w:rsidRPr="004603D8">
        <w:rPr>
          <w:rtl/>
        </w:rPr>
        <w:t>ו</w:t>
      </w:r>
      <w:r w:rsidR="00C84D06" w:rsidRPr="004603D8">
        <w:rPr>
          <w:rtl/>
        </w:rPr>
        <w:t>כ</w:t>
      </w:r>
      <w:r w:rsidR="00255E39" w:rsidRPr="004603D8">
        <w:rPr>
          <w:rtl/>
        </w:rPr>
        <w:t>-7 אחוז</w:t>
      </w:r>
      <w:r w:rsidR="002764C8" w:rsidRPr="004603D8">
        <w:rPr>
          <w:rtl/>
        </w:rPr>
        <w:t>ים</w:t>
      </w:r>
      <w:r w:rsidR="00C84D06" w:rsidRPr="004603D8">
        <w:rPr>
          <w:rtl/>
        </w:rPr>
        <w:t xml:space="preserve"> </w:t>
      </w:r>
      <w:r w:rsidR="00255E39" w:rsidRPr="004603D8">
        <w:rPr>
          <w:rtl/>
        </w:rPr>
        <w:t xml:space="preserve">(כ -40 אלף איש) </w:t>
      </w:r>
      <w:r w:rsidR="00C84D06" w:rsidRPr="004603D8">
        <w:rPr>
          <w:rtl/>
        </w:rPr>
        <w:t>מועסקים בענפי תעסוקה הכוללים אינטראקציה גבוהה ו</w:t>
      </w:r>
      <w:r w:rsidR="00444DC2" w:rsidRPr="004603D8">
        <w:rPr>
          <w:rtl/>
        </w:rPr>
        <w:t xml:space="preserve">במשלחי יד לא מקצועיים </w:t>
      </w:r>
      <w:r w:rsidR="00D26AF5" w:rsidRPr="004603D8">
        <w:rPr>
          <w:rtl/>
        </w:rPr>
        <w:t>ולכן נכללו ברמת הסיכון הגבוהה.</w:t>
      </w:r>
      <w:r w:rsidR="00096877" w:rsidRPr="004603D8">
        <w:rPr>
          <w:rtl/>
        </w:rPr>
        <w:t xml:space="preserve"> </w:t>
      </w:r>
      <w:r w:rsidR="00444DC2" w:rsidRPr="004603D8">
        <w:rPr>
          <w:rtl/>
        </w:rPr>
        <w:t xml:space="preserve">סיכון זה הינו </w:t>
      </w:r>
      <w:r w:rsidR="00255E39" w:rsidRPr="004603D8">
        <w:rPr>
          <w:rtl/>
        </w:rPr>
        <w:t xml:space="preserve">בנוסף </w:t>
      </w:r>
      <w:r w:rsidR="00444DC2" w:rsidRPr="004603D8">
        <w:rPr>
          <w:rtl/>
        </w:rPr>
        <w:t>לסיכוני הביקוש וישנה חפיפה בין השניים</w:t>
      </w:r>
      <w:r w:rsidR="00CA1710" w:rsidRPr="004603D8">
        <w:rPr>
          <w:rtl/>
        </w:rPr>
        <w:t xml:space="preserve"> </w:t>
      </w:r>
      <w:r w:rsidR="003912A6" w:rsidRPr="004603D8">
        <w:rPr>
          <w:rtl/>
        </w:rPr>
        <w:t xml:space="preserve">כך שחזרת </w:t>
      </w:r>
      <w:proofErr w:type="spellStart"/>
      <w:r w:rsidR="003912A6" w:rsidRPr="004603D8">
        <w:rPr>
          <w:rtl/>
        </w:rPr>
        <w:t>הביקושים</w:t>
      </w:r>
      <w:proofErr w:type="spellEnd"/>
      <w:r w:rsidR="003912A6" w:rsidRPr="004603D8">
        <w:rPr>
          <w:rtl/>
        </w:rPr>
        <w:t xml:space="preserve"> ללא הקלה בחשש </w:t>
      </w:r>
      <w:r w:rsidR="00255E39" w:rsidRPr="004603D8">
        <w:rPr>
          <w:rtl/>
        </w:rPr>
        <w:t xml:space="preserve">ממפגש בין יהודים וערבים </w:t>
      </w:r>
      <w:r w:rsidR="003912A6" w:rsidRPr="004603D8">
        <w:rPr>
          <w:rtl/>
        </w:rPr>
        <w:t xml:space="preserve">תשאיר קבוצה </w:t>
      </w:r>
      <w:r w:rsidR="002764C8" w:rsidRPr="004603D8">
        <w:rPr>
          <w:rtl/>
        </w:rPr>
        <w:t xml:space="preserve">גדולה </w:t>
      </w:r>
      <w:r w:rsidR="003912A6" w:rsidRPr="004603D8">
        <w:rPr>
          <w:rtl/>
        </w:rPr>
        <w:t xml:space="preserve">יותר בחשיפה </w:t>
      </w:r>
      <w:r w:rsidR="00D26AF5" w:rsidRPr="004603D8">
        <w:rPr>
          <w:rtl/>
        </w:rPr>
        <w:t xml:space="preserve">לסיכון גבוה של ירידה בתעסוקה </w:t>
      </w:r>
      <w:r w:rsidR="003912A6" w:rsidRPr="004603D8">
        <w:rPr>
          <w:rtl/>
        </w:rPr>
        <w:t>(</w:t>
      </w:r>
      <w:r w:rsidR="008A5E65" w:rsidRPr="004603D8">
        <w:rPr>
          <w:rtl/>
        </w:rPr>
        <w:t>12</w:t>
      </w:r>
      <w:r w:rsidR="003912A6" w:rsidRPr="004603D8">
        <w:rPr>
          <w:rtl/>
        </w:rPr>
        <w:t>%).</w:t>
      </w:r>
    </w:p>
    <w:p w:rsidR="00CA1710" w:rsidRPr="004603D8" w:rsidRDefault="00CA1710" w:rsidP="00453E56">
      <w:pPr>
        <w:rPr>
          <w:rtl/>
        </w:rPr>
      </w:pPr>
    </w:p>
    <w:p w:rsidR="007C5D51" w:rsidRPr="004603D8" w:rsidRDefault="0091548E" w:rsidP="004B1217">
      <w:pPr>
        <w:pStyle w:val="2"/>
        <w:rPr>
          <w:rFonts w:ascii="David" w:hAnsi="David" w:cs="David"/>
          <w:rtl/>
        </w:rPr>
      </w:pPr>
      <w:r w:rsidRPr="004603D8">
        <w:rPr>
          <w:rFonts w:ascii="David" w:hAnsi="David" w:cs="David"/>
          <w:rtl/>
        </w:rPr>
        <w:t xml:space="preserve">סיכום </w:t>
      </w:r>
    </w:p>
    <w:p w:rsidR="0081194D" w:rsidRPr="004603D8" w:rsidRDefault="00D1595F" w:rsidP="002764C8">
      <w:pPr>
        <w:rPr>
          <w:rtl/>
        </w:rPr>
      </w:pPr>
      <w:r w:rsidRPr="004603D8">
        <w:rPr>
          <w:rtl/>
        </w:rPr>
        <w:t>מלחמת "חרבות ברזל" אשר פרצה</w:t>
      </w:r>
      <w:r w:rsidR="0091548E" w:rsidRPr="004603D8">
        <w:rPr>
          <w:rtl/>
        </w:rPr>
        <w:t xml:space="preserve"> באוקטובר 2023 הובילה, בין היתר, להפחתת</w:t>
      </w:r>
      <w:r w:rsidRPr="004603D8">
        <w:rPr>
          <w:rtl/>
        </w:rPr>
        <w:t xml:space="preserve"> </w:t>
      </w:r>
      <w:r w:rsidR="0091548E" w:rsidRPr="004603D8">
        <w:rPr>
          <w:rtl/>
        </w:rPr>
        <w:t xml:space="preserve">תשומות העבודה במשק עקב גידול במספר המועסקים הנעדרים ממקום עבודתם. </w:t>
      </w:r>
      <w:r w:rsidR="00151159" w:rsidRPr="004603D8">
        <w:rPr>
          <w:rtl/>
        </w:rPr>
        <w:t>הפגיעה בתעסוקה</w:t>
      </w:r>
      <w:r w:rsidR="0091548E" w:rsidRPr="004603D8">
        <w:rPr>
          <w:rtl/>
        </w:rPr>
        <w:t xml:space="preserve"> הייתה ניכרת יותר בחברה הערבית ובאה לידי ביטוי ב</w:t>
      </w:r>
      <w:r w:rsidR="00636AE7" w:rsidRPr="004603D8">
        <w:rPr>
          <w:rtl/>
        </w:rPr>
        <w:t>עיקר ב</w:t>
      </w:r>
      <w:r w:rsidR="0091548E" w:rsidRPr="004603D8">
        <w:rPr>
          <w:rtl/>
        </w:rPr>
        <w:t xml:space="preserve">גידול בשיעור </w:t>
      </w:r>
      <w:r w:rsidR="00636AE7" w:rsidRPr="004603D8">
        <w:rPr>
          <w:rtl/>
        </w:rPr>
        <w:t>ה</w:t>
      </w:r>
      <w:r w:rsidR="0091548E" w:rsidRPr="004603D8">
        <w:rPr>
          <w:rtl/>
        </w:rPr>
        <w:t>נעדרים מסיבות כלכליות ו</w:t>
      </w:r>
      <w:r w:rsidR="00151159" w:rsidRPr="004603D8">
        <w:rPr>
          <w:rtl/>
        </w:rPr>
        <w:t>מ</w:t>
      </w:r>
      <w:r w:rsidR="0091548E" w:rsidRPr="004603D8">
        <w:rPr>
          <w:rtl/>
        </w:rPr>
        <w:t xml:space="preserve">סיבות אחרות. מניתוח של החשיפה לסיכון לירידה בתעסוקה </w:t>
      </w:r>
      <w:r w:rsidR="00C2429F" w:rsidRPr="004603D8">
        <w:rPr>
          <w:rtl/>
        </w:rPr>
        <w:t xml:space="preserve">(בטווח הקצר) </w:t>
      </w:r>
      <w:r w:rsidR="0091548E" w:rsidRPr="004603D8">
        <w:rPr>
          <w:rtl/>
        </w:rPr>
        <w:t>עולה שהחשיפה של החברה הערבית לסיכון של ירידה בתעסוקה גבוה</w:t>
      </w:r>
      <w:r w:rsidR="002764C8" w:rsidRPr="004603D8">
        <w:rPr>
          <w:rtl/>
        </w:rPr>
        <w:t>ה</w:t>
      </w:r>
      <w:r w:rsidR="0091548E" w:rsidRPr="004603D8">
        <w:rPr>
          <w:rtl/>
        </w:rPr>
        <w:t xml:space="preserve"> מאשר באוכלוסייה היהודית. שוני בהרכב התעסוקה בין קבוצות האוכלוסייה, בפרט השיעור הניכר של המועסקים בתחום הבינוי, הינו גורם התרומה המשמעותי לפער בין קבוצות האוכלוסייה. </w:t>
      </w:r>
      <w:r w:rsidR="007A461B" w:rsidRPr="004603D8">
        <w:rPr>
          <w:rtl/>
        </w:rPr>
        <w:t xml:space="preserve">כ- </w:t>
      </w:r>
      <w:r w:rsidR="00397131" w:rsidRPr="004603D8">
        <w:rPr>
          <w:rtl/>
        </w:rPr>
        <w:t>7</w:t>
      </w:r>
      <w:r w:rsidR="007A461B" w:rsidRPr="004603D8">
        <w:rPr>
          <w:rtl/>
        </w:rPr>
        <w:t xml:space="preserve"> אחוז מן המועסקים הערבים נמצאים בסיכון גבוה לירידה בתעסוקה כתוצאה מצמצום האינטראקציה בין יהודים וערבים</w:t>
      </w:r>
      <w:r w:rsidR="00C2429F" w:rsidRPr="004603D8">
        <w:rPr>
          <w:rtl/>
        </w:rPr>
        <w:t>.</w:t>
      </w:r>
      <w:r w:rsidR="007A461B" w:rsidRPr="004603D8">
        <w:rPr>
          <w:rtl/>
        </w:rPr>
        <w:t xml:space="preserve"> סיכון זה הינו </w:t>
      </w:r>
      <w:r w:rsidR="00C2429F" w:rsidRPr="004603D8">
        <w:rPr>
          <w:rtl/>
        </w:rPr>
        <w:t>סיכון נוסף לסיכון שמקורו בירידה ב</w:t>
      </w:r>
      <w:r w:rsidR="007A461B" w:rsidRPr="004603D8">
        <w:rPr>
          <w:rtl/>
        </w:rPr>
        <w:t>ביקוש</w:t>
      </w:r>
      <w:r w:rsidR="00C2429F" w:rsidRPr="004603D8">
        <w:rPr>
          <w:rtl/>
        </w:rPr>
        <w:t xml:space="preserve"> לעובדים עקב ירידה בצריכה </w:t>
      </w:r>
      <w:r w:rsidR="00C2429F" w:rsidRPr="004603D8">
        <w:rPr>
          <w:rtl/>
        </w:rPr>
        <w:lastRenderedPageBreak/>
        <w:t>הפרטית.</w:t>
      </w:r>
      <w:r w:rsidR="007A461B" w:rsidRPr="004603D8">
        <w:rPr>
          <w:rtl/>
        </w:rPr>
        <w:t xml:space="preserve"> </w:t>
      </w:r>
      <w:r w:rsidR="002764C8" w:rsidRPr="004603D8">
        <w:rPr>
          <w:rtl/>
        </w:rPr>
        <w:t xml:space="preserve">טרם </w:t>
      </w:r>
      <w:r w:rsidR="007A461B" w:rsidRPr="004603D8">
        <w:rPr>
          <w:rtl/>
        </w:rPr>
        <w:t xml:space="preserve">מלחמת "חרבות ברזל" היה פער בהכנסות בין יהודים וערבים, פער זה עלול לגדול בעקבות הירידה העודפת בתשומת העבודה בחברה הערבית והן בעקבות היקף היסמכות נמוך יותר של החברה </w:t>
      </w:r>
      <w:r w:rsidR="00E548B3" w:rsidRPr="004603D8">
        <w:rPr>
          <w:rtl/>
        </w:rPr>
        <w:t>הערבית על מנגנוני ביטוח חברתיים המוצעים על ידי המדינה.</w:t>
      </w:r>
      <w:r w:rsidR="00E548B3" w:rsidRPr="004603D8">
        <w:rPr>
          <w:rStyle w:val="af1"/>
          <w:rtl/>
        </w:rPr>
        <w:footnoteReference w:id="14"/>
      </w:r>
      <w:r w:rsidRPr="004603D8">
        <w:rPr>
          <w:rtl/>
        </w:rPr>
        <w:t xml:space="preserve"> </w:t>
      </w:r>
    </w:p>
    <w:p w:rsidR="009F45C7" w:rsidRPr="004603D8" w:rsidRDefault="00CE4B43" w:rsidP="0081194D">
      <w:pPr>
        <w:pStyle w:val="2"/>
        <w:rPr>
          <w:rFonts w:ascii="David" w:hAnsi="David" w:cs="David"/>
          <w:rtl/>
        </w:rPr>
      </w:pPr>
      <w:r w:rsidRPr="004603D8">
        <w:rPr>
          <w:rFonts w:ascii="David" w:hAnsi="David" w:cs="David"/>
          <w:noProof/>
          <w:rtl/>
        </w:rPr>
        <w:drawing>
          <wp:anchor distT="0" distB="0" distL="114300" distR="114300" simplePos="0" relativeHeight="251668480" behindDoc="0" locked="0" layoutInCell="1" allowOverlap="1" wp14:anchorId="52DA98B9" wp14:editId="2721CFB2">
            <wp:simplePos x="0" y="0"/>
            <wp:positionH relativeFrom="margin">
              <wp:posOffset>245745</wp:posOffset>
            </wp:positionH>
            <wp:positionV relativeFrom="paragraph">
              <wp:posOffset>253365</wp:posOffset>
            </wp:positionV>
            <wp:extent cx="5700395" cy="2804160"/>
            <wp:effectExtent l="0" t="0" r="0" b="0"/>
            <wp:wrapTopAndBottom/>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0395" cy="2804160"/>
                    </a:xfrm>
                    <a:prstGeom prst="rect">
                      <a:avLst/>
                    </a:prstGeom>
                    <a:noFill/>
                  </pic:spPr>
                </pic:pic>
              </a:graphicData>
            </a:graphic>
            <wp14:sizeRelH relativeFrom="page">
              <wp14:pctWidth>0</wp14:pctWidth>
            </wp14:sizeRelH>
            <wp14:sizeRelV relativeFrom="page">
              <wp14:pctHeight>0</wp14:pctHeight>
            </wp14:sizeRelV>
          </wp:anchor>
        </w:drawing>
      </w:r>
      <w:r w:rsidR="00151159" w:rsidRPr="004603D8">
        <w:rPr>
          <w:rFonts w:ascii="David" w:hAnsi="David" w:cs="David"/>
          <w:rtl/>
        </w:rPr>
        <w:t>נספחים</w:t>
      </w:r>
    </w:p>
    <w:p w:rsidR="00773E18" w:rsidRPr="004603D8" w:rsidRDefault="00773E18" w:rsidP="00151159">
      <w:pPr>
        <w:rPr>
          <w:rtl/>
        </w:rPr>
      </w:pPr>
      <w:r w:rsidRPr="004603D8">
        <w:rPr>
          <w:noProof/>
          <w:rtl/>
        </w:rPr>
        <w:drawing>
          <wp:anchor distT="0" distB="0" distL="114300" distR="114300" simplePos="0" relativeHeight="251669504" behindDoc="0" locked="0" layoutInCell="1" allowOverlap="1" wp14:anchorId="57299503" wp14:editId="71467A84">
            <wp:simplePos x="0" y="0"/>
            <wp:positionH relativeFrom="margin">
              <wp:posOffset>243205</wp:posOffset>
            </wp:positionH>
            <wp:positionV relativeFrom="paragraph">
              <wp:posOffset>3058160</wp:posOffset>
            </wp:positionV>
            <wp:extent cx="5706110" cy="2804160"/>
            <wp:effectExtent l="0" t="0" r="8890" b="0"/>
            <wp:wrapTopAndBottom/>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6110" cy="2804160"/>
                    </a:xfrm>
                    <a:prstGeom prst="rect">
                      <a:avLst/>
                    </a:prstGeom>
                    <a:noFill/>
                  </pic:spPr>
                </pic:pic>
              </a:graphicData>
            </a:graphic>
            <wp14:sizeRelH relativeFrom="page">
              <wp14:pctWidth>0</wp14:pctWidth>
            </wp14:sizeRelH>
            <wp14:sizeRelV relativeFrom="page">
              <wp14:pctHeight>0</wp14:pctHeight>
            </wp14:sizeRelV>
          </wp:anchor>
        </w:drawing>
      </w:r>
    </w:p>
    <w:p w:rsidR="002F3A55" w:rsidRPr="004603D8" w:rsidRDefault="00773E18" w:rsidP="00602425">
      <w:pPr>
        <w:rPr>
          <w:b/>
          <w:bCs/>
          <w:color w:val="FF0000"/>
          <w:sz w:val="44"/>
          <w:szCs w:val="44"/>
          <w:rtl/>
        </w:rPr>
      </w:pPr>
      <w:r w:rsidRPr="004603D8">
        <w:rPr>
          <w:rtl/>
        </w:rPr>
        <w:br w:type="column"/>
      </w:r>
      <w:r w:rsidR="00602425" w:rsidRPr="004603D8">
        <w:rPr>
          <w:b/>
          <w:bCs/>
          <w:noProof/>
          <w:color w:val="FF0000"/>
          <w:sz w:val="44"/>
          <w:szCs w:val="44"/>
        </w:rPr>
        <w:lastRenderedPageBreak/>
        <w:drawing>
          <wp:inline distT="0" distB="0" distL="0" distR="0" wp14:anchorId="56154050" wp14:editId="534BACC1">
            <wp:extent cx="5377180" cy="4462780"/>
            <wp:effectExtent l="0" t="0" r="0" b="0"/>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77180" cy="4462780"/>
                    </a:xfrm>
                    <a:prstGeom prst="rect">
                      <a:avLst/>
                    </a:prstGeom>
                    <a:noFill/>
                  </pic:spPr>
                </pic:pic>
              </a:graphicData>
            </a:graphic>
          </wp:inline>
        </w:drawing>
      </w:r>
    </w:p>
    <w:p w:rsidR="00773E18" w:rsidRPr="004603D8" w:rsidRDefault="00773E18" w:rsidP="00773E18">
      <w:pPr>
        <w:rPr>
          <w:rtl/>
        </w:rPr>
      </w:pPr>
    </w:p>
    <w:tbl>
      <w:tblPr>
        <w:bidiVisual/>
        <w:tblW w:w="0" w:type="auto"/>
        <w:tblInd w:w="35" w:type="dxa"/>
        <w:tblLook w:val="04A0" w:firstRow="1" w:lastRow="0" w:firstColumn="1" w:lastColumn="0" w:noHBand="0" w:noVBand="1"/>
      </w:tblPr>
      <w:tblGrid>
        <w:gridCol w:w="2605"/>
        <w:gridCol w:w="1121"/>
        <w:gridCol w:w="1116"/>
        <w:gridCol w:w="1116"/>
        <w:gridCol w:w="1120"/>
        <w:gridCol w:w="1116"/>
        <w:gridCol w:w="1116"/>
      </w:tblGrid>
      <w:tr w:rsidR="007B1111" w:rsidRPr="004603D8" w:rsidTr="00602425">
        <w:trPr>
          <w:trHeight w:val="285"/>
        </w:trPr>
        <w:tc>
          <w:tcPr>
            <w:tcW w:w="0" w:type="auto"/>
            <w:gridSpan w:val="7"/>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B1111" w:rsidRPr="004603D8" w:rsidRDefault="0070778D" w:rsidP="007B1111">
            <w:pPr>
              <w:spacing w:after="0" w:line="240" w:lineRule="auto"/>
              <w:ind w:left="0"/>
              <w:contextualSpacing w:val="0"/>
              <w:jc w:val="center"/>
              <w:rPr>
                <w:rFonts w:eastAsia="Times New Roman"/>
                <w:b/>
                <w:bCs/>
                <w:color w:val="000000"/>
                <w:sz w:val="22"/>
                <w:szCs w:val="22"/>
              </w:rPr>
            </w:pPr>
            <w:r w:rsidRPr="004603D8">
              <w:rPr>
                <w:rFonts w:eastAsia="Times New Roman"/>
                <w:b/>
                <w:bCs/>
                <w:color w:val="000000"/>
                <w:sz w:val="22"/>
                <w:szCs w:val="22"/>
                <w:rtl/>
              </w:rPr>
              <w:t xml:space="preserve"> טבלה נ.1 - </w:t>
            </w:r>
            <w:r w:rsidR="007B1111" w:rsidRPr="004603D8">
              <w:rPr>
                <w:rFonts w:eastAsia="Times New Roman"/>
                <w:b/>
                <w:bCs/>
                <w:color w:val="000000"/>
                <w:sz w:val="22"/>
                <w:szCs w:val="22"/>
                <w:rtl/>
              </w:rPr>
              <w:t xml:space="preserve">בני 15 ומעלה, לפי תכונות כוח עבודה, סיבות </w:t>
            </w:r>
            <w:r w:rsidR="00602425" w:rsidRPr="004603D8">
              <w:rPr>
                <w:rFonts w:eastAsia="Times New Roman"/>
                <w:b/>
                <w:bCs/>
                <w:color w:val="000000"/>
                <w:sz w:val="22"/>
                <w:szCs w:val="22"/>
                <w:rtl/>
              </w:rPr>
              <w:t>להיעדרות</w:t>
            </w:r>
            <w:r w:rsidR="007B1111" w:rsidRPr="004603D8">
              <w:rPr>
                <w:rFonts w:eastAsia="Times New Roman"/>
                <w:b/>
                <w:bCs/>
                <w:color w:val="000000"/>
                <w:sz w:val="22"/>
                <w:szCs w:val="22"/>
                <w:rtl/>
              </w:rPr>
              <w:t xml:space="preserve"> מהעבודה בשבוע הקובע, קבוצת </w:t>
            </w:r>
            <w:r w:rsidR="00602425" w:rsidRPr="004603D8">
              <w:rPr>
                <w:rFonts w:eastAsia="Times New Roman"/>
                <w:b/>
                <w:bCs/>
                <w:color w:val="000000"/>
                <w:sz w:val="22"/>
                <w:szCs w:val="22"/>
                <w:rtl/>
              </w:rPr>
              <w:t>אוכלוסייה</w:t>
            </w:r>
          </w:p>
        </w:tc>
      </w:tr>
      <w:tr w:rsidR="00602425" w:rsidRPr="004603D8" w:rsidTr="00A035A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B1111" w:rsidRPr="004603D8" w:rsidRDefault="009172A2" w:rsidP="00C634BD">
            <w:pPr>
              <w:spacing w:after="0" w:line="240" w:lineRule="auto"/>
              <w:ind w:left="0"/>
              <w:contextualSpacing w:val="0"/>
              <w:jc w:val="center"/>
              <w:rPr>
                <w:rFonts w:eastAsia="Times New Roman"/>
                <w:color w:val="000000"/>
                <w:sz w:val="22"/>
                <w:szCs w:val="22"/>
                <w:rtl/>
              </w:rPr>
            </w:pPr>
            <w:r w:rsidRPr="004603D8">
              <w:rPr>
                <w:rFonts w:eastAsia="Times New Roman"/>
                <w:color w:val="000000"/>
                <w:sz w:val="22"/>
                <w:szCs w:val="22"/>
                <w:rtl/>
              </w:rPr>
              <w:t>שנה</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B1111" w:rsidRPr="004603D8" w:rsidRDefault="007B1111" w:rsidP="00C634BD">
            <w:pPr>
              <w:bidi w:val="0"/>
              <w:spacing w:after="0" w:line="240" w:lineRule="auto"/>
              <w:ind w:left="0"/>
              <w:contextualSpacing w:val="0"/>
              <w:jc w:val="center"/>
              <w:rPr>
                <w:rFonts w:eastAsia="Times New Roman"/>
                <w:color w:val="000000"/>
                <w:sz w:val="22"/>
                <w:szCs w:val="22"/>
              </w:rPr>
            </w:pPr>
            <w:r w:rsidRPr="004603D8">
              <w:rPr>
                <w:rFonts w:eastAsia="Times New Roman"/>
                <w:color w:val="000000"/>
                <w:sz w:val="22"/>
                <w:szCs w:val="22"/>
              </w:rPr>
              <w:t>2023</w:t>
            </w:r>
          </w:p>
        </w:tc>
      </w:tr>
      <w:tr w:rsidR="00602425" w:rsidRPr="004603D8" w:rsidTr="00A035A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B1111" w:rsidRPr="004603D8" w:rsidRDefault="007B1111" w:rsidP="00C634BD">
            <w:pPr>
              <w:spacing w:after="0" w:line="240" w:lineRule="auto"/>
              <w:ind w:left="0"/>
              <w:contextualSpacing w:val="0"/>
              <w:jc w:val="center"/>
              <w:rPr>
                <w:rFonts w:eastAsia="Times New Roman"/>
                <w:color w:val="000000"/>
                <w:sz w:val="22"/>
                <w:szCs w:val="22"/>
              </w:rPr>
            </w:pPr>
            <w:r w:rsidRPr="004603D8">
              <w:rPr>
                <w:rFonts w:eastAsia="Times New Roman"/>
                <w:color w:val="000000"/>
                <w:sz w:val="22"/>
                <w:szCs w:val="22"/>
                <w:rtl/>
              </w:rPr>
              <w:t>חודש</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B1111" w:rsidRPr="004603D8" w:rsidRDefault="007B1111" w:rsidP="00C634BD">
            <w:pPr>
              <w:bidi w:val="0"/>
              <w:spacing w:after="0" w:line="240" w:lineRule="auto"/>
              <w:ind w:left="0"/>
              <w:contextualSpacing w:val="0"/>
              <w:jc w:val="center"/>
              <w:rPr>
                <w:rFonts w:eastAsia="Times New Roman"/>
                <w:color w:val="000000"/>
                <w:sz w:val="22"/>
                <w:szCs w:val="22"/>
                <w:rtl/>
              </w:rPr>
            </w:pPr>
            <w:r w:rsidRPr="004603D8">
              <w:rPr>
                <w:rFonts w:eastAsia="Times New Roman"/>
                <w:color w:val="000000"/>
                <w:sz w:val="22"/>
                <w:szCs w:val="22"/>
              </w:rPr>
              <w:t>9</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B1111" w:rsidRPr="004603D8" w:rsidRDefault="007B1111" w:rsidP="00C634BD">
            <w:pPr>
              <w:bidi w:val="0"/>
              <w:spacing w:after="0" w:line="240" w:lineRule="auto"/>
              <w:ind w:left="0"/>
              <w:contextualSpacing w:val="0"/>
              <w:jc w:val="center"/>
              <w:rPr>
                <w:rFonts w:eastAsia="Times New Roman"/>
                <w:color w:val="000000"/>
                <w:sz w:val="22"/>
                <w:szCs w:val="22"/>
              </w:rPr>
            </w:pPr>
            <w:r w:rsidRPr="004603D8">
              <w:rPr>
                <w:rFonts w:eastAsia="Times New Roman"/>
                <w:color w:val="000000"/>
                <w:sz w:val="22"/>
                <w:szCs w:val="22"/>
              </w:rPr>
              <w:t>10</w:t>
            </w:r>
          </w:p>
        </w:tc>
      </w:tr>
      <w:tr w:rsidR="0070778D" w:rsidRPr="004603D8" w:rsidTr="00602425">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B1111" w:rsidRPr="004603D8" w:rsidRDefault="007B1111" w:rsidP="00C634BD">
            <w:pPr>
              <w:bidi w:val="0"/>
              <w:spacing w:after="0" w:line="240" w:lineRule="auto"/>
              <w:ind w:left="0"/>
              <w:contextualSpacing w:val="0"/>
              <w:jc w:val="center"/>
              <w:rPr>
                <w:rFonts w:eastAsia="Times New Roman"/>
                <w:color w:val="000000"/>
                <w:sz w:val="22"/>
                <w:szCs w:val="22"/>
              </w:rPr>
            </w:pPr>
            <w:r w:rsidRPr="004603D8">
              <w:rPr>
                <w:rFonts w:eastAsia="Times New Roman"/>
                <w:color w:val="000000"/>
                <w:sz w:val="22"/>
                <w:szCs w:val="22"/>
                <w:rtl/>
              </w:rPr>
              <w:t>אלפים</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B1111" w:rsidRPr="004603D8" w:rsidRDefault="007B1111" w:rsidP="00C634BD">
            <w:pPr>
              <w:spacing w:after="0" w:line="240" w:lineRule="auto"/>
              <w:ind w:left="0"/>
              <w:contextualSpacing w:val="0"/>
              <w:jc w:val="center"/>
              <w:rPr>
                <w:rFonts w:eastAsia="Times New Roman"/>
                <w:color w:val="000000"/>
                <w:sz w:val="22"/>
                <w:szCs w:val="22"/>
              </w:rPr>
            </w:pPr>
            <w:r w:rsidRPr="004603D8">
              <w:rPr>
                <w:rFonts w:eastAsia="Times New Roman"/>
                <w:color w:val="000000"/>
                <w:sz w:val="22"/>
                <w:szCs w:val="22"/>
                <w:rtl/>
              </w:rPr>
              <w:t xml:space="preserve">סך </w:t>
            </w:r>
            <w:proofErr w:type="spellStart"/>
            <w:r w:rsidRPr="004603D8">
              <w:rPr>
                <w:rFonts w:eastAsia="Times New Roman"/>
                <w:color w:val="000000"/>
                <w:sz w:val="22"/>
                <w:szCs w:val="22"/>
                <w:rtl/>
              </w:rPr>
              <w:t>הכל</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B1111" w:rsidRPr="004603D8" w:rsidRDefault="007B1111" w:rsidP="00C634BD">
            <w:pPr>
              <w:spacing w:after="0" w:line="240" w:lineRule="auto"/>
              <w:ind w:left="0"/>
              <w:contextualSpacing w:val="0"/>
              <w:jc w:val="center"/>
              <w:rPr>
                <w:rFonts w:eastAsia="Times New Roman"/>
                <w:color w:val="000000"/>
                <w:sz w:val="22"/>
                <w:szCs w:val="22"/>
                <w:rtl/>
              </w:rPr>
            </w:pPr>
            <w:r w:rsidRPr="004603D8">
              <w:rPr>
                <w:rFonts w:eastAsia="Times New Roman"/>
                <w:color w:val="000000"/>
                <w:sz w:val="22"/>
                <w:szCs w:val="22"/>
                <w:rtl/>
              </w:rPr>
              <w:t>יהודים</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B1111" w:rsidRPr="004603D8" w:rsidRDefault="007B1111" w:rsidP="00C634BD">
            <w:pPr>
              <w:spacing w:after="0" w:line="240" w:lineRule="auto"/>
              <w:ind w:left="0"/>
              <w:contextualSpacing w:val="0"/>
              <w:jc w:val="center"/>
              <w:rPr>
                <w:rFonts w:eastAsia="Times New Roman"/>
                <w:color w:val="000000"/>
                <w:sz w:val="22"/>
                <w:szCs w:val="22"/>
                <w:rtl/>
              </w:rPr>
            </w:pPr>
            <w:r w:rsidRPr="004603D8">
              <w:rPr>
                <w:rFonts w:eastAsia="Times New Roman"/>
                <w:color w:val="000000"/>
                <w:sz w:val="22"/>
                <w:szCs w:val="22"/>
                <w:rtl/>
              </w:rPr>
              <w:t>ערבים</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B1111" w:rsidRPr="004603D8" w:rsidRDefault="007B1111" w:rsidP="00C634BD">
            <w:pPr>
              <w:spacing w:after="0" w:line="240" w:lineRule="auto"/>
              <w:ind w:left="0"/>
              <w:contextualSpacing w:val="0"/>
              <w:jc w:val="center"/>
              <w:rPr>
                <w:rFonts w:eastAsia="Times New Roman"/>
                <w:color w:val="000000"/>
                <w:sz w:val="22"/>
                <w:szCs w:val="22"/>
                <w:rtl/>
              </w:rPr>
            </w:pPr>
            <w:r w:rsidRPr="004603D8">
              <w:rPr>
                <w:rFonts w:eastAsia="Times New Roman"/>
                <w:color w:val="000000"/>
                <w:sz w:val="22"/>
                <w:szCs w:val="22"/>
                <w:rtl/>
              </w:rPr>
              <w:t xml:space="preserve">סך </w:t>
            </w:r>
            <w:proofErr w:type="spellStart"/>
            <w:r w:rsidRPr="004603D8">
              <w:rPr>
                <w:rFonts w:eastAsia="Times New Roman"/>
                <w:color w:val="000000"/>
                <w:sz w:val="22"/>
                <w:szCs w:val="22"/>
                <w:rtl/>
              </w:rPr>
              <w:t>הכל</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B1111" w:rsidRPr="004603D8" w:rsidRDefault="007B1111" w:rsidP="00C634BD">
            <w:pPr>
              <w:spacing w:after="0" w:line="240" w:lineRule="auto"/>
              <w:ind w:left="0"/>
              <w:contextualSpacing w:val="0"/>
              <w:jc w:val="center"/>
              <w:rPr>
                <w:rFonts w:eastAsia="Times New Roman"/>
                <w:color w:val="000000"/>
                <w:sz w:val="22"/>
                <w:szCs w:val="22"/>
                <w:rtl/>
              </w:rPr>
            </w:pPr>
            <w:r w:rsidRPr="004603D8">
              <w:rPr>
                <w:rFonts w:eastAsia="Times New Roman"/>
                <w:color w:val="000000"/>
                <w:sz w:val="22"/>
                <w:szCs w:val="22"/>
                <w:rtl/>
              </w:rPr>
              <w:t>יהודים</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B1111" w:rsidRPr="004603D8" w:rsidRDefault="007B1111" w:rsidP="00C634BD">
            <w:pPr>
              <w:spacing w:after="0" w:line="240" w:lineRule="auto"/>
              <w:ind w:left="0"/>
              <w:contextualSpacing w:val="0"/>
              <w:jc w:val="center"/>
              <w:rPr>
                <w:rFonts w:eastAsia="Times New Roman"/>
                <w:color w:val="000000"/>
                <w:sz w:val="22"/>
                <w:szCs w:val="22"/>
                <w:rtl/>
              </w:rPr>
            </w:pPr>
            <w:r w:rsidRPr="004603D8">
              <w:rPr>
                <w:rFonts w:eastAsia="Times New Roman"/>
                <w:color w:val="000000"/>
                <w:sz w:val="22"/>
                <w:szCs w:val="22"/>
                <w:rtl/>
              </w:rPr>
              <w:t>ערבים</w:t>
            </w:r>
          </w:p>
        </w:tc>
      </w:tr>
      <w:tr w:rsidR="0070778D" w:rsidRPr="004603D8" w:rsidTr="00602425">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7B1111" w:rsidRPr="004603D8" w:rsidRDefault="007B1111" w:rsidP="007B1111">
            <w:pPr>
              <w:spacing w:after="0" w:line="240" w:lineRule="auto"/>
              <w:ind w:left="0"/>
              <w:contextualSpacing w:val="0"/>
              <w:jc w:val="left"/>
              <w:rPr>
                <w:rFonts w:eastAsia="Times New Roman"/>
                <w:color w:val="000000"/>
                <w:sz w:val="22"/>
                <w:szCs w:val="22"/>
                <w:rtl/>
              </w:rPr>
            </w:pPr>
            <w:r w:rsidRPr="004603D8">
              <w:rPr>
                <w:rFonts w:eastAsia="Times New Roman"/>
                <w:color w:val="000000"/>
                <w:sz w:val="22"/>
                <w:szCs w:val="22"/>
                <w:rtl/>
              </w:rPr>
              <w:t xml:space="preserve">סך </w:t>
            </w:r>
            <w:proofErr w:type="spellStart"/>
            <w:r w:rsidRPr="004603D8">
              <w:rPr>
                <w:rFonts w:eastAsia="Times New Roman"/>
                <w:color w:val="000000"/>
                <w:sz w:val="22"/>
                <w:szCs w:val="22"/>
                <w:rtl/>
              </w:rPr>
              <w:t>הכל</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B1111" w:rsidRPr="004603D8" w:rsidRDefault="007B1111" w:rsidP="009172A2">
            <w:pPr>
              <w:bidi w:val="0"/>
              <w:spacing w:after="0" w:line="240" w:lineRule="auto"/>
              <w:ind w:left="0"/>
              <w:contextualSpacing w:val="0"/>
              <w:jc w:val="center"/>
              <w:rPr>
                <w:rFonts w:eastAsia="Times New Roman"/>
                <w:color w:val="000000"/>
                <w:sz w:val="22"/>
                <w:szCs w:val="22"/>
                <w:rtl/>
              </w:rPr>
            </w:pPr>
            <w:r w:rsidRPr="004603D8">
              <w:rPr>
                <w:rFonts w:eastAsia="Times New Roman"/>
                <w:color w:val="000000"/>
                <w:sz w:val="22"/>
                <w:szCs w:val="22"/>
              </w:rPr>
              <w:t>7,085.3</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B1111" w:rsidRPr="004603D8" w:rsidRDefault="007B1111" w:rsidP="009172A2">
            <w:pPr>
              <w:bidi w:val="0"/>
              <w:spacing w:after="0" w:line="240" w:lineRule="auto"/>
              <w:ind w:left="0"/>
              <w:contextualSpacing w:val="0"/>
              <w:jc w:val="center"/>
              <w:rPr>
                <w:rFonts w:eastAsia="Times New Roman"/>
                <w:color w:val="000000"/>
                <w:sz w:val="22"/>
                <w:szCs w:val="22"/>
              </w:rPr>
            </w:pPr>
            <w:r w:rsidRPr="004603D8">
              <w:rPr>
                <w:rFonts w:eastAsia="Times New Roman"/>
                <w:color w:val="000000"/>
                <w:sz w:val="22"/>
                <w:szCs w:val="22"/>
              </w:rPr>
              <w:t>5,454.0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B1111" w:rsidRPr="004603D8" w:rsidRDefault="007B1111" w:rsidP="009172A2">
            <w:pPr>
              <w:bidi w:val="0"/>
              <w:spacing w:after="0" w:line="240" w:lineRule="auto"/>
              <w:ind w:left="0"/>
              <w:contextualSpacing w:val="0"/>
              <w:jc w:val="center"/>
              <w:rPr>
                <w:rFonts w:eastAsia="Times New Roman"/>
                <w:color w:val="000000"/>
                <w:sz w:val="22"/>
                <w:szCs w:val="22"/>
              </w:rPr>
            </w:pPr>
            <w:r w:rsidRPr="004603D8">
              <w:rPr>
                <w:rFonts w:eastAsia="Times New Roman"/>
                <w:color w:val="000000"/>
                <w:sz w:val="22"/>
                <w:szCs w:val="22"/>
              </w:rPr>
              <w:t>1,400.0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B1111" w:rsidRPr="004603D8" w:rsidRDefault="007B1111" w:rsidP="009172A2">
            <w:pPr>
              <w:bidi w:val="0"/>
              <w:spacing w:after="0" w:line="240" w:lineRule="auto"/>
              <w:ind w:left="0"/>
              <w:contextualSpacing w:val="0"/>
              <w:jc w:val="center"/>
              <w:rPr>
                <w:rFonts w:eastAsia="Times New Roman"/>
                <w:color w:val="000000"/>
                <w:sz w:val="22"/>
                <w:szCs w:val="22"/>
              </w:rPr>
            </w:pPr>
            <w:r w:rsidRPr="004603D8">
              <w:rPr>
                <w:rFonts w:eastAsia="Times New Roman"/>
                <w:color w:val="000000"/>
                <w:sz w:val="22"/>
                <w:szCs w:val="22"/>
              </w:rPr>
              <w:t>7,098.8</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B1111" w:rsidRPr="004603D8" w:rsidRDefault="007B1111" w:rsidP="009172A2">
            <w:pPr>
              <w:bidi w:val="0"/>
              <w:spacing w:after="0" w:line="240" w:lineRule="auto"/>
              <w:ind w:left="0"/>
              <w:contextualSpacing w:val="0"/>
              <w:jc w:val="center"/>
              <w:rPr>
                <w:rFonts w:eastAsia="Times New Roman"/>
                <w:color w:val="000000"/>
                <w:sz w:val="22"/>
                <w:szCs w:val="22"/>
              </w:rPr>
            </w:pPr>
            <w:r w:rsidRPr="004603D8">
              <w:rPr>
                <w:rFonts w:eastAsia="Times New Roman"/>
                <w:color w:val="000000"/>
                <w:sz w:val="22"/>
                <w:szCs w:val="22"/>
              </w:rPr>
              <w:t>5,441.1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B1111" w:rsidRPr="004603D8" w:rsidRDefault="007B1111" w:rsidP="009172A2">
            <w:pPr>
              <w:bidi w:val="0"/>
              <w:spacing w:after="0" w:line="240" w:lineRule="auto"/>
              <w:ind w:left="0"/>
              <w:contextualSpacing w:val="0"/>
              <w:jc w:val="center"/>
              <w:rPr>
                <w:rFonts w:eastAsia="Times New Roman"/>
                <w:color w:val="000000"/>
                <w:sz w:val="22"/>
                <w:szCs w:val="22"/>
              </w:rPr>
            </w:pPr>
            <w:r w:rsidRPr="004603D8">
              <w:rPr>
                <w:rFonts w:eastAsia="Times New Roman"/>
                <w:color w:val="000000"/>
                <w:sz w:val="22"/>
                <w:szCs w:val="22"/>
              </w:rPr>
              <w:t>1,408.4</w:t>
            </w:r>
          </w:p>
        </w:tc>
      </w:tr>
      <w:tr w:rsidR="0070778D" w:rsidRPr="004603D8" w:rsidTr="00602425">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7B1111" w:rsidRPr="004603D8" w:rsidRDefault="007B1111" w:rsidP="007B1111">
            <w:pPr>
              <w:spacing w:after="0" w:line="240" w:lineRule="auto"/>
              <w:ind w:left="0"/>
              <w:contextualSpacing w:val="0"/>
              <w:jc w:val="left"/>
              <w:rPr>
                <w:rFonts w:eastAsia="Times New Roman"/>
                <w:color w:val="000000"/>
                <w:sz w:val="22"/>
                <w:szCs w:val="22"/>
              </w:rPr>
            </w:pPr>
            <w:r w:rsidRPr="004603D8">
              <w:rPr>
                <w:rFonts w:eastAsia="Times New Roman"/>
                <w:color w:val="000000"/>
                <w:sz w:val="22"/>
                <w:szCs w:val="22"/>
                <w:rtl/>
              </w:rPr>
              <w:t>בכוח העבודה</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B1111" w:rsidRPr="004603D8" w:rsidRDefault="007B1111" w:rsidP="009172A2">
            <w:pPr>
              <w:bidi w:val="0"/>
              <w:spacing w:after="0" w:line="240" w:lineRule="auto"/>
              <w:ind w:left="0"/>
              <w:contextualSpacing w:val="0"/>
              <w:jc w:val="center"/>
              <w:rPr>
                <w:rFonts w:eastAsia="Times New Roman"/>
                <w:color w:val="000000"/>
                <w:sz w:val="22"/>
                <w:szCs w:val="22"/>
                <w:rtl/>
              </w:rPr>
            </w:pPr>
            <w:r w:rsidRPr="004603D8">
              <w:rPr>
                <w:rFonts w:eastAsia="Times New Roman"/>
                <w:color w:val="000000"/>
                <w:sz w:val="22"/>
                <w:szCs w:val="22"/>
              </w:rPr>
              <w:t>4,493.8</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B1111" w:rsidRPr="004603D8" w:rsidRDefault="007B1111" w:rsidP="009172A2">
            <w:pPr>
              <w:bidi w:val="0"/>
              <w:spacing w:after="0" w:line="240" w:lineRule="auto"/>
              <w:ind w:left="0"/>
              <w:contextualSpacing w:val="0"/>
              <w:jc w:val="center"/>
              <w:rPr>
                <w:rFonts w:eastAsia="Times New Roman"/>
                <w:color w:val="000000"/>
                <w:sz w:val="22"/>
                <w:szCs w:val="22"/>
              </w:rPr>
            </w:pPr>
            <w:r w:rsidRPr="004603D8">
              <w:rPr>
                <w:rFonts w:eastAsia="Times New Roman"/>
                <w:color w:val="000000"/>
                <w:sz w:val="22"/>
                <w:szCs w:val="22"/>
              </w:rPr>
              <w:t>3,597.2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B1111" w:rsidRPr="004603D8" w:rsidRDefault="007B1111" w:rsidP="009172A2">
            <w:pPr>
              <w:bidi w:val="0"/>
              <w:spacing w:after="0" w:line="240" w:lineRule="auto"/>
              <w:ind w:left="0"/>
              <w:contextualSpacing w:val="0"/>
              <w:jc w:val="center"/>
              <w:rPr>
                <w:rFonts w:eastAsia="Times New Roman"/>
                <w:color w:val="000000"/>
                <w:sz w:val="22"/>
                <w:szCs w:val="22"/>
              </w:rPr>
            </w:pPr>
            <w:r w:rsidRPr="004603D8">
              <w:rPr>
                <w:rFonts w:eastAsia="Times New Roman"/>
                <w:color w:val="000000"/>
                <w:sz w:val="22"/>
                <w:szCs w:val="22"/>
              </w:rPr>
              <w:t>713.5</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B1111" w:rsidRPr="004603D8" w:rsidRDefault="007B1111" w:rsidP="009172A2">
            <w:pPr>
              <w:bidi w:val="0"/>
              <w:spacing w:after="0" w:line="240" w:lineRule="auto"/>
              <w:ind w:left="0"/>
              <w:contextualSpacing w:val="0"/>
              <w:jc w:val="center"/>
              <w:rPr>
                <w:rFonts w:eastAsia="Times New Roman"/>
                <w:color w:val="000000"/>
                <w:sz w:val="22"/>
                <w:szCs w:val="22"/>
              </w:rPr>
            </w:pPr>
            <w:r w:rsidRPr="004603D8">
              <w:rPr>
                <w:rFonts w:eastAsia="Times New Roman"/>
                <w:color w:val="000000"/>
                <w:sz w:val="22"/>
                <w:szCs w:val="22"/>
              </w:rPr>
              <w:t>4,442.4</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B1111" w:rsidRPr="004603D8" w:rsidRDefault="007B1111" w:rsidP="009172A2">
            <w:pPr>
              <w:bidi w:val="0"/>
              <w:spacing w:after="0" w:line="240" w:lineRule="auto"/>
              <w:ind w:left="0"/>
              <w:contextualSpacing w:val="0"/>
              <w:jc w:val="center"/>
              <w:rPr>
                <w:rFonts w:eastAsia="Times New Roman"/>
                <w:color w:val="000000"/>
                <w:sz w:val="22"/>
                <w:szCs w:val="22"/>
              </w:rPr>
            </w:pPr>
            <w:r w:rsidRPr="004603D8">
              <w:rPr>
                <w:rFonts w:eastAsia="Times New Roman"/>
                <w:color w:val="000000"/>
                <w:sz w:val="22"/>
                <w:szCs w:val="22"/>
              </w:rPr>
              <w:t>3,550.0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B1111" w:rsidRPr="004603D8" w:rsidRDefault="007B1111" w:rsidP="009172A2">
            <w:pPr>
              <w:bidi w:val="0"/>
              <w:spacing w:after="0" w:line="240" w:lineRule="auto"/>
              <w:ind w:left="0"/>
              <w:contextualSpacing w:val="0"/>
              <w:jc w:val="center"/>
              <w:rPr>
                <w:rFonts w:eastAsia="Times New Roman"/>
                <w:color w:val="000000"/>
                <w:sz w:val="22"/>
                <w:szCs w:val="22"/>
              </w:rPr>
            </w:pPr>
            <w:r w:rsidRPr="004603D8">
              <w:rPr>
                <w:rFonts w:eastAsia="Times New Roman"/>
                <w:color w:val="000000"/>
                <w:sz w:val="22"/>
                <w:szCs w:val="22"/>
              </w:rPr>
              <w:t>695.7</w:t>
            </w:r>
          </w:p>
        </w:tc>
      </w:tr>
      <w:tr w:rsidR="0070778D" w:rsidRPr="004603D8" w:rsidTr="00602425">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7B1111" w:rsidRPr="004603D8" w:rsidRDefault="007B1111" w:rsidP="007B1111">
            <w:pPr>
              <w:spacing w:after="0" w:line="240" w:lineRule="auto"/>
              <w:ind w:left="0"/>
              <w:contextualSpacing w:val="0"/>
              <w:jc w:val="left"/>
              <w:rPr>
                <w:rFonts w:eastAsia="Times New Roman"/>
                <w:color w:val="000000"/>
                <w:sz w:val="22"/>
                <w:szCs w:val="22"/>
              </w:rPr>
            </w:pPr>
            <w:r w:rsidRPr="004603D8">
              <w:rPr>
                <w:rFonts w:eastAsia="Times New Roman"/>
                <w:color w:val="000000"/>
                <w:sz w:val="22"/>
                <w:szCs w:val="22"/>
                <w:rtl/>
              </w:rPr>
              <w:t>מועסקים</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B1111" w:rsidRPr="004603D8" w:rsidRDefault="007B1111" w:rsidP="009172A2">
            <w:pPr>
              <w:bidi w:val="0"/>
              <w:spacing w:after="0" w:line="240" w:lineRule="auto"/>
              <w:ind w:left="0"/>
              <w:contextualSpacing w:val="0"/>
              <w:jc w:val="center"/>
              <w:rPr>
                <w:rFonts w:eastAsia="Times New Roman"/>
                <w:color w:val="000000"/>
                <w:sz w:val="22"/>
                <w:szCs w:val="22"/>
                <w:rtl/>
              </w:rPr>
            </w:pPr>
            <w:r w:rsidRPr="004603D8">
              <w:rPr>
                <w:rFonts w:eastAsia="Times New Roman"/>
                <w:color w:val="000000"/>
                <w:sz w:val="22"/>
                <w:szCs w:val="22"/>
              </w:rPr>
              <w:t>4,342.8</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B1111" w:rsidRPr="004603D8" w:rsidRDefault="007B1111" w:rsidP="009172A2">
            <w:pPr>
              <w:bidi w:val="0"/>
              <w:spacing w:after="0" w:line="240" w:lineRule="auto"/>
              <w:ind w:left="0"/>
              <w:contextualSpacing w:val="0"/>
              <w:jc w:val="center"/>
              <w:rPr>
                <w:rFonts w:eastAsia="Times New Roman"/>
                <w:color w:val="000000"/>
                <w:sz w:val="22"/>
                <w:szCs w:val="22"/>
              </w:rPr>
            </w:pPr>
            <w:r w:rsidRPr="004603D8">
              <w:rPr>
                <w:rFonts w:eastAsia="Times New Roman"/>
                <w:color w:val="000000"/>
                <w:sz w:val="22"/>
                <w:szCs w:val="22"/>
              </w:rPr>
              <w:t>3,486.2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B1111" w:rsidRPr="004603D8" w:rsidRDefault="007B1111" w:rsidP="009172A2">
            <w:pPr>
              <w:bidi w:val="0"/>
              <w:spacing w:after="0" w:line="240" w:lineRule="auto"/>
              <w:ind w:left="0"/>
              <w:contextualSpacing w:val="0"/>
              <w:jc w:val="center"/>
              <w:rPr>
                <w:rFonts w:eastAsia="Times New Roman"/>
                <w:color w:val="000000"/>
                <w:sz w:val="22"/>
                <w:szCs w:val="22"/>
              </w:rPr>
            </w:pPr>
            <w:r w:rsidRPr="004603D8">
              <w:rPr>
                <w:rFonts w:eastAsia="Times New Roman"/>
                <w:color w:val="000000"/>
                <w:sz w:val="22"/>
                <w:szCs w:val="22"/>
              </w:rPr>
              <w:t>680.8</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B1111" w:rsidRPr="004603D8" w:rsidRDefault="007B1111" w:rsidP="009172A2">
            <w:pPr>
              <w:bidi w:val="0"/>
              <w:spacing w:after="0" w:line="240" w:lineRule="auto"/>
              <w:ind w:left="0"/>
              <w:contextualSpacing w:val="0"/>
              <w:jc w:val="center"/>
              <w:rPr>
                <w:rFonts w:eastAsia="Times New Roman"/>
                <w:color w:val="000000"/>
                <w:sz w:val="22"/>
                <w:szCs w:val="22"/>
              </w:rPr>
            </w:pPr>
            <w:r w:rsidRPr="004603D8">
              <w:rPr>
                <w:rFonts w:eastAsia="Times New Roman"/>
                <w:color w:val="000000"/>
                <w:sz w:val="22"/>
                <w:szCs w:val="22"/>
              </w:rPr>
              <w:t>4,292.6</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B1111" w:rsidRPr="004603D8" w:rsidRDefault="007B1111" w:rsidP="009172A2">
            <w:pPr>
              <w:bidi w:val="0"/>
              <w:spacing w:after="0" w:line="240" w:lineRule="auto"/>
              <w:ind w:left="0"/>
              <w:contextualSpacing w:val="0"/>
              <w:jc w:val="center"/>
              <w:rPr>
                <w:rFonts w:eastAsia="Times New Roman"/>
                <w:color w:val="000000"/>
                <w:sz w:val="22"/>
                <w:szCs w:val="22"/>
              </w:rPr>
            </w:pPr>
            <w:r w:rsidRPr="004603D8">
              <w:rPr>
                <w:rFonts w:eastAsia="Times New Roman"/>
                <w:color w:val="000000"/>
                <w:sz w:val="22"/>
                <w:szCs w:val="22"/>
              </w:rPr>
              <w:t>3,441.5</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B1111" w:rsidRPr="004603D8" w:rsidRDefault="007B1111" w:rsidP="009172A2">
            <w:pPr>
              <w:bidi w:val="0"/>
              <w:spacing w:after="0" w:line="240" w:lineRule="auto"/>
              <w:ind w:left="0"/>
              <w:contextualSpacing w:val="0"/>
              <w:jc w:val="center"/>
              <w:rPr>
                <w:rFonts w:eastAsia="Times New Roman"/>
                <w:color w:val="000000"/>
                <w:sz w:val="22"/>
                <w:szCs w:val="22"/>
              </w:rPr>
            </w:pPr>
            <w:r w:rsidRPr="004603D8">
              <w:rPr>
                <w:rFonts w:eastAsia="Times New Roman"/>
                <w:color w:val="000000"/>
                <w:sz w:val="22"/>
                <w:szCs w:val="22"/>
              </w:rPr>
              <w:t>659.2</w:t>
            </w:r>
          </w:p>
        </w:tc>
      </w:tr>
      <w:tr w:rsidR="0070778D" w:rsidRPr="004603D8" w:rsidTr="00602425">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7B1111" w:rsidRPr="004603D8" w:rsidRDefault="007B1111" w:rsidP="007B1111">
            <w:pPr>
              <w:spacing w:after="0" w:line="240" w:lineRule="auto"/>
              <w:ind w:left="0"/>
              <w:contextualSpacing w:val="0"/>
              <w:jc w:val="left"/>
              <w:rPr>
                <w:rFonts w:eastAsia="Times New Roman"/>
                <w:color w:val="000000"/>
                <w:sz w:val="22"/>
                <w:szCs w:val="22"/>
              </w:rPr>
            </w:pPr>
            <w:r w:rsidRPr="004603D8">
              <w:rPr>
                <w:rFonts w:eastAsia="Times New Roman"/>
                <w:color w:val="000000"/>
                <w:sz w:val="22"/>
                <w:szCs w:val="22"/>
                <w:rtl/>
              </w:rPr>
              <w:t>נעדרים</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B1111" w:rsidRPr="004603D8" w:rsidRDefault="007B1111" w:rsidP="009172A2">
            <w:pPr>
              <w:bidi w:val="0"/>
              <w:spacing w:after="0" w:line="240" w:lineRule="auto"/>
              <w:ind w:left="0"/>
              <w:contextualSpacing w:val="0"/>
              <w:jc w:val="center"/>
              <w:rPr>
                <w:rFonts w:eastAsia="Times New Roman"/>
                <w:color w:val="000000"/>
                <w:sz w:val="22"/>
                <w:szCs w:val="22"/>
                <w:rtl/>
              </w:rPr>
            </w:pPr>
            <w:r w:rsidRPr="004603D8">
              <w:rPr>
                <w:rFonts w:eastAsia="Times New Roman"/>
                <w:color w:val="000000"/>
                <w:sz w:val="22"/>
                <w:szCs w:val="22"/>
              </w:rPr>
              <w:t>243.4</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B1111" w:rsidRPr="004603D8" w:rsidRDefault="007B1111" w:rsidP="009172A2">
            <w:pPr>
              <w:bidi w:val="0"/>
              <w:spacing w:after="0" w:line="240" w:lineRule="auto"/>
              <w:ind w:left="0"/>
              <w:contextualSpacing w:val="0"/>
              <w:jc w:val="center"/>
              <w:rPr>
                <w:rFonts w:eastAsia="Times New Roman"/>
                <w:color w:val="000000"/>
                <w:sz w:val="22"/>
                <w:szCs w:val="22"/>
              </w:rPr>
            </w:pPr>
            <w:r w:rsidRPr="004603D8">
              <w:rPr>
                <w:rFonts w:eastAsia="Times New Roman"/>
                <w:color w:val="000000"/>
                <w:sz w:val="22"/>
                <w:szCs w:val="22"/>
              </w:rPr>
              <w:t>215.3</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B1111" w:rsidRPr="004603D8" w:rsidRDefault="007B1111" w:rsidP="009172A2">
            <w:pPr>
              <w:bidi w:val="0"/>
              <w:spacing w:after="0" w:line="240" w:lineRule="auto"/>
              <w:ind w:left="0"/>
              <w:contextualSpacing w:val="0"/>
              <w:jc w:val="center"/>
              <w:rPr>
                <w:rFonts w:eastAsia="Times New Roman"/>
                <w:color w:val="000000"/>
                <w:sz w:val="22"/>
                <w:szCs w:val="22"/>
              </w:rPr>
            </w:pPr>
            <w:r w:rsidRPr="004603D8">
              <w:rPr>
                <w:rFonts w:eastAsia="Times New Roman"/>
                <w:color w:val="000000"/>
                <w:sz w:val="22"/>
                <w:szCs w:val="22"/>
              </w:rPr>
              <w:t>25.8</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B1111" w:rsidRPr="004603D8" w:rsidRDefault="007B1111" w:rsidP="009172A2">
            <w:pPr>
              <w:bidi w:val="0"/>
              <w:spacing w:after="0" w:line="240" w:lineRule="auto"/>
              <w:ind w:left="0"/>
              <w:contextualSpacing w:val="0"/>
              <w:jc w:val="center"/>
              <w:rPr>
                <w:rFonts w:eastAsia="Times New Roman"/>
                <w:color w:val="000000"/>
                <w:sz w:val="22"/>
                <w:szCs w:val="22"/>
              </w:rPr>
            </w:pPr>
            <w:r w:rsidRPr="004603D8">
              <w:rPr>
                <w:rFonts w:eastAsia="Times New Roman"/>
                <w:color w:val="000000"/>
                <w:sz w:val="22"/>
                <w:szCs w:val="22"/>
              </w:rPr>
              <w:t>918.9</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B1111" w:rsidRPr="004603D8" w:rsidRDefault="007B1111" w:rsidP="009172A2">
            <w:pPr>
              <w:bidi w:val="0"/>
              <w:spacing w:after="0" w:line="240" w:lineRule="auto"/>
              <w:ind w:left="0"/>
              <w:contextualSpacing w:val="0"/>
              <w:jc w:val="center"/>
              <w:rPr>
                <w:rFonts w:eastAsia="Times New Roman"/>
                <w:color w:val="000000"/>
                <w:sz w:val="22"/>
                <w:szCs w:val="22"/>
              </w:rPr>
            </w:pPr>
            <w:r w:rsidRPr="004603D8">
              <w:rPr>
                <w:rFonts w:eastAsia="Times New Roman"/>
                <w:color w:val="000000"/>
                <w:sz w:val="22"/>
                <w:szCs w:val="22"/>
              </w:rPr>
              <w:t>702.3</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B1111" w:rsidRPr="004603D8" w:rsidRDefault="007B1111" w:rsidP="009172A2">
            <w:pPr>
              <w:bidi w:val="0"/>
              <w:spacing w:after="0" w:line="240" w:lineRule="auto"/>
              <w:ind w:left="0"/>
              <w:contextualSpacing w:val="0"/>
              <w:jc w:val="center"/>
              <w:rPr>
                <w:rFonts w:eastAsia="Times New Roman"/>
                <w:color w:val="000000"/>
                <w:sz w:val="22"/>
                <w:szCs w:val="22"/>
              </w:rPr>
            </w:pPr>
            <w:r w:rsidRPr="004603D8">
              <w:rPr>
                <w:rFonts w:eastAsia="Times New Roman"/>
                <w:color w:val="000000"/>
                <w:sz w:val="22"/>
                <w:szCs w:val="22"/>
              </w:rPr>
              <w:t>192.4</w:t>
            </w:r>
          </w:p>
        </w:tc>
      </w:tr>
      <w:tr w:rsidR="0070778D" w:rsidRPr="004603D8" w:rsidTr="00602425">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7B1111" w:rsidRPr="004603D8" w:rsidRDefault="007B1111" w:rsidP="007B1111">
            <w:pPr>
              <w:spacing w:after="0" w:line="240" w:lineRule="auto"/>
              <w:ind w:left="0"/>
              <w:contextualSpacing w:val="0"/>
              <w:jc w:val="center"/>
              <w:rPr>
                <w:rFonts w:eastAsia="Times New Roman"/>
                <w:color w:val="000000"/>
                <w:sz w:val="22"/>
                <w:szCs w:val="22"/>
              </w:rPr>
            </w:pPr>
            <w:r w:rsidRPr="004603D8">
              <w:rPr>
                <w:rFonts w:eastAsia="Times New Roman"/>
                <w:color w:val="000000"/>
                <w:sz w:val="22"/>
                <w:szCs w:val="22"/>
                <w:rtl/>
              </w:rPr>
              <w:t>נעדרים מסיבות לא כלכליות (1)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B1111" w:rsidRPr="004603D8" w:rsidRDefault="007B1111" w:rsidP="009172A2">
            <w:pPr>
              <w:bidi w:val="0"/>
              <w:spacing w:after="0" w:line="240" w:lineRule="auto"/>
              <w:ind w:left="0"/>
              <w:contextualSpacing w:val="0"/>
              <w:jc w:val="center"/>
              <w:rPr>
                <w:rFonts w:eastAsia="Times New Roman"/>
                <w:color w:val="000000"/>
                <w:sz w:val="22"/>
                <w:szCs w:val="22"/>
                <w:rtl/>
              </w:rPr>
            </w:pPr>
            <w:r w:rsidRPr="004603D8">
              <w:rPr>
                <w:rFonts w:eastAsia="Times New Roman"/>
                <w:color w:val="000000"/>
                <w:sz w:val="22"/>
                <w:szCs w:val="22"/>
              </w:rPr>
              <w:t>226.5</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B1111" w:rsidRPr="004603D8" w:rsidRDefault="007B1111" w:rsidP="009172A2">
            <w:pPr>
              <w:bidi w:val="0"/>
              <w:spacing w:after="0" w:line="240" w:lineRule="auto"/>
              <w:ind w:left="0"/>
              <w:contextualSpacing w:val="0"/>
              <w:jc w:val="center"/>
              <w:rPr>
                <w:rFonts w:eastAsia="Times New Roman"/>
                <w:color w:val="000000"/>
                <w:sz w:val="22"/>
                <w:szCs w:val="22"/>
              </w:rPr>
            </w:pPr>
            <w:r w:rsidRPr="004603D8">
              <w:rPr>
                <w:rFonts w:eastAsia="Times New Roman"/>
                <w:color w:val="000000"/>
                <w:sz w:val="22"/>
                <w:szCs w:val="22"/>
              </w:rPr>
              <w:t>203.0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B1111" w:rsidRPr="004603D8" w:rsidRDefault="007B1111" w:rsidP="009172A2">
            <w:pPr>
              <w:bidi w:val="0"/>
              <w:spacing w:after="0" w:line="240" w:lineRule="auto"/>
              <w:ind w:left="0"/>
              <w:contextualSpacing w:val="0"/>
              <w:jc w:val="center"/>
              <w:rPr>
                <w:rFonts w:eastAsia="Times New Roman"/>
                <w:color w:val="000000"/>
                <w:sz w:val="22"/>
                <w:szCs w:val="22"/>
              </w:rPr>
            </w:pPr>
            <w:r w:rsidRPr="004603D8">
              <w:rPr>
                <w:rFonts w:eastAsia="Times New Roman"/>
                <w:color w:val="000000"/>
                <w:sz w:val="22"/>
                <w:szCs w:val="22"/>
              </w:rPr>
              <w:t>21.3</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B1111" w:rsidRPr="004603D8" w:rsidRDefault="007B1111" w:rsidP="009172A2">
            <w:pPr>
              <w:bidi w:val="0"/>
              <w:spacing w:after="0" w:line="240" w:lineRule="auto"/>
              <w:ind w:left="0"/>
              <w:contextualSpacing w:val="0"/>
              <w:jc w:val="center"/>
              <w:rPr>
                <w:rFonts w:eastAsia="Times New Roman"/>
                <w:color w:val="000000"/>
                <w:sz w:val="22"/>
                <w:szCs w:val="22"/>
              </w:rPr>
            </w:pPr>
            <w:r w:rsidRPr="004603D8">
              <w:rPr>
                <w:rFonts w:eastAsia="Times New Roman"/>
                <w:color w:val="000000"/>
                <w:sz w:val="22"/>
                <w:szCs w:val="22"/>
              </w:rPr>
              <w:t>154.5</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B1111" w:rsidRPr="004603D8" w:rsidRDefault="007B1111" w:rsidP="009172A2">
            <w:pPr>
              <w:bidi w:val="0"/>
              <w:spacing w:after="0" w:line="240" w:lineRule="auto"/>
              <w:ind w:left="0"/>
              <w:contextualSpacing w:val="0"/>
              <w:jc w:val="center"/>
              <w:rPr>
                <w:rFonts w:eastAsia="Times New Roman"/>
                <w:color w:val="000000"/>
                <w:sz w:val="22"/>
                <w:szCs w:val="22"/>
              </w:rPr>
            </w:pPr>
            <w:r w:rsidRPr="004603D8">
              <w:rPr>
                <w:rFonts w:eastAsia="Times New Roman"/>
                <w:color w:val="000000"/>
                <w:sz w:val="22"/>
                <w:szCs w:val="22"/>
              </w:rPr>
              <w:t>135.3</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B1111" w:rsidRPr="004603D8" w:rsidRDefault="007B1111" w:rsidP="009172A2">
            <w:pPr>
              <w:bidi w:val="0"/>
              <w:spacing w:after="0" w:line="240" w:lineRule="auto"/>
              <w:ind w:left="0"/>
              <w:contextualSpacing w:val="0"/>
              <w:jc w:val="center"/>
              <w:rPr>
                <w:rFonts w:eastAsia="Times New Roman"/>
                <w:color w:val="000000"/>
                <w:sz w:val="22"/>
                <w:szCs w:val="22"/>
              </w:rPr>
            </w:pPr>
            <w:r w:rsidRPr="004603D8">
              <w:rPr>
                <w:rFonts w:eastAsia="Times New Roman"/>
                <w:color w:val="000000"/>
                <w:sz w:val="22"/>
                <w:szCs w:val="22"/>
              </w:rPr>
              <w:t>15.5</w:t>
            </w:r>
          </w:p>
        </w:tc>
      </w:tr>
      <w:tr w:rsidR="0070778D" w:rsidRPr="004603D8" w:rsidTr="00602425">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7B1111" w:rsidRPr="004603D8" w:rsidRDefault="007B1111" w:rsidP="007B1111">
            <w:pPr>
              <w:spacing w:after="0" w:line="240" w:lineRule="auto"/>
              <w:ind w:left="0"/>
              <w:contextualSpacing w:val="0"/>
              <w:jc w:val="center"/>
              <w:rPr>
                <w:rFonts w:eastAsia="Times New Roman"/>
                <w:color w:val="000000"/>
                <w:sz w:val="22"/>
                <w:szCs w:val="22"/>
              </w:rPr>
            </w:pPr>
            <w:r w:rsidRPr="004603D8">
              <w:rPr>
                <w:rFonts w:eastAsia="Times New Roman"/>
                <w:color w:val="000000"/>
                <w:sz w:val="22"/>
                <w:szCs w:val="22"/>
                <w:rtl/>
              </w:rPr>
              <w:t>נעדרים מסיבות כלכליות</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B1111" w:rsidRPr="004603D8" w:rsidRDefault="007B1111" w:rsidP="009172A2">
            <w:pPr>
              <w:bidi w:val="0"/>
              <w:spacing w:after="0" w:line="240" w:lineRule="auto"/>
              <w:ind w:left="0"/>
              <w:contextualSpacing w:val="0"/>
              <w:jc w:val="center"/>
              <w:rPr>
                <w:rFonts w:eastAsia="Times New Roman"/>
                <w:color w:val="000000"/>
                <w:sz w:val="22"/>
                <w:szCs w:val="22"/>
                <w:rtl/>
              </w:rPr>
            </w:pPr>
            <w:r w:rsidRPr="004603D8">
              <w:rPr>
                <w:rFonts w:eastAsia="Times New Roman"/>
                <w:color w:val="000000"/>
                <w:sz w:val="22"/>
                <w:szCs w:val="22"/>
              </w:rPr>
              <w:t>13.4</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B1111" w:rsidRPr="004603D8" w:rsidRDefault="007B1111" w:rsidP="009172A2">
            <w:pPr>
              <w:bidi w:val="0"/>
              <w:spacing w:after="0" w:line="240" w:lineRule="auto"/>
              <w:ind w:left="0"/>
              <w:contextualSpacing w:val="0"/>
              <w:jc w:val="center"/>
              <w:rPr>
                <w:rFonts w:eastAsia="Times New Roman"/>
                <w:color w:val="000000"/>
                <w:sz w:val="22"/>
                <w:szCs w:val="22"/>
              </w:rPr>
            </w:pPr>
            <w:r w:rsidRPr="004603D8">
              <w:rPr>
                <w:rFonts w:eastAsia="Times New Roman"/>
                <w:color w:val="000000"/>
                <w:sz w:val="22"/>
                <w:szCs w:val="22"/>
              </w:rPr>
              <w:t>9.8</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B1111" w:rsidRPr="004603D8" w:rsidRDefault="007B1111" w:rsidP="009172A2">
            <w:pPr>
              <w:bidi w:val="0"/>
              <w:spacing w:after="0" w:line="240" w:lineRule="auto"/>
              <w:ind w:left="0"/>
              <w:contextualSpacing w:val="0"/>
              <w:jc w:val="center"/>
              <w:rPr>
                <w:rFonts w:eastAsia="Times New Roman"/>
                <w:color w:val="000000"/>
                <w:sz w:val="22"/>
                <w:szCs w:val="22"/>
              </w:rPr>
            </w:pPr>
            <w:r w:rsidRPr="004603D8">
              <w:rPr>
                <w:rFonts w:eastAsia="Times New Roman"/>
                <w:color w:val="000000"/>
                <w:sz w:val="22"/>
                <w:szCs w:val="22"/>
              </w:rPr>
              <w:t>3.6</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B1111" w:rsidRPr="004603D8" w:rsidRDefault="007B1111" w:rsidP="009172A2">
            <w:pPr>
              <w:bidi w:val="0"/>
              <w:spacing w:after="0" w:line="240" w:lineRule="auto"/>
              <w:ind w:left="0"/>
              <w:contextualSpacing w:val="0"/>
              <w:jc w:val="center"/>
              <w:rPr>
                <w:rFonts w:eastAsia="Times New Roman"/>
                <w:color w:val="000000"/>
                <w:sz w:val="22"/>
                <w:szCs w:val="22"/>
              </w:rPr>
            </w:pPr>
            <w:r w:rsidRPr="004603D8">
              <w:rPr>
                <w:rFonts w:eastAsia="Times New Roman"/>
                <w:color w:val="000000"/>
                <w:sz w:val="22"/>
                <w:szCs w:val="22"/>
              </w:rPr>
              <w:t>279.5</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B1111" w:rsidRPr="004603D8" w:rsidRDefault="007B1111" w:rsidP="009172A2">
            <w:pPr>
              <w:bidi w:val="0"/>
              <w:spacing w:after="0" w:line="240" w:lineRule="auto"/>
              <w:ind w:left="0"/>
              <w:contextualSpacing w:val="0"/>
              <w:jc w:val="center"/>
              <w:rPr>
                <w:rFonts w:eastAsia="Times New Roman"/>
                <w:color w:val="000000"/>
                <w:sz w:val="22"/>
                <w:szCs w:val="22"/>
              </w:rPr>
            </w:pPr>
            <w:r w:rsidRPr="004603D8">
              <w:rPr>
                <w:rFonts w:eastAsia="Times New Roman"/>
                <w:color w:val="000000"/>
                <w:sz w:val="22"/>
                <w:szCs w:val="22"/>
              </w:rPr>
              <w:t>198.6</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B1111" w:rsidRPr="004603D8" w:rsidRDefault="007B1111" w:rsidP="009172A2">
            <w:pPr>
              <w:bidi w:val="0"/>
              <w:spacing w:after="0" w:line="240" w:lineRule="auto"/>
              <w:ind w:left="0"/>
              <w:contextualSpacing w:val="0"/>
              <w:jc w:val="center"/>
              <w:rPr>
                <w:rFonts w:eastAsia="Times New Roman"/>
                <w:color w:val="000000"/>
                <w:sz w:val="22"/>
                <w:szCs w:val="22"/>
              </w:rPr>
            </w:pPr>
            <w:r w:rsidRPr="004603D8">
              <w:rPr>
                <w:rFonts w:eastAsia="Times New Roman"/>
                <w:color w:val="000000"/>
                <w:sz w:val="22"/>
                <w:szCs w:val="22"/>
              </w:rPr>
              <w:t>71.7</w:t>
            </w:r>
          </w:p>
        </w:tc>
      </w:tr>
      <w:tr w:rsidR="00602425" w:rsidRPr="004603D8" w:rsidTr="00A035AC">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A035AC" w:rsidRPr="004603D8" w:rsidRDefault="00A035AC" w:rsidP="00A035AC">
            <w:pPr>
              <w:spacing w:after="0" w:line="240" w:lineRule="auto"/>
              <w:ind w:left="0"/>
              <w:contextualSpacing w:val="0"/>
              <w:jc w:val="center"/>
              <w:rPr>
                <w:rFonts w:eastAsia="Times New Roman"/>
                <w:color w:val="000000"/>
                <w:sz w:val="22"/>
                <w:szCs w:val="22"/>
              </w:rPr>
            </w:pPr>
            <w:r w:rsidRPr="004603D8">
              <w:rPr>
                <w:rFonts w:eastAsia="Times New Roman"/>
                <w:color w:val="000000"/>
                <w:sz w:val="22"/>
                <w:szCs w:val="22"/>
                <w:rtl/>
              </w:rPr>
              <w:t>נעדרים בגלל מילואים</w:t>
            </w:r>
          </w:p>
        </w:tc>
        <w:tc>
          <w:tcPr>
            <w:tcW w:w="0" w:type="auto"/>
            <w:tcBorders>
              <w:top w:val="nil"/>
              <w:left w:val="single" w:sz="4" w:space="0" w:color="auto"/>
              <w:bottom w:val="single" w:sz="4" w:space="0" w:color="auto"/>
              <w:right w:val="single" w:sz="4" w:space="0" w:color="auto"/>
            </w:tcBorders>
            <w:shd w:val="clear" w:color="auto" w:fill="auto"/>
            <w:hideMark/>
          </w:tcPr>
          <w:p w:rsidR="00A035AC" w:rsidRPr="004603D8" w:rsidRDefault="00A035AC" w:rsidP="00A035AC">
            <w:pPr>
              <w:bidi w:val="0"/>
              <w:spacing w:after="0" w:line="240" w:lineRule="auto"/>
              <w:ind w:left="0"/>
              <w:contextualSpacing w:val="0"/>
              <w:jc w:val="center"/>
              <w:rPr>
                <w:rFonts w:eastAsia="Times New Roman"/>
                <w:color w:val="000000"/>
                <w:sz w:val="22"/>
                <w:szCs w:val="22"/>
                <w:rtl/>
              </w:rPr>
            </w:pPr>
            <w:r w:rsidRPr="004603D8">
              <w:rPr>
                <w:rFonts w:eastAsia="Times New Roman"/>
                <w:color w:val="000000"/>
              </w:rPr>
              <w:t>-</w:t>
            </w:r>
          </w:p>
        </w:tc>
        <w:tc>
          <w:tcPr>
            <w:tcW w:w="0" w:type="auto"/>
            <w:tcBorders>
              <w:top w:val="nil"/>
              <w:left w:val="single" w:sz="4" w:space="0" w:color="auto"/>
              <w:bottom w:val="single" w:sz="4" w:space="0" w:color="auto"/>
              <w:right w:val="single" w:sz="4" w:space="0" w:color="auto"/>
            </w:tcBorders>
            <w:shd w:val="clear" w:color="auto" w:fill="auto"/>
            <w:hideMark/>
          </w:tcPr>
          <w:p w:rsidR="00A035AC" w:rsidRPr="004603D8" w:rsidRDefault="00A035AC" w:rsidP="00A035AC">
            <w:pPr>
              <w:bidi w:val="0"/>
              <w:spacing w:after="0" w:line="240" w:lineRule="auto"/>
              <w:ind w:left="0"/>
              <w:contextualSpacing w:val="0"/>
              <w:jc w:val="center"/>
              <w:rPr>
                <w:rFonts w:eastAsia="Times New Roman"/>
                <w:color w:val="000000"/>
                <w:sz w:val="22"/>
                <w:szCs w:val="22"/>
              </w:rPr>
            </w:pPr>
            <w:r w:rsidRPr="004603D8">
              <w:rPr>
                <w:rFonts w:eastAsia="Times New Roman"/>
                <w:color w:val="000000"/>
              </w:rPr>
              <w:t>-</w:t>
            </w:r>
          </w:p>
        </w:tc>
        <w:tc>
          <w:tcPr>
            <w:tcW w:w="0" w:type="auto"/>
            <w:tcBorders>
              <w:top w:val="nil"/>
              <w:left w:val="single" w:sz="4" w:space="0" w:color="auto"/>
              <w:bottom w:val="single" w:sz="4" w:space="0" w:color="auto"/>
              <w:right w:val="single" w:sz="4" w:space="0" w:color="auto"/>
            </w:tcBorders>
            <w:shd w:val="clear" w:color="auto" w:fill="auto"/>
            <w:hideMark/>
          </w:tcPr>
          <w:p w:rsidR="00A035AC" w:rsidRPr="004603D8" w:rsidRDefault="00A035AC" w:rsidP="00A035AC">
            <w:pPr>
              <w:bidi w:val="0"/>
              <w:spacing w:after="0" w:line="240" w:lineRule="auto"/>
              <w:ind w:left="0"/>
              <w:contextualSpacing w:val="0"/>
              <w:jc w:val="center"/>
              <w:rPr>
                <w:rFonts w:eastAsia="Times New Roman"/>
                <w:color w:val="000000"/>
                <w:sz w:val="22"/>
                <w:szCs w:val="22"/>
              </w:rPr>
            </w:pPr>
            <w:r w:rsidRPr="004603D8">
              <w:rPr>
                <w:rFonts w:eastAsia="Times New Roman"/>
                <w:color w:val="000000"/>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035AC" w:rsidRPr="004603D8" w:rsidRDefault="00A035AC" w:rsidP="00A035AC">
            <w:pPr>
              <w:bidi w:val="0"/>
              <w:spacing w:after="0" w:line="240" w:lineRule="auto"/>
              <w:ind w:left="0"/>
              <w:contextualSpacing w:val="0"/>
              <w:jc w:val="center"/>
              <w:rPr>
                <w:rFonts w:eastAsia="Times New Roman"/>
                <w:color w:val="000000"/>
                <w:sz w:val="22"/>
                <w:szCs w:val="22"/>
              </w:rPr>
            </w:pPr>
            <w:r w:rsidRPr="004603D8">
              <w:rPr>
                <w:rFonts w:eastAsia="Times New Roman"/>
                <w:color w:val="000000"/>
                <w:sz w:val="22"/>
                <w:szCs w:val="22"/>
              </w:rPr>
              <w:t>139.3</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035AC" w:rsidRPr="004603D8" w:rsidRDefault="00A035AC" w:rsidP="00A035AC">
            <w:pPr>
              <w:bidi w:val="0"/>
              <w:spacing w:after="0" w:line="240" w:lineRule="auto"/>
              <w:ind w:left="0"/>
              <w:contextualSpacing w:val="0"/>
              <w:jc w:val="center"/>
              <w:rPr>
                <w:rFonts w:eastAsia="Times New Roman"/>
                <w:color w:val="000000"/>
                <w:sz w:val="22"/>
                <w:szCs w:val="22"/>
              </w:rPr>
            </w:pPr>
            <w:r w:rsidRPr="004603D8">
              <w:rPr>
                <w:rFonts w:eastAsia="Times New Roman"/>
                <w:color w:val="000000"/>
                <w:sz w:val="22"/>
                <w:szCs w:val="22"/>
              </w:rPr>
              <w:t>131.7</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035AC" w:rsidRPr="004603D8" w:rsidRDefault="00A035AC" w:rsidP="00A035AC">
            <w:pPr>
              <w:bidi w:val="0"/>
              <w:spacing w:after="0" w:line="240" w:lineRule="auto"/>
              <w:ind w:left="0"/>
              <w:contextualSpacing w:val="0"/>
              <w:jc w:val="center"/>
              <w:rPr>
                <w:rFonts w:eastAsia="Times New Roman"/>
                <w:color w:val="000000"/>
                <w:sz w:val="22"/>
                <w:szCs w:val="22"/>
              </w:rPr>
            </w:pPr>
            <w:r w:rsidRPr="004603D8">
              <w:rPr>
                <w:rFonts w:eastAsia="Times New Roman"/>
                <w:color w:val="000000"/>
                <w:sz w:val="22"/>
                <w:szCs w:val="22"/>
              </w:rPr>
              <w:t>1.1</w:t>
            </w:r>
          </w:p>
        </w:tc>
      </w:tr>
      <w:tr w:rsidR="0070778D" w:rsidRPr="004603D8" w:rsidTr="00602425">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7B1111" w:rsidRPr="004603D8" w:rsidRDefault="007B1111" w:rsidP="007B1111">
            <w:pPr>
              <w:spacing w:after="0" w:line="240" w:lineRule="auto"/>
              <w:ind w:left="0"/>
              <w:contextualSpacing w:val="0"/>
              <w:jc w:val="center"/>
              <w:rPr>
                <w:rFonts w:eastAsia="Times New Roman"/>
                <w:color w:val="000000"/>
                <w:sz w:val="22"/>
                <w:szCs w:val="22"/>
              </w:rPr>
            </w:pPr>
            <w:r w:rsidRPr="004603D8">
              <w:rPr>
                <w:rFonts w:eastAsia="Times New Roman"/>
                <w:color w:val="000000"/>
                <w:sz w:val="22"/>
                <w:szCs w:val="22"/>
                <w:rtl/>
              </w:rPr>
              <w:t>נעדרים בגלל סיבה אחרת</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B1111" w:rsidRPr="004603D8" w:rsidRDefault="007B1111" w:rsidP="009172A2">
            <w:pPr>
              <w:bidi w:val="0"/>
              <w:spacing w:after="0" w:line="240" w:lineRule="auto"/>
              <w:ind w:left="0"/>
              <w:contextualSpacing w:val="0"/>
              <w:jc w:val="center"/>
              <w:rPr>
                <w:rFonts w:eastAsia="Times New Roman"/>
                <w:color w:val="000000"/>
                <w:sz w:val="22"/>
                <w:szCs w:val="22"/>
                <w:rtl/>
              </w:rPr>
            </w:pPr>
            <w:r w:rsidRPr="004603D8">
              <w:rPr>
                <w:rFonts w:eastAsia="Times New Roman"/>
                <w:color w:val="000000"/>
                <w:sz w:val="22"/>
                <w:szCs w:val="22"/>
              </w:rPr>
              <w:t>3.1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B1111" w:rsidRPr="004603D8" w:rsidRDefault="007B1111" w:rsidP="009172A2">
            <w:pPr>
              <w:bidi w:val="0"/>
              <w:spacing w:after="0" w:line="240" w:lineRule="auto"/>
              <w:ind w:left="0"/>
              <w:contextualSpacing w:val="0"/>
              <w:jc w:val="center"/>
              <w:rPr>
                <w:rFonts w:eastAsia="Times New Roman"/>
                <w:color w:val="000000"/>
                <w:sz w:val="22"/>
                <w:szCs w:val="22"/>
              </w:rPr>
            </w:pPr>
            <w:r w:rsidRPr="004603D8">
              <w:rPr>
                <w:rFonts w:eastAsia="Times New Roman"/>
                <w:color w:val="000000"/>
                <w:sz w:val="22"/>
                <w:szCs w:val="22"/>
              </w:rPr>
              <w:t>2.6</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B1111" w:rsidRPr="004603D8" w:rsidRDefault="00A035AC" w:rsidP="009172A2">
            <w:pPr>
              <w:bidi w:val="0"/>
              <w:spacing w:after="0" w:line="240" w:lineRule="auto"/>
              <w:ind w:left="0"/>
              <w:contextualSpacing w:val="0"/>
              <w:jc w:val="center"/>
              <w:rPr>
                <w:rFonts w:eastAsia="Times New Roman"/>
                <w:color w:val="000000"/>
                <w:sz w:val="22"/>
                <w:szCs w:val="22"/>
              </w:rPr>
            </w:pPr>
            <w:r w:rsidRPr="004603D8">
              <w:rPr>
                <w:rFonts w:eastAsia="Times New Roman"/>
                <w:color w:val="000000"/>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B1111" w:rsidRPr="004603D8" w:rsidRDefault="007B1111" w:rsidP="009172A2">
            <w:pPr>
              <w:bidi w:val="0"/>
              <w:spacing w:after="0" w:line="240" w:lineRule="auto"/>
              <w:ind w:left="0"/>
              <w:contextualSpacing w:val="0"/>
              <w:jc w:val="center"/>
              <w:rPr>
                <w:rFonts w:eastAsia="Times New Roman"/>
                <w:color w:val="000000"/>
                <w:sz w:val="22"/>
                <w:szCs w:val="22"/>
              </w:rPr>
            </w:pPr>
            <w:r w:rsidRPr="004603D8">
              <w:rPr>
                <w:rFonts w:eastAsia="Times New Roman"/>
                <w:color w:val="000000"/>
                <w:sz w:val="22"/>
                <w:szCs w:val="22"/>
              </w:rPr>
              <w:t>344.9</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B1111" w:rsidRPr="004603D8" w:rsidRDefault="007B1111" w:rsidP="009172A2">
            <w:pPr>
              <w:bidi w:val="0"/>
              <w:spacing w:after="0" w:line="240" w:lineRule="auto"/>
              <w:ind w:left="0"/>
              <w:contextualSpacing w:val="0"/>
              <w:jc w:val="center"/>
              <w:rPr>
                <w:rFonts w:eastAsia="Times New Roman"/>
                <w:color w:val="000000"/>
                <w:sz w:val="22"/>
                <w:szCs w:val="22"/>
              </w:rPr>
            </w:pPr>
            <w:r w:rsidRPr="004603D8">
              <w:rPr>
                <w:rFonts w:eastAsia="Times New Roman"/>
                <w:color w:val="000000"/>
                <w:sz w:val="22"/>
                <w:szCs w:val="22"/>
              </w:rPr>
              <w:t>236.0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B1111" w:rsidRPr="004603D8" w:rsidRDefault="007B1111" w:rsidP="009172A2">
            <w:pPr>
              <w:bidi w:val="0"/>
              <w:spacing w:after="0" w:line="240" w:lineRule="auto"/>
              <w:ind w:left="0"/>
              <w:contextualSpacing w:val="0"/>
              <w:jc w:val="center"/>
              <w:rPr>
                <w:rFonts w:eastAsia="Times New Roman"/>
                <w:color w:val="000000"/>
                <w:sz w:val="22"/>
                <w:szCs w:val="22"/>
              </w:rPr>
            </w:pPr>
            <w:r w:rsidRPr="004603D8">
              <w:rPr>
                <w:rFonts w:eastAsia="Times New Roman"/>
                <w:color w:val="000000"/>
                <w:sz w:val="22"/>
                <w:szCs w:val="22"/>
              </w:rPr>
              <w:t>104.1</w:t>
            </w:r>
          </w:p>
        </w:tc>
      </w:tr>
      <w:tr w:rsidR="0070778D" w:rsidRPr="004603D8" w:rsidTr="00602425">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7B1111" w:rsidRPr="004603D8" w:rsidRDefault="007B1111" w:rsidP="007B1111">
            <w:pPr>
              <w:spacing w:after="0" w:line="240" w:lineRule="auto"/>
              <w:ind w:left="0"/>
              <w:contextualSpacing w:val="0"/>
              <w:jc w:val="left"/>
              <w:rPr>
                <w:rFonts w:eastAsia="Times New Roman"/>
                <w:color w:val="000000"/>
                <w:sz w:val="22"/>
                <w:szCs w:val="22"/>
              </w:rPr>
            </w:pPr>
            <w:r w:rsidRPr="004603D8">
              <w:rPr>
                <w:rFonts w:eastAsia="Times New Roman"/>
                <w:color w:val="000000"/>
                <w:sz w:val="22"/>
                <w:szCs w:val="22"/>
                <w:rtl/>
              </w:rPr>
              <w:t>בלתי מועסקים</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B1111" w:rsidRPr="004603D8" w:rsidRDefault="007B1111" w:rsidP="009172A2">
            <w:pPr>
              <w:bidi w:val="0"/>
              <w:spacing w:after="0" w:line="240" w:lineRule="auto"/>
              <w:ind w:left="0"/>
              <w:contextualSpacing w:val="0"/>
              <w:jc w:val="center"/>
              <w:rPr>
                <w:rFonts w:eastAsia="Times New Roman"/>
                <w:color w:val="000000"/>
                <w:sz w:val="22"/>
                <w:szCs w:val="22"/>
                <w:rtl/>
              </w:rPr>
            </w:pPr>
            <w:r w:rsidRPr="004603D8">
              <w:rPr>
                <w:rFonts w:eastAsia="Times New Roman"/>
                <w:color w:val="000000"/>
                <w:sz w:val="22"/>
                <w:szCs w:val="22"/>
              </w:rPr>
              <w:t>151.1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B1111" w:rsidRPr="004603D8" w:rsidRDefault="007B1111" w:rsidP="009172A2">
            <w:pPr>
              <w:bidi w:val="0"/>
              <w:spacing w:after="0" w:line="240" w:lineRule="auto"/>
              <w:ind w:left="0"/>
              <w:contextualSpacing w:val="0"/>
              <w:jc w:val="center"/>
              <w:rPr>
                <w:rFonts w:eastAsia="Times New Roman"/>
                <w:color w:val="000000"/>
                <w:sz w:val="22"/>
                <w:szCs w:val="22"/>
              </w:rPr>
            </w:pPr>
            <w:r w:rsidRPr="004603D8">
              <w:rPr>
                <w:rFonts w:eastAsia="Times New Roman"/>
                <w:color w:val="000000"/>
                <w:sz w:val="22"/>
                <w:szCs w:val="22"/>
              </w:rPr>
              <w:t>111.0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B1111" w:rsidRPr="004603D8" w:rsidRDefault="007B1111" w:rsidP="009172A2">
            <w:pPr>
              <w:bidi w:val="0"/>
              <w:spacing w:after="0" w:line="240" w:lineRule="auto"/>
              <w:ind w:left="0"/>
              <w:contextualSpacing w:val="0"/>
              <w:jc w:val="center"/>
              <w:rPr>
                <w:rFonts w:eastAsia="Times New Roman"/>
                <w:color w:val="000000"/>
                <w:sz w:val="22"/>
                <w:szCs w:val="22"/>
              </w:rPr>
            </w:pPr>
            <w:r w:rsidRPr="004603D8">
              <w:rPr>
                <w:rFonts w:eastAsia="Times New Roman"/>
                <w:color w:val="000000"/>
                <w:sz w:val="22"/>
                <w:szCs w:val="22"/>
              </w:rPr>
              <w:t>32.7</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B1111" w:rsidRPr="004603D8" w:rsidRDefault="007B1111" w:rsidP="009172A2">
            <w:pPr>
              <w:bidi w:val="0"/>
              <w:spacing w:after="0" w:line="240" w:lineRule="auto"/>
              <w:ind w:left="0"/>
              <w:contextualSpacing w:val="0"/>
              <w:jc w:val="center"/>
              <w:rPr>
                <w:rFonts w:eastAsia="Times New Roman"/>
                <w:color w:val="000000"/>
                <w:sz w:val="22"/>
                <w:szCs w:val="22"/>
              </w:rPr>
            </w:pPr>
            <w:r w:rsidRPr="004603D8">
              <w:rPr>
                <w:rFonts w:eastAsia="Times New Roman"/>
                <w:color w:val="000000"/>
                <w:sz w:val="22"/>
                <w:szCs w:val="22"/>
              </w:rPr>
              <w:t>149.8</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B1111" w:rsidRPr="004603D8" w:rsidRDefault="007B1111" w:rsidP="009172A2">
            <w:pPr>
              <w:bidi w:val="0"/>
              <w:spacing w:after="0" w:line="240" w:lineRule="auto"/>
              <w:ind w:left="0"/>
              <w:contextualSpacing w:val="0"/>
              <w:jc w:val="center"/>
              <w:rPr>
                <w:rFonts w:eastAsia="Times New Roman"/>
                <w:color w:val="000000"/>
                <w:sz w:val="22"/>
                <w:szCs w:val="22"/>
              </w:rPr>
            </w:pPr>
            <w:r w:rsidRPr="004603D8">
              <w:rPr>
                <w:rFonts w:eastAsia="Times New Roman"/>
                <w:color w:val="000000"/>
                <w:sz w:val="22"/>
                <w:szCs w:val="22"/>
              </w:rPr>
              <w:t>108.5</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B1111" w:rsidRPr="004603D8" w:rsidRDefault="007B1111" w:rsidP="009172A2">
            <w:pPr>
              <w:bidi w:val="0"/>
              <w:spacing w:after="0" w:line="240" w:lineRule="auto"/>
              <w:ind w:left="0"/>
              <w:contextualSpacing w:val="0"/>
              <w:jc w:val="center"/>
              <w:rPr>
                <w:rFonts w:eastAsia="Times New Roman"/>
                <w:color w:val="000000"/>
                <w:sz w:val="22"/>
                <w:szCs w:val="22"/>
              </w:rPr>
            </w:pPr>
            <w:r w:rsidRPr="004603D8">
              <w:rPr>
                <w:rFonts w:eastAsia="Times New Roman"/>
                <w:color w:val="000000"/>
                <w:sz w:val="22"/>
                <w:szCs w:val="22"/>
              </w:rPr>
              <w:t>36.5</w:t>
            </w:r>
          </w:p>
        </w:tc>
      </w:tr>
      <w:tr w:rsidR="009172A2" w:rsidRPr="004603D8" w:rsidTr="00602425">
        <w:trPr>
          <w:trHeight w:val="300"/>
        </w:trPr>
        <w:tc>
          <w:tcPr>
            <w:tcW w:w="0" w:type="auto"/>
            <w:gridSpan w:val="7"/>
            <w:tcBorders>
              <w:top w:val="nil"/>
              <w:left w:val="single" w:sz="8" w:space="0" w:color="auto"/>
              <w:bottom w:val="single" w:sz="8" w:space="0" w:color="auto"/>
              <w:right w:val="single" w:sz="4" w:space="0" w:color="auto"/>
            </w:tcBorders>
            <w:shd w:val="clear" w:color="auto" w:fill="auto"/>
            <w:noWrap/>
            <w:vAlign w:val="center"/>
            <w:hideMark/>
          </w:tcPr>
          <w:p w:rsidR="00421349" w:rsidRPr="004603D8" w:rsidRDefault="009172A2" w:rsidP="009172A2">
            <w:pPr>
              <w:pStyle w:val="a3"/>
              <w:numPr>
                <w:ilvl w:val="0"/>
                <w:numId w:val="8"/>
              </w:numPr>
              <w:spacing w:after="0" w:line="240" w:lineRule="auto"/>
              <w:contextualSpacing w:val="0"/>
              <w:jc w:val="left"/>
              <w:rPr>
                <w:rFonts w:eastAsia="Times New Roman"/>
                <w:color w:val="000000"/>
                <w:sz w:val="22"/>
                <w:szCs w:val="22"/>
                <w:rtl/>
              </w:rPr>
            </w:pPr>
            <w:r w:rsidRPr="004603D8">
              <w:rPr>
                <w:rFonts w:eastAsia="Times New Roman"/>
                <w:color w:val="000000"/>
                <w:sz w:val="22"/>
                <w:szCs w:val="22"/>
                <w:rtl/>
              </w:rPr>
              <w:t xml:space="preserve">כולל : מחלה/תאונה שלו, מחלת ילד או בן משפחה אחר, </w:t>
            </w:r>
            <w:proofErr w:type="spellStart"/>
            <w:r w:rsidRPr="004603D8">
              <w:rPr>
                <w:rFonts w:eastAsia="Times New Roman"/>
                <w:color w:val="000000"/>
                <w:sz w:val="22"/>
                <w:szCs w:val="22"/>
                <w:rtl/>
              </w:rPr>
              <w:t>חל"ד</w:t>
            </w:r>
            <w:proofErr w:type="spellEnd"/>
            <w:r w:rsidRPr="004603D8">
              <w:rPr>
                <w:rFonts w:eastAsia="Times New Roman"/>
                <w:color w:val="000000"/>
                <w:sz w:val="22"/>
                <w:szCs w:val="22"/>
                <w:rtl/>
              </w:rPr>
              <w:t xml:space="preserve"> (עד 26 שבועות), חופשה אחרת, חגים ומועדים, מזג אוויר.</w:t>
            </w:r>
            <w:r w:rsidR="00602425" w:rsidRPr="004603D8">
              <w:rPr>
                <w:rFonts w:eastAsia="Times New Roman"/>
                <w:color w:val="000000"/>
                <w:sz w:val="22"/>
                <w:szCs w:val="22"/>
                <w:rtl/>
              </w:rPr>
              <w:t xml:space="preserve"> </w:t>
            </w:r>
          </w:p>
          <w:p w:rsidR="009172A2" w:rsidRPr="004603D8" w:rsidRDefault="00421349" w:rsidP="0097374C">
            <w:pPr>
              <w:spacing w:after="0" w:line="240" w:lineRule="auto"/>
              <w:ind w:left="0"/>
              <w:contextualSpacing w:val="0"/>
              <w:jc w:val="left"/>
              <w:rPr>
                <w:rFonts w:eastAsia="Times New Roman"/>
                <w:color w:val="000000"/>
                <w:sz w:val="22"/>
                <w:szCs w:val="22"/>
                <w:rtl/>
              </w:rPr>
            </w:pPr>
            <w:r w:rsidRPr="004603D8">
              <w:rPr>
                <w:rFonts w:eastAsia="Times New Roman"/>
                <w:color w:val="000000"/>
                <w:rtl/>
              </w:rPr>
              <w:t xml:space="preserve"> </w:t>
            </w:r>
            <w:r w:rsidR="0097374C" w:rsidRPr="004603D8">
              <w:rPr>
                <w:rFonts w:eastAsia="Times New Roman"/>
                <w:color w:val="000000"/>
                <w:rtl/>
              </w:rPr>
              <w:t>"</w:t>
            </w:r>
            <w:r w:rsidRPr="004603D8">
              <w:rPr>
                <w:rFonts w:eastAsia="Times New Roman"/>
                <w:color w:val="000000"/>
                <w:rtl/>
              </w:rPr>
              <w:t>-</w:t>
            </w:r>
            <w:r w:rsidR="0097374C" w:rsidRPr="004603D8">
              <w:rPr>
                <w:rFonts w:eastAsia="Times New Roman"/>
                <w:color w:val="000000"/>
                <w:rtl/>
              </w:rPr>
              <w:t>"</w:t>
            </w:r>
            <w:r w:rsidRPr="004603D8">
              <w:rPr>
                <w:rFonts w:eastAsia="Times New Roman"/>
                <w:color w:val="000000"/>
                <w:rtl/>
              </w:rPr>
              <w:t xml:space="preserve"> </w:t>
            </w:r>
            <w:r w:rsidR="00602425" w:rsidRPr="004603D8">
              <w:rPr>
                <w:rFonts w:eastAsia="Times New Roman"/>
                <w:color w:val="000000"/>
                <w:rtl/>
              </w:rPr>
              <w:t xml:space="preserve">מסמל נתונים בלתי ידועים או </w:t>
            </w:r>
            <w:r w:rsidR="0097374C" w:rsidRPr="004603D8">
              <w:rPr>
                <w:rFonts w:eastAsia="Times New Roman"/>
                <w:color w:val="000000"/>
                <w:rtl/>
              </w:rPr>
              <w:t>זניחים</w:t>
            </w:r>
            <w:r w:rsidRPr="004603D8">
              <w:rPr>
                <w:rFonts w:eastAsia="Times New Roman"/>
                <w:color w:val="000000"/>
                <w:sz w:val="22"/>
                <w:szCs w:val="22"/>
                <w:rtl/>
              </w:rPr>
              <w:t>.</w:t>
            </w:r>
          </w:p>
          <w:p w:rsidR="00421349" w:rsidRPr="004603D8" w:rsidRDefault="00421349" w:rsidP="0097374C">
            <w:pPr>
              <w:spacing w:after="0" w:line="240" w:lineRule="auto"/>
              <w:ind w:left="0"/>
              <w:contextualSpacing w:val="0"/>
              <w:jc w:val="left"/>
              <w:rPr>
                <w:rFonts w:eastAsia="Times New Roman"/>
                <w:color w:val="000000"/>
                <w:sz w:val="22"/>
                <w:szCs w:val="22"/>
              </w:rPr>
            </w:pPr>
          </w:p>
          <w:p w:rsidR="009172A2" w:rsidRPr="004603D8" w:rsidRDefault="009172A2" w:rsidP="0097374C">
            <w:pPr>
              <w:spacing w:after="0" w:line="240" w:lineRule="auto"/>
              <w:contextualSpacing w:val="0"/>
              <w:jc w:val="left"/>
              <w:rPr>
                <w:rFonts w:eastAsia="Times New Roman"/>
                <w:color w:val="000000"/>
                <w:sz w:val="22"/>
                <w:szCs w:val="22"/>
              </w:rPr>
            </w:pPr>
            <w:r w:rsidRPr="004603D8">
              <w:rPr>
                <w:rFonts w:eastAsia="Times New Roman"/>
                <w:b/>
                <w:bCs/>
                <w:color w:val="000000"/>
                <w:sz w:val="22"/>
                <w:szCs w:val="22"/>
                <w:rtl/>
              </w:rPr>
              <w:t xml:space="preserve">המקור: </w:t>
            </w:r>
            <w:r w:rsidRPr="004603D8">
              <w:rPr>
                <w:rFonts w:eastAsia="Times New Roman"/>
                <w:color w:val="000000"/>
                <w:sz w:val="22"/>
                <w:szCs w:val="22"/>
                <w:rtl/>
              </w:rPr>
              <w:t xml:space="preserve">עיבוד מיוחד של הלשכה המרכזית לסטטיסטיקה, סקר כוח אדם 2023. </w:t>
            </w:r>
          </w:p>
        </w:tc>
      </w:tr>
    </w:tbl>
    <w:p w:rsidR="009172A2" w:rsidRPr="007012C0" w:rsidRDefault="009172A2" w:rsidP="007012C0">
      <w:pPr>
        <w:tabs>
          <w:tab w:val="left" w:pos="2644"/>
        </w:tabs>
        <w:rPr>
          <w:rtl/>
        </w:rPr>
      </w:pPr>
    </w:p>
    <w:sectPr w:rsidR="009172A2" w:rsidRPr="007012C0">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357" w:rsidRDefault="00230357" w:rsidP="0043098D">
      <w:r>
        <w:separator/>
      </w:r>
    </w:p>
  </w:endnote>
  <w:endnote w:type="continuationSeparator" w:id="0">
    <w:p w:rsidR="00230357" w:rsidRDefault="00230357" w:rsidP="00CD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768" w:rsidRDefault="00B05768">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BDB" w:rsidRPr="00B05768" w:rsidRDefault="00560BDB" w:rsidP="00B05768">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768" w:rsidRDefault="00B0576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357" w:rsidRDefault="00230357" w:rsidP="00924806">
      <w:r>
        <w:separator/>
      </w:r>
    </w:p>
  </w:footnote>
  <w:footnote w:type="continuationSeparator" w:id="0">
    <w:p w:rsidR="00230357" w:rsidRDefault="00230357" w:rsidP="003F7DA5">
      <w:r>
        <w:continuationSeparator/>
      </w:r>
    </w:p>
  </w:footnote>
  <w:footnote w:id="1">
    <w:p w:rsidR="00560BDB" w:rsidRPr="004275A8" w:rsidRDefault="00560BDB" w:rsidP="00491DE3">
      <w:pPr>
        <w:pStyle w:val="af"/>
        <w:rPr>
          <w:rtl/>
        </w:rPr>
      </w:pPr>
      <w:r w:rsidRPr="004275A8">
        <w:rPr>
          <w:rStyle w:val="af1"/>
        </w:rPr>
        <w:footnoteRef/>
      </w:r>
      <w:r>
        <w:rPr>
          <w:rFonts w:hint="cs"/>
          <w:rtl/>
        </w:rPr>
        <w:t xml:space="preserve"> כתב: ספי בכר; אנחנו רוצים להודות למירב פסטרנק ומרק פלדמן מהלשכה המרכזית לסטטיסטיקה על עיבוד מיוחד לסקר כוח אדם לחודשים ספטמבר ואוקטובר 2023. חלק נוסף של הניתוח נעשה בחדר המחקר של </w:t>
      </w:r>
      <w:proofErr w:type="spellStart"/>
      <w:r>
        <w:rPr>
          <w:rFonts w:hint="cs"/>
          <w:rtl/>
        </w:rPr>
        <w:t>הלמ"ס</w:t>
      </w:r>
      <w:proofErr w:type="spellEnd"/>
      <w:r>
        <w:rPr>
          <w:rFonts w:hint="cs"/>
          <w:rtl/>
        </w:rPr>
        <w:t xml:space="preserve"> על נתוני סקר כוח אדם לשנת 2022, תודה לגיא לוי מבנק ישראל על עיבוד הנתונים.</w:t>
      </w:r>
    </w:p>
  </w:footnote>
  <w:footnote w:id="2">
    <w:p w:rsidR="00560BDB" w:rsidRDefault="00560BDB">
      <w:pPr>
        <w:pStyle w:val="af"/>
      </w:pPr>
      <w:r>
        <w:rPr>
          <w:rStyle w:val="af1"/>
        </w:rPr>
        <w:footnoteRef/>
      </w:r>
      <w:r>
        <w:rPr>
          <w:rtl/>
        </w:rPr>
        <w:t xml:space="preserve"> </w:t>
      </w:r>
      <w:r>
        <w:rPr>
          <w:rFonts w:hint="cs"/>
          <w:rtl/>
        </w:rPr>
        <w:t xml:space="preserve">הלשכה המרכזית לסטטיסטיקה, 2023. "נתונים מסקר כוח אדם לחודש אוקטובר 2023 (נתונים עיקריים)" הודעה לעיתונות 20.11.2023. </w:t>
      </w:r>
    </w:p>
  </w:footnote>
  <w:footnote w:id="3">
    <w:p w:rsidR="00560BDB" w:rsidRDefault="00560BDB">
      <w:pPr>
        <w:pStyle w:val="af"/>
      </w:pPr>
      <w:r>
        <w:rPr>
          <w:rStyle w:val="af1"/>
        </w:rPr>
        <w:footnoteRef/>
      </w:r>
      <w:r>
        <w:rPr>
          <w:rtl/>
        </w:rPr>
        <w:t xml:space="preserve"> </w:t>
      </w:r>
      <w:r>
        <w:rPr>
          <w:rFonts w:hint="cs"/>
          <w:rtl/>
        </w:rPr>
        <w:t xml:space="preserve">להרחבה אודות הפערים הכלכליים בין יהודים לערבים ראו: דוח בנק ישראל, 2022. "ההבדלים בהכנסה הפנויה לנפש בין הערבים והחרדים לבין היהודים שאינם חרדים", פרק ז' עמ' 156-165. </w:t>
      </w:r>
    </w:p>
  </w:footnote>
  <w:footnote w:id="4">
    <w:p w:rsidR="00560BDB" w:rsidRDefault="00560BDB" w:rsidP="003B4183">
      <w:pPr>
        <w:pStyle w:val="af"/>
      </w:pPr>
      <w:r>
        <w:rPr>
          <w:rStyle w:val="af1"/>
        </w:rPr>
        <w:footnoteRef/>
      </w:r>
      <w:r>
        <w:rPr>
          <w:rtl/>
        </w:rPr>
        <w:t xml:space="preserve"> </w:t>
      </w:r>
      <w:r>
        <w:rPr>
          <w:rFonts w:hint="cs"/>
          <w:rtl/>
        </w:rPr>
        <w:t>היעדרו</w:t>
      </w:r>
      <w:r>
        <w:rPr>
          <w:rFonts w:hint="eastAsia"/>
          <w:rtl/>
        </w:rPr>
        <w:t>ת</w:t>
      </w:r>
      <w:r>
        <w:rPr>
          <w:rFonts w:hint="cs"/>
          <w:rtl/>
        </w:rPr>
        <w:t xml:space="preserve"> </w:t>
      </w:r>
      <w:r w:rsidR="00E971E7">
        <w:rPr>
          <w:rFonts w:hint="cs"/>
          <w:rtl/>
        </w:rPr>
        <w:t>"</w:t>
      </w:r>
      <w:r>
        <w:rPr>
          <w:rFonts w:hint="cs"/>
          <w:rtl/>
        </w:rPr>
        <w:t>מסיבה אחרת</w:t>
      </w:r>
      <w:r w:rsidR="00E971E7">
        <w:rPr>
          <w:rFonts w:hint="cs"/>
          <w:rtl/>
        </w:rPr>
        <w:t>"</w:t>
      </w:r>
      <w:r>
        <w:rPr>
          <w:rFonts w:hint="cs"/>
          <w:rtl/>
        </w:rPr>
        <w:t xml:space="preserve"> הינה היעדרות מכל סיבה שאינה היעדרות </w:t>
      </w:r>
      <w:r w:rsidR="00E971E7">
        <w:rPr>
          <w:rFonts w:hint="cs"/>
          <w:rtl/>
        </w:rPr>
        <w:t>"</w:t>
      </w:r>
      <w:r>
        <w:rPr>
          <w:rFonts w:hint="cs"/>
          <w:rtl/>
        </w:rPr>
        <w:t>מסיבה כלכלית</w:t>
      </w:r>
      <w:r w:rsidR="00E971E7">
        <w:rPr>
          <w:rFonts w:hint="cs"/>
          <w:rtl/>
        </w:rPr>
        <w:t>"</w:t>
      </w:r>
      <w:r>
        <w:rPr>
          <w:rFonts w:hint="cs"/>
          <w:rtl/>
        </w:rPr>
        <w:t xml:space="preserve"> (צמצומים או השבתה של מקום העבודה),</w:t>
      </w:r>
      <w:r w:rsidR="00E971E7">
        <w:rPr>
          <w:rFonts w:hint="cs"/>
          <w:rtl/>
        </w:rPr>
        <w:t xml:space="preserve"> מילואים,</w:t>
      </w:r>
      <w:r>
        <w:rPr>
          <w:rFonts w:hint="cs"/>
          <w:rtl/>
        </w:rPr>
        <w:t xml:space="preserve"> מחלה, תאונה, חופשה, ח</w:t>
      </w:r>
      <w:r w:rsidR="003B4183">
        <w:rPr>
          <w:rFonts w:hint="cs"/>
          <w:rtl/>
        </w:rPr>
        <w:t>ופשת לידה</w:t>
      </w:r>
      <w:r>
        <w:rPr>
          <w:rFonts w:hint="cs"/>
          <w:rtl/>
        </w:rPr>
        <w:t xml:space="preserve"> (עד שבוע 26), מזג אוויר חגים ומועדים. </w:t>
      </w:r>
    </w:p>
  </w:footnote>
  <w:footnote w:id="5">
    <w:p w:rsidR="000D1C7F" w:rsidRDefault="000D1C7F" w:rsidP="00AA3EF5">
      <w:pPr>
        <w:pStyle w:val="af"/>
      </w:pPr>
      <w:r w:rsidRPr="00D079F1">
        <w:rPr>
          <w:rStyle w:val="af1"/>
        </w:rPr>
        <w:footnoteRef/>
      </w:r>
      <w:r w:rsidRPr="00D079F1">
        <w:rPr>
          <w:rtl/>
        </w:rPr>
        <w:t xml:space="preserve"> </w:t>
      </w:r>
      <w:r w:rsidR="00EC20B0" w:rsidRPr="00D079F1">
        <w:rPr>
          <w:rFonts w:hint="eastAsia"/>
          <w:rtl/>
        </w:rPr>
        <w:t>הלשכה</w:t>
      </w:r>
      <w:r w:rsidR="00EC20B0" w:rsidRPr="00D079F1">
        <w:rPr>
          <w:rtl/>
        </w:rPr>
        <w:t xml:space="preserve"> </w:t>
      </w:r>
      <w:r w:rsidR="00EC20B0" w:rsidRPr="00D079F1">
        <w:rPr>
          <w:rFonts w:hint="eastAsia"/>
          <w:rtl/>
        </w:rPr>
        <w:t>המרכזית</w:t>
      </w:r>
      <w:r w:rsidR="00EC20B0" w:rsidRPr="00D079F1">
        <w:rPr>
          <w:rtl/>
        </w:rPr>
        <w:t xml:space="preserve"> </w:t>
      </w:r>
      <w:r w:rsidR="00EC20B0" w:rsidRPr="00D079F1">
        <w:rPr>
          <w:rFonts w:hint="eastAsia"/>
          <w:rtl/>
        </w:rPr>
        <w:t>לסטטיסטיקה</w:t>
      </w:r>
      <w:r w:rsidR="00EC20B0" w:rsidRPr="00D079F1">
        <w:rPr>
          <w:rtl/>
        </w:rPr>
        <w:t>, 2023. "</w:t>
      </w:r>
      <w:r w:rsidR="00AA3EF5" w:rsidRPr="00D079F1">
        <w:rPr>
          <w:rFonts w:hint="eastAsia"/>
          <w:rtl/>
        </w:rPr>
        <w:t>סקר</w:t>
      </w:r>
      <w:r w:rsidR="00AA3EF5" w:rsidRPr="00D079F1">
        <w:rPr>
          <w:rtl/>
        </w:rPr>
        <w:t xml:space="preserve"> </w:t>
      </w:r>
      <w:r w:rsidR="00AA3EF5" w:rsidRPr="00D079F1">
        <w:rPr>
          <w:rFonts w:hint="eastAsia"/>
          <w:rtl/>
        </w:rPr>
        <w:t>מצב</w:t>
      </w:r>
      <w:r w:rsidR="00AA3EF5" w:rsidRPr="00D079F1">
        <w:rPr>
          <w:rtl/>
        </w:rPr>
        <w:t xml:space="preserve"> </w:t>
      </w:r>
      <w:r w:rsidR="00AA3EF5" w:rsidRPr="00D079F1">
        <w:rPr>
          <w:rFonts w:hint="eastAsia"/>
          <w:rtl/>
        </w:rPr>
        <w:t>העסקים</w:t>
      </w:r>
      <w:r w:rsidR="00AA3EF5" w:rsidRPr="00D079F1">
        <w:rPr>
          <w:rtl/>
        </w:rPr>
        <w:t xml:space="preserve"> </w:t>
      </w:r>
      <w:r w:rsidR="00AA3EF5" w:rsidRPr="00D079F1">
        <w:rPr>
          <w:rFonts w:hint="eastAsia"/>
          <w:rtl/>
        </w:rPr>
        <w:t>בזמן</w:t>
      </w:r>
      <w:r w:rsidR="00AA3EF5" w:rsidRPr="00D079F1">
        <w:rPr>
          <w:rtl/>
        </w:rPr>
        <w:t xml:space="preserve"> </w:t>
      </w:r>
      <w:r w:rsidR="00AA3EF5" w:rsidRPr="00D079F1">
        <w:rPr>
          <w:rFonts w:hint="eastAsia"/>
          <w:rtl/>
        </w:rPr>
        <w:t>מלחמת</w:t>
      </w:r>
      <w:r w:rsidR="00AA3EF5" w:rsidRPr="00D079F1">
        <w:rPr>
          <w:rtl/>
        </w:rPr>
        <w:t xml:space="preserve"> </w:t>
      </w:r>
      <w:r w:rsidR="00AA3EF5" w:rsidRPr="00D079F1">
        <w:rPr>
          <w:rFonts w:hint="eastAsia"/>
          <w:rtl/>
        </w:rPr>
        <w:t>חרבות</w:t>
      </w:r>
      <w:r w:rsidR="00AA3EF5" w:rsidRPr="00D079F1">
        <w:rPr>
          <w:rtl/>
        </w:rPr>
        <w:t xml:space="preserve"> </w:t>
      </w:r>
      <w:r w:rsidR="00AA3EF5" w:rsidRPr="00D079F1">
        <w:rPr>
          <w:rFonts w:hint="eastAsia"/>
          <w:rtl/>
        </w:rPr>
        <w:t>ברזל</w:t>
      </w:r>
      <w:r w:rsidR="00AA3EF5" w:rsidRPr="00D079F1">
        <w:rPr>
          <w:rtl/>
        </w:rPr>
        <w:t xml:space="preserve">: </w:t>
      </w:r>
      <w:r w:rsidR="00AA3EF5" w:rsidRPr="00D079F1">
        <w:rPr>
          <w:rFonts w:hint="eastAsia"/>
          <w:rtl/>
        </w:rPr>
        <w:t>נתונים</w:t>
      </w:r>
      <w:r w:rsidR="00AA3EF5" w:rsidRPr="00D079F1">
        <w:rPr>
          <w:rtl/>
        </w:rPr>
        <w:t xml:space="preserve"> </w:t>
      </w:r>
      <w:r w:rsidR="00AA3EF5" w:rsidRPr="00D079F1">
        <w:rPr>
          <w:rFonts w:hint="eastAsia"/>
          <w:rtl/>
        </w:rPr>
        <w:t>מתוך</w:t>
      </w:r>
      <w:r w:rsidR="00AA3EF5" w:rsidRPr="00D079F1">
        <w:rPr>
          <w:rtl/>
        </w:rPr>
        <w:t xml:space="preserve"> </w:t>
      </w:r>
      <w:r w:rsidR="00AA3EF5" w:rsidRPr="00D079F1">
        <w:rPr>
          <w:rFonts w:hint="eastAsia"/>
          <w:rtl/>
        </w:rPr>
        <w:t>סקר</w:t>
      </w:r>
      <w:r w:rsidR="00AA3EF5" w:rsidRPr="00D079F1">
        <w:rPr>
          <w:rtl/>
        </w:rPr>
        <w:t xml:space="preserve"> </w:t>
      </w:r>
      <w:r w:rsidR="00AA3EF5" w:rsidRPr="00D079F1">
        <w:rPr>
          <w:rFonts w:hint="eastAsia"/>
          <w:rtl/>
        </w:rPr>
        <w:t>בזק</w:t>
      </w:r>
      <w:r w:rsidR="00AA3EF5" w:rsidRPr="00D079F1">
        <w:rPr>
          <w:rtl/>
        </w:rPr>
        <w:t xml:space="preserve"> </w:t>
      </w:r>
      <w:r w:rsidR="00AA3EF5" w:rsidRPr="00D079F1">
        <w:rPr>
          <w:rFonts w:hint="eastAsia"/>
          <w:rtl/>
        </w:rPr>
        <w:t>לחודש</w:t>
      </w:r>
      <w:r w:rsidR="00AA3EF5" w:rsidRPr="00D079F1">
        <w:rPr>
          <w:rtl/>
        </w:rPr>
        <w:t xml:space="preserve"> </w:t>
      </w:r>
      <w:r w:rsidR="00AA3EF5" w:rsidRPr="00D079F1">
        <w:rPr>
          <w:rFonts w:hint="eastAsia"/>
          <w:rtl/>
        </w:rPr>
        <w:t>נובמבר</w:t>
      </w:r>
      <w:r w:rsidR="00AA3EF5" w:rsidRPr="00D079F1">
        <w:rPr>
          <w:rtl/>
        </w:rPr>
        <w:t xml:space="preserve"> 2023</w:t>
      </w:r>
      <w:r w:rsidR="00EC20B0" w:rsidRPr="00D079F1">
        <w:rPr>
          <w:rtl/>
        </w:rPr>
        <w:t>"</w:t>
      </w:r>
      <w:r w:rsidR="00AA3EF5" w:rsidRPr="00D079F1">
        <w:rPr>
          <w:rtl/>
        </w:rPr>
        <w:t>,</w:t>
      </w:r>
      <w:r w:rsidR="00EC20B0" w:rsidRPr="00D079F1">
        <w:rPr>
          <w:rtl/>
        </w:rPr>
        <w:t xml:space="preserve"> הודעה לעיתונות 2</w:t>
      </w:r>
      <w:r w:rsidR="00AA3EF5" w:rsidRPr="00D079F1">
        <w:rPr>
          <w:rtl/>
        </w:rPr>
        <w:t>6</w:t>
      </w:r>
      <w:r w:rsidR="00EC20B0" w:rsidRPr="00D079F1">
        <w:rPr>
          <w:rtl/>
        </w:rPr>
        <w:t>.11.2023.</w:t>
      </w:r>
    </w:p>
  </w:footnote>
  <w:footnote w:id="6">
    <w:p w:rsidR="00560BDB" w:rsidRDefault="00560BDB" w:rsidP="0043098D">
      <w:pPr>
        <w:spacing w:after="0" w:line="240" w:lineRule="auto"/>
      </w:pPr>
      <w:r>
        <w:rPr>
          <w:rStyle w:val="af1"/>
        </w:rPr>
        <w:footnoteRef/>
      </w:r>
      <w:r>
        <w:rPr>
          <w:rtl/>
        </w:rPr>
        <w:t xml:space="preserve"> </w:t>
      </w:r>
      <w:proofErr w:type="spellStart"/>
      <w:r w:rsidRPr="0043098D">
        <w:rPr>
          <w:sz w:val="20"/>
          <w:szCs w:val="20"/>
        </w:rPr>
        <w:t>Miaari</w:t>
      </w:r>
      <w:proofErr w:type="spellEnd"/>
      <w:r w:rsidRPr="0043098D">
        <w:rPr>
          <w:sz w:val="20"/>
          <w:szCs w:val="20"/>
        </w:rPr>
        <w:t xml:space="preserve">, S., </w:t>
      </w:r>
      <w:proofErr w:type="spellStart"/>
      <w:r w:rsidRPr="0043098D">
        <w:rPr>
          <w:sz w:val="20"/>
          <w:szCs w:val="20"/>
        </w:rPr>
        <w:t>Zussman</w:t>
      </w:r>
      <w:proofErr w:type="spellEnd"/>
      <w:r w:rsidRPr="0043098D">
        <w:rPr>
          <w:sz w:val="20"/>
          <w:szCs w:val="20"/>
        </w:rPr>
        <w:t xml:space="preserve">, A., and </w:t>
      </w:r>
      <w:proofErr w:type="spellStart"/>
      <w:r w:rsidRPr="0043098D">
        <w:rPr>
          <w:sz w:val="20"/>
          <w:szCs w:val="20"/>
        </w:rPr>
        <w:t>Zussman</w:t>
      </w:r>
      <w:proofErr w:type="spellEnd"/>
      <w:r w:rsidRPr="0043098D">
        <w:rPr>
          <w:sz w:val="20"/>
          <w:szCs w:val="20"/>
        </w:rPr>
        <w:t>, N. (2012). Ethnic conflict and job separations. Journal of Population Economics, 25(2), 419–437.</w:t>
      </w:r>
    </w:p>
  </w:footnote>
  <w:footnote w:id="7">
    <w:p w:rsidR="00560BDB" w:rsidRDefault="00560BDB" w:rsidP="005E7BC4">
      <w:pPr>
        <w:pStyle w:val="af"/>
      </w:pPr>
      <w:r>
        <w:rPr>
          <w:rStyle w:val="af1"/>
        </w:rPr>
        <w:footnoteRef/>
      </w:r>
      <w:r>
        <w:rPr>
          <w:rtl/>
        </w:rPr>
        <w:t xml:space="preserve"> </w:t>
      </w:r>
      <w:r>
        <w:rPr>
          <w:rFonts w:hint="cs"/>
          <w:rtl/>
        </w:rPr>
        <w:t xml:space="preserve">זוסמן, נ' ונ' צבי (2023). "השפעת אירועים ביטחוניים על </w:t>
      </w:r>
      <w:proofErr w:type="spellStart"/>
      <w:r>
        <w:rPr>
          <w:rFonts w:hint="cs"/>
          <w:rtl/>
        </w:rPr>
        <w:t>היפרדויות</w:t>
      </w:r>
      <w:proofErr w:type="spellEnd"/>
      <w:r>
        <w:rPr>
          <w:rFonts w:hint="cs"/>
          <w:rtl/>
        </w:rPr>
        <w:t xml:space="preserve"> של ערביי ישראל ממעסיקיה</w:t>
      </w:r>
      <w:r>
        <w:rPr>
          <w:rFonts w:hint="eastAsia"/>
          <w:rtl/>
        </w:rPr>
        <w:t>ם</w:t>
      </w:r>
      <w:r>
        <w:rPr>
          <w:rFonts w:hint="cs"/>
          <w:rtl/>
        </w:rPr>
        <w:t xml:space="preserve">", בנק ישראל סדרת מאמרים לדיון 2023.05. </w:t>
      </w:r>
    </w:p>
  </w:footnote>
  <w:footnote w:id="8">
    <w:p w:rsidR="00560BDB" w:rsidRDefault="00560BDB" w:rsidP="00D4752F">
      <w:pPr>
        <w:pStyle w:val="af"/>
      </w:pPr>
      <w:r>
        <w:rPr>
          <w:rStyle w:val="af1"/>
        </w:rPr>
        <w:footnoteRef/>
      </w:r>
      <w:r>
        <w:rPr>
          <w:rtl/>
        </w:rPr>
        <w:t xml:space="preserve"> </w:t>
      </w:r>
      <w:r>
        <w:rPr>
          <w:rFonts w:hint="cs"/>
          <w:rtl/>
        </w:rPr>
        <w:t xml:space="preserve">לשם פשטות הניתוח ומגבלת סודיות הנתונים בחדר המחקר של </w:t>
      </w:r>
      <w:proofErr w:type="spellStart"/>
      <w:r>
        <w:rPr>
          <w:rFonts w:hint="cs"/>
          <w:rtl/>
        </w:rPr>
        <w:t>הלמ"ס</w:t>
      </w:r>
      <w:proofErr w:type="spellEnd"/>
      <w:r>
        <w:rPr>
          <w:rFonts w:hint="cs"/>
          <w:rtl/>
        </w:rPr>
        <w:t xml:space="preserve"> משלחי היד קובצו לשתי קבוצות עיקריות: עובדים מקצועיים </w:t>
      </w:r>
      <w:r>
        <w:rPr>
          <w:rtl/>
        </w:rPr>
        <w:t>–</w:t>
      </w:r>
      <w:r>
        <w:rPr>
          <w:rFonts w:hint="cs"/>
          <w:rtl/>
        </w:rPr>
        <w:t xml:space="preserve"> כלל את משלחי היד (1-3;6-8): מנהלים, אקדמאים, הנדסאים, טכנאים, בעלי מלאכה ועובדים מקצועיים בתחומי החקלאות, תעשייה, בינוי ואחרים. עובדים לא מקצועיים </w:t>
      </w:r>
      <w:r>
        <w:rPr>
          <w:rtl/>
        </w:rPr>
        <w:t>–</w:t>
      </w:r>
      <w:r>
        <w:rPr>
          <w:rFonts w:hint="cs"/>
          <w:rtl/>
        </w:rPr>
        <w:t xml:space="preserve"> כלל את משלחי היד (4,5,9,</w:t>
      </w:r>
      <w:r>
        <w:rPr>
          <w:rFonts w:hint="cs"/>
        </w:rPr>
        <w:t>X</w:t>
      </w:r>
      <w:r>
        <w:rPr>
          <w:rFonts w:hint="cs"/>
          <w:rtl/>
        </w:rPr>
        <w:t>): פקידים כללים ועובדי משרד,  עובדי מכירות ושירותים, עובדים בלתי מקצועיים ומשלח יד לא ידוע.</w:t>
      </w:r>
    </w:p>
  </w:footnote>
  <w:footnote w:id="9">
    <w:p w:rsidR="00560BDB" w:rsidRDefault="00560BDB" w:rsidP="00746732">
      <w:pPr>
        <w:pStyle w:val="af"/>
      </w:pPr>
      <w:r>
        <w:rPr>
          <w:rStyle w:val="af1"/>
        </w:rPr>
        <w:footnoteRef/>
      </w:r>
      <w:r>
        <w:rPr>
          <w:rtl/>
        </w:rPr>
        <w:t xml:space="preserve"> </w:t>
      </w:r>
      <w:r w:rsidRPr="004275A8">
        <w:rPr>
          <w:rtl/>
        </w:rPr>
        <w:t xml:space="preserve">סוג היישוב הוגדר ערבי עם 95% ומעלה מתושבי היישוב שנדגמו בסקר הצהירו שהם ערבים; יישוב נחשב יהודי עם לכל היותר 5% מתושבי היישוב שנדגמו הצהירו שהם </w:t>
      </w:r>
      <w:r>
        <w:rPr>
          <w:rFonts w:hint="cs"/>
          <w:rtl/>
        </w:rPr>
        <w:t>ערבים</w:t>
      </w:r>
      <w:r w:rsidRPr="004275A8">
        <w:rPr>
          <w:rtl/>
        </w:rPr>
        <w:t xml:space="preserve">; </w:t>
      </w:r>
      <w:r>
        <w:rPr>
          <w:rFonts w:hint="cs"/>
          <w:rtl/>
        </w:rPr>
        <w:t xml:space="preserve">יישובים עם בין 5% ל -95% ערבים הוגדרו מעורבים; </w:t>
      </w:r>
      <w:r w:rsidRPr="004275A8">
        <w:rPr>
          <w:rtl/>
        </w:rPr>
        <w:t xml:space="preserve">כל יתר היישובים נחשבו </w:t>
      </w:r>
      <w:r>
        <w:rPr>
          <w:rFonts w:hint="cs"/>
          <w:rtl/>
        </w:rPr>
        <w:t xml:space="preserve">כלא ידועים. כ 12% מהמועסקים נכללו בקבוצת היישובים הלא ידועים, חלק מן התצפיות לא דווח היישוב וביתר היה מדובר ביישובים קטנים אשר לא נכללו במסגרת הדגימה של סקר כוח אדם ולכן לא הצלחנו לסווג אותו לאחת מן הקבוצות השונות. </w:t>
      </w:r>
    </w:p>
  </w:footnote>
  <w:footnote w:id="10">
    <w:p w:rsidR="00560BDB" w:rsidRPr="004275A8" w:rsidRDefault="00560BDB" w:rsidP="000C1C47">
      <w:pPr>
        <w:pStyle w:val="af"/>
        <w:rPr>
          <w:rtl/>
        </w:rPr>
      </w:pPr>
      <w:r w:rsidRPr="004275A8">
        <w:rPr>
          <w:rStyle w:val="af1"/>
        </w:rPr>
        <w:footnoteRef/>
      </w:r>
      <w:r w:rsidRPr="004275A8">
        <w:t xml:space="preserve"> </w:t>
      </w:r>
      <w:r>
        <w:rPr>
          <w:rFonts w:hint="cs"/>
          <w:rtl/>
        </w:rPr>
        <w:t xml:space="preserve">עבור חלק מהענפים ניתן דירוג ענפי ללא קשר למשלח היד והיישוב (למשל אירוח ואוכל, אומנות בידור ופנאי), עבור אחרים הסיכון היה בקרב עובדים לא מקצועיים בלבד (מחצית מהעובדים בענף המסחר) ועבור חלק מהענפים ניתן דירוג שונה עבור מקום הימצאות היישוב וסוג העובד (למשל עובד ערבי המועסק בחינוך ביישוב יהודי). </w:t>
      </w:r>
    </w:p>
  </w:footnote>
  <w:footnote w:id="11">
    <w:p w:rsidR="00560BDB" w:rsidRDefault="00560BDB">
      <w:pPr>
        <w:pStyle w:val="af"/>
      </w:pPr>
      <w:r>
        <w:rPr>
          <w:rStyle w:val="af1"/>
        </w:rPr>
        <w:footnoteRef/>
      </w:r>
      <w:r>
        <w:rPr>
          <w:rtl/>
        </w:rPr>
        <w:t xml:space="preserve"> </w:t>
      </w:r>
      <w:r>
        <w:rPr>
          <w:rFonts w:hint="cs"/>
          <w:rtl/>
        </w:rPr>
        <w:t xml:space="preserve">התייחסות לתחום הבינוי (ענף </w:t>
      </w:r>
      <w:r>
        <w:rPr>
          <w:rFonts w:hint="cs"/>
        </w:rPr>
        <w:t>F</w:t>
      </w:r>
      <w:r>
        <w:rPr>
          <w:rFonts w:hint="cs"/>
          <w:rtl/>
        </w:rPr>
        <w:t>) כוללת בתוכה גם את המועסקים בענף פעילויות בנדל"ן (</w:t>
      </w:r>
      <w:r>
        <w:rPr>
          <w:rFonts w:hint="cs"/>
        </w:rPr>
        <w:t>L</w:t>
      </w:r>
      <w:r>
        <w:rPr>
          <w:rFonts w:hint="cs"/>
          <w:rtl/>
        </w:rPr>
        <w:t>)</w:t>
      </w:r>
      <w:r>
        <w:t xml:space="preserve">. </w:t>
      </w:r>
    </w:p>
  </w:footnote>
  <w:footnote w:id="12">
    <w:p w:rsidR="00D079F1" w:rsidRDefault="00D079F1" w:rsidP="006A517D">
      <w:pPr>
        <w:pStyle w:val="a5"/>
        <w:spacing w:after="0"/>
      </w:pPr>
      <w:r>
        <w:rPr>
          <w:rStyle w:val="af1"/>
        </w:rPr>
        <w:footnoteRef/>
      </w:r>
      <w:r>
        <w:rPr>
          <w:rtl/>
        </w:rPr>
        <w:t xml:space="preserve"> </w:t>
      </w:r>
      <w:r w:rsidRPr="006A517D">
        <w:rPr>
          <w:rFonts w:hint="eastAsia"/>
          <w:rtl/>
        </w:rPr>
        <w:t>תוספת</w:t>
      </w:r>
      <w:r w:rsidRPr="006A517D">
        <w:rPr>
          <w:rtl/>
        </w:rPr>
        <w:t xml:space="preserve"> </w:t>
      </w:r>
      <w:r w:rsidRPr="006A517D">
        <w:rPr>
          <w:rFonts w:hint="eastAsia"/>
          <w:rtl/>
        </w:rPr>
        <w:t>העובדים</w:t>
      </w:r>
      <w:r w:rsidRPr="006A517D">
        <w:rPr>
          <w:rtl/>
        </w:rPr>
        <w:t xml:space="preserve"> </w:t>
      </w:r>
      <w:r w:rsidRPr="006A517D">
        <w:rPr>
          <w:rFonts w:hint="eastAsia"/>
          <w:rtl/>
        </w:rPr>
        <w:t>שנוספו</w:t>
      </w:r>
      <w:r w:rsidRPr="006A517D">
        <w:rPr>
          <w:rtl/>
        </w:rPr>
        <w:t xml:space="preserve"> </w:t>
      </w:r>
      <w:r w:rsidRPr="006A517D">
        <w:rPr>
          <w:rFonts w:hint="eastAsia"/>
          <w:rtl/>
        </w:rPr>
        <w:t>לסיכון</w:t>
      </w:r>
      <w:r w:rsidRPr="006A517D">
        <w:rPr>
          <w:rtl/>
        </w:rPr>
        <w:t xml:space="preserve"> </w:t>
      </w:r>
      <w:r w:rsidRPr="006A517D">
        <w:rPr>
          <w:rFonts w:hint="eastAsia"/>
          <w:rtl/>
        </w:rPr>
        <w:t>הגבוה</w:t>
      </w:r>
      <w:r w:rsidRPr="006A517D">
        <w:rPr>
          <w:rtl/>
        </w:rPr>
        <w:t xml:space="preserve"> </w:t>
      </w:r>
      <w:r w:rsidRPr="006A517D">
        <w:rPr>
          <w:rFonts w:hint="eastAsia"/>
          <w:rtl/>
        </w:rPr>
        <w:t>כיוון</w:t>
      </w:r>
      <w:r w:rsidRPr="006A517D">
        <w:rPr>
          <w:rtl/>
        </w:rPr>
        <w:t xml:space="preserve"> </w:t>
      </w:r>
      <w:r w:rsidRPr="006A517D">
        <w:rPr>
          <w:rFonts w:hint="eastAsia"/>
          <w:rtl/>
        </w:rPr>
        <w:t>שעובדים</w:t>
      </w:r>
      <w:r w:rsidRPr="006A517D">
        <w:rPr>
          <w:rtl/>
        </w:rPr>
        <w:t xml:space="preserve"> </w:t>
      </w:r>
      <w:r w:rsidRPr="006A517D">
        <w:rPr>
          <w:rFonts w:hint="eastAsia"/>
          <w:rtl/>
        </w:rPr>
        <w:t>ביישובים</w:t>
      </w:r>
      <w:r w:rsidRPr="006A517D">
        <w:rPr>
          <w:rtl/>
        </w:rPr>
        <w:t xml:space="preserve"> </w:t>
      </w:r>
      <w:r w:rsidRPr="006A517D">
        <w:rPr>
          <w:rFonts w:hint="eastAsia"/>
          <w:rtl/>
        </w:rPr>
        <w:t>יהודים</w:t>
      </w:r>
      <w:r w:rsidRPr="006A517D">
        <w:rPr>
          <w:rtl/>
        </w:rPr>
        <w:t xml:space="preserve"> </w:t>
      </w:r>
      <w:r w:rsidRPr="006A517D">
        <w:rPr>
          <w:rFonts w:hint="eastAsia"/>
          <w:rtl/>
        </w:rPr>
        <w:t>או</w:t>
      </w:r>
      <w:r w:rsidRPr="006A517D">
        <w:rPr>
          <w:rtl/>
        </w:rPr>
        <w:t xml:space="preserve"> </w:t>
      </w:r>
      <w:r w:rsidRPr="006A517D">
        <w:rPr>
          <w:rFonts w:hint="eastAsia"/>
          <w:rtl/>
        </w:rPr>
        <w:t>מעורבים</w:t>
      </w:r>
      <w:r w:rsidRPr="006A517D">
        <w:rPr>
          <w:rtl/>
        </w:rPr>
        <w:t xml:space="preserve">, </w:t>
      </w:r>
      <w:r w:rsidRPr="006A517D">
        <w:rPr>
          <w:rFonts w:hint="eastAsia"/>
          <w:rtl/>
        </w:rPr>
        <w:t>במשלחי</w:t>
      </w:r>
      <w:r w:rsidRPr="006A517D">
        <w:rPr>
          <w:rtl/>
        </w:rPr>
        <w:t xml:space="preserve"> </w:t>
      </w:r>
      <w:r w:rsidRPr="006A517D">
        <w:rPr>
          <w:rFonts w:hint="eastAsia"/>
          <w:rtl/>
        </w:rPr>
        <w:t>יד</w:t>
      </w:r>
      <w:r w:rsidRPr="006A517D">
        <w:rPr>
          <w:rtl/>
        </w:rPr>
        <w:t xml:space="preserve"> </w:t>
      </w:r>
      <w:r w:rsidRPr="006A517D">
        <w:rPr>
          <w:rFonts w:hint="eastAsia"/>
          <w:rtl/>
        </w:rPr>
        <w:t>לא</w:t>
      </w:r>
      <w:r w:rsidRPr="006A517D">
        <w:rPr>
          <w:rtl/>
        </w:rPr>
        <w:t xml:space="preserve"> </w:t>
      </w:r>
      <w:r w:rsidRPr="006A517D">
        <w:rPr>
          <w:rFonts w:hint="eastAsia"/>
          <w:rtl/>
        </w:rPr>
        <w:t>מקצועיים</w:t>
      </w:r>
      <w:r w:rsidRPr="006A517D">
        <w:rPr>
          <w:rtl/>
        </w:rPr>
        <w:t xml:space="preserve"> </w:t>
      </w:r>
      <w:r w:rsidRPr="006A517D">
        <w:rPr>
          <w:rFonts w:hint="eastAsia"/>
          <w:rtl/>
        </w:rPr>
        <w:t>ובענפים</w:t>
      </w:r>
      <w:r w:rsidRPr="006A517D">
        <w:rPr>
          <w:rtl/>
        </w:rPr>
        <w:t xml:space="preserve"> </w:t>
      </w:r>
      <w:r w:rsidRPr="006A517D">
        <w:rPr>
          <w:rFonts w:hint="eastAsia"/>
          <w:rtl/>
        </w:rPr>
        <w:t>עם</w:t>
      </w:r>
      <w:r w:rsidRPr="006A517D">
        <w:rPr>
          <w:rtl/>
        </w:rPr>
        <w:t xml:space="preserve"> </w:t>
      </w:r>
      <w:r w:rsidRPr="006A517D">
        <w:rPr>
          <w:rFonts w:hint="eastAsia"/>
          <w:rtl/>
        </w:rPr>
        <w:t>אינטראקציה</w:t>
      </w:r>
      <w:r w:rsidRPr="006A517D">
        <w:rPr>
          <w:rtl/>
        </w:rPr>
        <w:t xml:space="preserve"> גבוהה עם לקוחות</w:t>
      </w:r>
      <w:r>
        <w:rPr>
          <w:rFonts w:hint="cs"/>
          <w:rtl/>
        </w:rPr>
        <w:t xml:space="preserve"> כגון: ענפי החינוך, המסחר והשירותים המקצועיים והאחרים.</w:t>
      </w:r>
    </w:p>
  </w:footnote>
  <w:footnote w:id="13">
    <w:p w:rsidR="00560BDB" w:rsidRDefault="00560BDB" w:rsidP="002764C8">
      <w:pPr>
        <w:pStyle w:val="af"/>
      </w:pPr>
      <w:r>
        <w:rPr>
          <w:rStyle w:val="af1"/>
        </w:rPr>
        <w:footnoteRef/>
      </w:r>
      <w:r>
        <w:rPr>
          <w:rtl/>
        </w:rPr>
        <w:t xml:space="preserve"> </w:t>
      </w:r>
      <w:r>
        <w:rPr>
          <w:rFonts w:hint="cs"/>
          <w:rtl/>
        </w:rPr>
        <w:t>כ 12% מהמועסקים נכללו בקבוצת היישובים הלא ידועים, בחלק מן התצפיות לא דווח יישוב התעסוקה וביתר היה מדובר ביישובים קטנים אשר לא נכללו במסגרת הדגימה של סקר כוח אדם ולכן לא הצלחנו לסווג אות</w:t>
      </w:r>
      <w:r w:rsidR="002764C8">
        <w:rPr>
          <w:rFonts w:hint="cs"/>
          <w:rtl/>
        </w:rPr>
        <w:t>ם</w:t>
      </w:r>
      <w:r>
        <w:rPr>
          <w:rFonts w:hint="cs"/>
          <w:rtl/>
        </w:rPr>
        <w:t xml:space="preserve"> לאחת מקבוצות היישובים.</w:t>
      </w:r>
    </w:p>
  </w:footnote>
  <w:footnote w:id="14">
    <w:p w:rsidR="00560BDB" w:rsidRDefault="00560BDB" w:rsidP="00E548B3">
      <w:pPr>
        <w:pStyle w:val="af"/>
      </w:pPr>
      <w:r>
        <w:rPr>
          <w:rStyle w:val="af1"/>
        </w:rPr>
        <w:footnoteRef/>
      </w:r>
      <w:r>
        <w:rPr>
          <w:rtl/>
        </w:rPr>
        <w:t xml:space="preserve"> </w:t>
      </w:r>
      <w:r>
        <w:rPr>
          <w:rFonts w:hint="cs"/>
          <w:rtl/>
        </w:rPr>
        <w:t>המדינה דרך שירות התעסוקה והביטוח הלאומי מציעה מנגנוני פיצוי המפחיתים את הפגיעה בהכנסה. נכון לאמצע חודש נובמבר שיעור הערבים שנרשמו בשירות התעסוקה דומה למשקלם באוכלוסייה. בחינת יחס התחלופה בין השכר לפני הקורונה וב</w:t>
      </w:r>
      <w:r w:rsidR="00A51805">
        <w:rPr>
          <w:rFonts w:hint="cs"/>
          <w:rtl/>
        </w:rPr>
        <w:t>ז</w:t>
      </w:r>
      <w:r>
        <w:rPr>
          <w:rFonts w:hint="cs"/>
          <w:rtl/>
        </w:rPr>
        <w:t>מן הקורונה אז הופעלה רשת הביטחון, מעלה שבחברה הערבית שיעור התחלופה בין אובדן השכר מעבודה שכירה ועצמאית לגידול בתשלומי העברה היה נמוך מזה שבאוכלוסייה היהודית</w:t>
      </w:r>
      <w:r w:rsidR="00235DCB">
        <w:rPr>
          <w:rFonts w:hint="cs"/>
          <w:rtl/>
        </w:rPr>
        <w:t xml:space="preserve"> שאינה חרדית</w:t>
      </w:r>
      <w:r w:rsidR="00C049E1">
        <w:rPr>
          <w:rFonts w:hint="cs"/>
          <w:rtl/>
        </w:rPr>
        <w:t xml:space="preserve"> (כ 63% לעומת 84%).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768" w:rsidRDefault="00B05768">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768" w:rsidRDefault="00B05768">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768" w:rsidRDefault="00B0576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25C25"/>
    <w:multiLevelType w:val="hybridMultilevel"/>
    <w:tmpl w:val="2D20A1C0"/>
    <w:lvl w:ilvl="0" w:tplc="2DB003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E822E2"/>
    <w:multiLevelType w:val="hybridMultilevel"/>
    <w:tmpl w:val="F5D0C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A27E95"/>
    <w:multiLevelType w:val="hybridMultilevel"/>
    <w:tmpl w:val="D690F42C"/>
    <w:lvl w:ilvl="0" w:tplc="D436D824">
      <w:start w:val="1"/>
      <w:numFmt w:val="bullet"/>
      <w:lvlText w:val="•"/>
      <w:lvlJc w:val="left"/>
      <w:pPr>
        <w:tabs>
          <w:tab w:val="num" w:pos="720"/>
        </w:tabs>
        <w:ind w:left="720" w:hanging="360"/>
      </w:pPr>
      <w:rPr>
        <w:rFonts w:ascii="Arial" w:hAnsi="Arial" w:hint="default"/>
      </w:rPr>
    </w:lvl>
    <w:lvl w:ilvl="1" w:tplc="8D00DA44" w:tentative="1">
      <w:start w:val="1"/>
      <w:numFmt w:val="bullet"/>
      <w:lvlText w:val="•"/>
      <w:lvlJc w:val="left"/>
      <w:pPr>
        <w:tabs>
          <w:tab w:val="num" w:pos="1440"/>
        </w:tabs>
        <w:ind w:left="1440" w:hanging="360"/>
      </w:pPr>
      <w:rPr>
        <w:rFonts w:ascii="Arial" w:hAnsi="Arial" w:hint="default"/>
      </w:rPr>
    </w:lvl>
    <w:lvl w:ilvl="2" w:tplc="02E2E148" w:tentative="1">
      <w:start w:val="1"/>
      <w:numFmt w:val="bullet"/>
      <w:lvlText w:val="•"/>
      <w:lvlJc w:val="left"/>
      <w:pPr>
        <w:tabs>
          <w:tab w:val="num" w:pos="2160"/>
        </w:tabs>
        <w:ind w:left="2160" w:hanging="360"/>
      </w:pPr>
      <w:rPr>
        <w:rFonts w:ascii="Arial" w:hAnsi="Arial" w:hint="default"/>
      </w:rPr>
    </w:lvl>
    <w:lvl w:ilvl="3" w:tplc="431CF698" w:tentative="1">
      <w:start w:val="1"/>
      <w:numFmt w:val="bullet"/>
      <w:lvlText w:val="•"/>
      <w:lvlJc w:val="left"/>
      <w:pPr>
        <w:tabs>
          <w:tab w:val="num" w:pos="2880"/>
        </w:tabs>
        <w:ind w:left="2880" w:hanging="360"/>
      </w:pPr>
      <w:rPr>
        <w:rFonts w:ascii="Arial" w:hAnsi="Arial" w:hint="default"/>
      </w:rPr>
    </w:lvl>
    <w:lvl w:ilvl="4" w:tplc="D30ADB10" w:tentative="1">
      <w:start w:val="1"/>
      <w:numFmt w:val="bullet"/>
      <w:lvlText w:val="•"/>
      <w:lvlJc w:val="left"/>
      <w:pPr>
        <w:tabs>
          <w:tab w:val="num" w:pos="3600"/>
        </w:tabs>
        <w:ind w:left="3600" w:hanging="360"/>
      </w:pPr>
      <w:rPr>
        <w:rFonts w:ascii="Arial" w:hAnsi="Arial" w:hint="default"/>
      </w:rPr>
    </w:lvl>
    <w:lvl w:ilvl="5" w:tplc="B0BA6634" w:tentative="1">
      <w:start w:val="1"/>
      <w:numFmt w:val="bullet"/>
      <w:lvlText w:val="•"/>
      <w:lvlJc w:val="left"/>
      <w:pPr>
        <w:tabs>
          <w:tab w:val="num" w:pos="4320"/>
        </w:tabs>
        <w:ind w:left="4320" w:hanging="360"/>
      </w:pPr>
      <w:rPr>
        <w:rFonts w:ascii="Arial" w:hAnsi="Arial" w:hint="default"/>
      </w:rPr>
    </w:lvl>
    <w:lvl w:ilvl="6" w:tplc="6C8468EA" w:tentative="1">
      <w:start w:val="1"/>
      <w:numFmt w:val="bullet"/>
      <w:lvlText w:val="•"/>
      <w:lvlJc w:val="left"/>
      <w:pPr>
        <w:tabs>
          <w:tab w:val="num" w:pos="5040"/>
        </w:tabs>
        <w:ind w:left="5040" w:hanging="360"/>
      </w:pPr>
      <w:rPr>
        <w:rFonts w:ascii="Arial" w:hAnsi="Arial" w:hint="default"/>
      </w:rPr>
    </w:lvl>
    <w:lvl w:ilvl="7" w:tplc="4C001CC2" w:tentative="1">
      <w:start w:val="1"/>
      <w:numFmt w:val="bullet"/>
      <w:lvlText w:val="•"/>
      <w:lvlJc w:val="left"/>
      <w:pPr>
        <w:tabs>
          <w:tab w:val="num" w:pos="5760"/>
        </w:tabs>
        <w:ind w:left="5760" w:hanging="360"/>
      </w:pPr>
      <w:rPr>
        <w:rFonts w:ascii="Arial" w:hAnsi="Arial" w:hint="default"/>
      </w:rPr>
    </w:lvl>
    <w:lvl w:ilvl="8" w:tplc="935498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6A75A99"/>
    <w:multiLevelType w:val="hybridMultilevel"/>
    <w:tmpl w:val="89EED0A8"/>
    <w:lvl w:ilvl="0" w:tplc="C11282F6">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40FD7A27"/>
    <w:multiLevelType w:val="hybridMultilevel"/>
    <w:tmpl w:val="7A966772"/>
    <w:lvl w:ilvl="0" w:tplc="C22EDD96">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5" w15:restartNumberingAfterBreak="0">
    <w:nsid w:val="43C47CB6"/>
    <w:multiLevelType w:val="hybridMultilevel"/>
    <w:tmpl w:val="4E4C0E1C"/>
    <w:lvl w:ilvl="0" w:tplc="298A066A">
      <w:start w:val="1"/>
      <w:numFmt w:val="hebrew1"/>
      <w:lvlText w:val="%1."/>
      <w:lvlJc w:val="left"/>
      <w:pPr>
        <w:ind w:left="644" w:hanging="360"/>
      </w:pPr>
      <w:rPr>
        <w:rFonts w:hint="default"/>
      </w:rPr>
    </w:lvl>
    <w:lvl w:ilvl="1" w:tplc="04090019">
      <w:start w:val="1"/>
      <w:numFmt w:val="lowerLetter"/>
      <w:lvlText w:val="%2."/>
      <w:lvlJc w:val="left"/>
      <w:pPr>
        <w:ind w:left="644" w:hanging="360"/>
      </w:pPr>
    </w:lvl>
    <w:lvl w:ilvl="2" w:tplc="0409001B" w:tentative="1">
      <w:start w:val="1"/>
      <w:numFmt w:val="lowerRoman"/>
      <w:lvlText w:val="%3."/>
      <w:lvlJc w:val="right"/>
      <w:pPr>
        <w:ind w:left="1364" w:hanging="180"/>
      </w:pPr>
    </w:lvl>
    <w:lvl w:ilvl="3" w:tplc="0409000F" w:tentative="1">
      <w:start w:val="1"/>
      <w:numFmt w:val="decimal"/>
      <w:lvlText w:val="%4."/>
      <w:lvlJc w:val="left"/>
      <w:pPr>
        <w:ind w:left="2084" w:hanging="360"/>
      </w:pPr>
    </w:lvl>
    <w:lvl w:ilvl="4" w:tplc="04090019" w:tentative="1">
      <w:start w:val="1"/>
      <w:numFmt w:val="lowerLetter"/>
      <w:lvlText w:val="%5."/>
      <w:lvlJc w:val="left"/>
      <w:pPr>
        <w:ind w:left="2804" w:hanging="360"/>
      </w:pPr>
    </w:lvl>
    <w:lvl w:ilvl="5" w:tplc="0409001B" w:tentative="1">
      <w:start w:val="1"/>
      <w:numFmt w:val="lowerRoman"/>
      <w:lvlText w:val="%6."/>
      <w:lvlJc w:val="right"/>
      <w:pPr>
        <w:ind w:left="3524" w:hanging="180"/>
      </w:pPr>
    </w:lvl>
    <w:lvl w:ilvl="6" w:tplc="0409000F" w:tentative="1">
      <w:start w:val="1"/>
      <w:numFmt w:val="decimal"/>
      <w:lvlText w:val="%7."/>
      <w:lvlJc w:val="left"/>
      <w:pPr>
        <w:ind w:left="4244" w:hanging="360"/>
      </w:pPr>
    </w:lvl>
    <w:lvl w:ilvl="7" w:tplc="04090019" w:tentative="1">
      <w:start w:val="1"/>
      <w:numFmt w:val="lowerLetter"/>
      <w:lvlText w:val="%8."/>
      <w:lvlJc w:val="left"/>
      <w:pPr>
        <w:ind w:left="4964" w:hanging="360"/>
      </w:pPr>
    </w:lvl>
    <w:lvl w:ilvl="8" w:tplc="0409001B" w:tentative="1">
      <w:start w:val="1"/>
      <w:numFmt w:val="lowerRoman"/>
      <w:lvlText w:val="%9."/>
      <w:lvlJc w:val="right"/>
      <w:pPr>
        <w:ind w:left="5684" w:hanging="180"/>
      </w:pPr>
    </w:lvl>
  </w:abstractNum>
  <w:abstractNum w:abstractNumId="6" w15:restartNumberingAfterBreak="0">
    <w:nsid w:val="63BD11A9"/>
    <w:multiLevelType w:val="hybridMultilevel"/>
    <w:tmpl w:val="6270E3F8"/>
    <w:lvl w:ilvl="0" w:tplc="5B6EE832">
      <w:start w:val="1"/>
      <w:numFmt w:val="bullet"/>
      <w:lvlText w:val="•"/>
      <w:lvlJc w:val="left"/>
      <w:pPr>
        <w:tabs>
          <w:tab w:val="num" w:pos="720"/>
        </w:tabs>
        <w:ind w:left="720" w:hanging="360"/>
      </w:pPr>
      <w:rPr>
        <w:rFonts w:ascii="Arial" w:hAnsi="Arial" w:hint="default"/>
      </w:rPr>
    </w:lvl>
    <w:lvl w:ilvl="1" w:tplc="85488C54" w:tentative="1">
      <w:start w:val="1"/>
      <w:numFmt w:val="bullet"/>
      <w:lvlText w:val="•"/>
      <w:lvlJc w:val="left"/>
      <w:pPr>
        <w:tabs>
          <w:tab w:val="num" w:pos="1440"/>
        </w:tabs>
        <w:ind w:left="1440" w:hanging="360"/>
      </w:pPr>
      <w:rPr>
        <w:rFonts w:ascii="Arial" w:hAnsi="Arial" w:hint="default"/>
      </w:rPr>
    </w:lvl>
    <w:lvl w:ilvl="2" w:tplc="0114D546" w:tentative="1">
      <w:start w:val="1"/>
      <w:numFmt w:val="bullet"/>
      <w:lvlText w:val="•"/>
      <w:lvlJc w:val="left"/>
      <w:pPr>
        <w:tabs>
          <w:tab w:val="num" w:pos="2160"/>
        </w:tabs>
        <w:ind w:left="2160" w:hanging="360"/>
      </w:pPr>
      <w:rPr>
        <w:rFonts w:ascii="Arial" w:hAnsi="Arial" w:hint="default"/>
      </w:rPr>
    </w:lvl>
    <w:lvl w:ilvl="3" w:tplc="9DAC6D72" w:tentative="1">
      <w:start w:val="1"/>
      <w:numFmt w:val="bullet"/>
      <w:lvlText w:val="•"/>
      <w:lvlJc w:val="left"/>
      <w:pPr>
        <w:tabs>
          <w:tab w:val="num" w:pos="2880"/>
        </w:tabs>
        <w:ind w:left="2880" w:hanging="360"/>
      </w:pPr>
      <w:rPr>
        <w:rFonts w:ascii="Arial" w:hAnsi="Arial" w:hint="default"/>
      </w:rPr>
    </w:lvl>
    <w:lvl w:ilvl="4" w:tplc="36F22B56" w:tentative="1">
      <w:start w:val="1"/>
      <w:numFmt w:val="bullet"/>
      <w:lvlText w:val="•"/>
      <w:lvlJc w:val="left"/>
      <w:pPr>
        <w:tabs>
          <w:tab w:val="num" w:pos="3600"/>
        </w:tabs>
        <w:ind w:left="3600" w:hanging="360"/>
      </w:pPr>
      <w:rPr>
        <w:rFonts w:ascii="Arial" w:hAnsi="Arial" w:hint="default"/>
      </w:rPr>
    </w:lvl>
    <w:lvl w:ilvl="5" w:tplc="C7CED348" w:tentative="1">
      <w:start w:val="1"/>
      <w:numFmt w:val="bullet"/>
      <w:lvlText w:val="•"/>
      <w:lvlJc w:val="left"/>
      <w:pPr>
        <w:tabs>
          <w:tab w:val="num" w:pos="4320"/>
        </w:tabs>
        <w:ind w:left="4320" w:hanging="360"/>
      </w:pPr>
      <w:rPr>
        <w:rFonts w:ascii="Arial" w:hAnsi="Arial" w:hint="default"/>
      </w:rPr>
    </w:lvl>
    <w:lvl w:ilvl="6" w:tplc="F5C2C664" w:tentative="1">
      <w:start w:val="1"/>
      <w:numFmt w:val="bullet"/>
      <w:lvlText w:val="•"/>
      <w:lvlJc w:val="left"/>
      <w:pPr>
        <w:tabs>
          <w:tab w:val="num" w:pos="5040"/>
        </w:tabs>
        <w:ind w:left="5040" w:hanging="360"/>
      </w:pPr>
      <w:rPr>
        <w:rFonts w:ascii="Arial" w:hAnsi="Arial" w:hint="default"/>
      </w:rPr>
    </w:lvl>
    <w:lvl w:ilvl="7" w:tplc="93D2469A" w:tentative="1">
      <w:start w:val="1"/>
      <w:numFmt w:val="bullet"/>
      <w:lvlText w:val="•"/>
      <w:lvlJc w:val="left"/>
      <w:pPr>
        <w:tabs>
          <w:tab w:val="num" w:pos="5760"/>
        </w:tabs>
        <w:ind w:left="5760" w:hanging="360"/>
      </w:pPr>
      <w:rPr>
        <w:rFonts w:ascii="Arial" w:hAnsi="Arial" w:hint="default"/>
      </w:rPr>
    </w:lvl>
    <w:lvl w:ilvl="8" w:tplc="E29E5C4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0D56396"/>
    <w:multiLevelType w:val="hybridMultilevel"/>
    <w:tmpl w:val="929CDA2C"/>
    <w:lvl w:ilvl="0" w:tplc="4A12259E">
      <w:start w:val="1"/>
      <w:numFmt w:val="bullet"/>
      <w:lvlText w:val="•"/>
      <w:lvlJc w:val="left"/>
      <w:pPr>
        <w:tabs>
          <w:tab w:val="num" w:pos="720"/>
        </w:tabs>
        <w:ind w:left="720" w:hanging="360"/>
      </w:pPr>
      <w:rPr>
        <w:rFonts w:ascii="Arial" w:hAnsi="Arial" w:hint="default"/>
      </w:rPr>
    </w:lvl>
    <w:lvl w:ilvl="1" w:tplc="85AA50C0" w:tentative="1">
      <w:start w:val="1"/>
      <w:numFmt w:val="bullet"/>
      <w:lvlText w:val="•"/>
      <w:lvlJc w:val="left"/>
      <w:pPr>
        <w:tabs>
          <w:tab w:val="num" w:pos="1440"/>
        </w:tabs>
        <w:ind w:left="1440" w:hanging="360"/>
      </w:pPr>
      <w:rPr>
        <w:rFonts w:ascii="Arial" w:hAnsi="Arial" w:hint="default"/>
      </w:rPr>
    </w:lvl>
    <w:lvl w:ilvl="2" w:tplc="3260D3B4" w:tentative="1">
      <w:start w:val="1"/>
      <w:numFmt w:val="bullet"/>
      <w:lvlText w:val="•"/>
      <w:lvlJc w:val="left"/>
      <w:pPr>
        <w:tabs>
          <w:tab w:val="num" w:pos="2160"/>
        </w:tabs>
        <w:ind w:left="2160" w:hanging="360"/>
      </w:pPr>
      <w:rPr>
        <w:rFonts w:ascii="Arial" w:hAnsi="Arial" w:hint="default"/>
      </w:rPr>
    </w:lvl>
    <w:lvl w:ilvl="3" w:tplc="47ECA81C" w:tentative="1">
      <w:start w:val="1"/>
      <w:numFmt w:val="bullet"/>
      <w:lvlText w:val="•"/>
      <w:lvlJc w:val="left"/>
      <w:pPr>
        <w:tabs>
          <w:tab w:val="num" w:pos="2880"/>
        </w:tabs>
        <w:ind w:left="2880" w:hanging="360"/>
      </w:pPr>
      <w:rPr>
        <w:rFonts w:ascii="Arial" w:hAnsi="Arial" w:hint="default"/>
      </w:rPr>
    </w:lvl>
    <w:lvl w:ilvl="4" w:tplc="C5B0A058" w:tentative="1">
      <w:start w:val="1"/>
      <w:numFmt w:val="bullet"/>
      <w:lvlText w:val="•"/>
      <w:lvlJc w:val="left"/>
      <w:pPr>
        <w:tabs>
          <w:tab w:val="num" w:pos="3600"/>
        </w:tabs>
        <w:ind w:left="3600" w:hanging="360"/>
      </w:pPr>
      <w:rPr>
        <w:rFonts w:ascii="Arial" w:hAnsi="Arial" w:hint="default"/>
      </w:rPr>
    </w:lvl>
    <w:lvl w:ilvl="5" w:tplc="E24AEDEC" w:tentative="1">
      <w:start w:val="1"/>
      <w:numFmt w:val="bullet"/>
      <w:lvlText w:val="•"/>
      <w:lvlJc w:val="left"/>
      <w:pPr>
        <w:tabs>
          <w:tab w:val="num" w:pos="4320"/>
        </w:tabs>
        <w:ind w:left="4320" w:hanging="360"/>
      </w:pPr>
      <w:rPr>
        <w:rFonts w:ascii="Arial" w:hAnsi="Arial" w:hint="default"/>
      </w:rPr>
    </w:lvl>
    <w:lvl w:ilvl="6" w:tplc="10D888CC" w:tentative="1">
      <w:start w:val="1"/>
      <w:numFmt w:val="bullet"/>
      <w:lvlText w:val="•"/>
      <w:lvlJc w:val="left"/>
      <w:pPr>
        <w:tabs>
          <w:tab w:val="num" w:pos="5040"/>
        </w:tabs>
        <w:ind w:left="5040" w:hanging="360"/>
      </w:pPr>
      <w:rPr>
        <w:rFonts w:ascii="Arial" w:hAnsi="Arial" w:hint="default"/>
      </w:rPr>
    </w:lvl>
    <w:lvl w:ilvl="7" w:tplc="9666668A" w:tentative="1">
      <w:start w:val="1"/>
      <w:numFmt w:val="bullet"/>
      <w:lvlText w:val="•"/>
      <w:lvlJc w:val="left"/>
      <w:pPr>
        <w:tabs>
          <w:tab w:val="num" w:pos="5760"/>
        </w:tabs>
        <w:ind w:left="5760" w:hanging="360"/>
      </w:pPr>
      <w:rPr>
        <w:rFonts w:ascii="Arial" w:hAnsi="Arial" w:hint="default"/>
      </w:rPr>
    </w:lvl>
    <w:lvl w:ilvl="8" w:tplc="59AECB2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6"/>
  </w:num>
  <w:num w:numId="3">
    <w:abstractNumId w:val="7"/>
  </w:num>
  <w:num w:numId="4">
    <w:abstractNumId w:val="3"/>
  </w:num>
  <w:num w:numId="5">
    <w:abstractNumId w:val="1"/>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34E"/>
    <w:rsid w:val="000038C9"/>
    <w:rsid w:val="000059F8"/>
    <w:rsid w:val="00013D16"/>
    <w:rsid w:val="00021DEA"/>
    <w:rsid w:val="00025A10"/>
    <w:rsid w:val="00034070"/>
    <w:rsid w:val="00046B9B"/>
    <w:rsid w:val="000566F8"/>
    <w:rsid w:val="00066266"/>
    <w:rsid w:val="00075AE4"/>
    <w:rsid w:val="00084CFA"/>
    <w:rsid w:val="00084FF0"/>
    <w:rsid w:val="0009650B"/>
    <w:rsid w:val="00096877"/>
    <w:rsid w:val="000A0F86"/>
    <w:rsid w:val="000A2B05"/>
    <w:rsid w:val="000C1C47"/>
    <w:rsid w:val="000D1C7F"/>
    <w:rsid w:val="000D5FF4"/>
    <w:rsid w:val="000F1D2A"/>
    <w:rsid w:val="000F5A03"/>
    <w:rsid w:val="00100A91"/>
    <w:rsid w:val="001110C8"/>
    <w:rsid w:val="001151B1"/>
    <w:rsid w:val="001212BB"/>
    <w:rsid w:val="00141BED"/>
    <w:rsid w:val="00150794"/>
    <w:rsid w:val="00151159"/>
    <w:rsid w:val="00162CE1"/>
    <w:rsid w:val="00166968"/>
    <w:rsid w:val="00176F66"/>
    <w:rsid w:val="001B10C4"/>
    <w:rsid w:val="001B1134"/>
    <w:rsid w:val="001D6C2E"/>
    <w:rsid w:val="001E111C"/>
    <w:rsid w:val="001F5025"/>
    <w:rsid w:val="002061BB"/>
    <w:rsid w:val="00207071"/>
    <w:rsid w:val="00211257"/>
    <w:rsid w:val="00211396"/>
    <w:rsid w:val="0022305D"/>
    <w:rsid w:val="002246F0"/>
    <w:rsid w:val="00230357"/>
    <w:rsid w:val="00235DCB"/>
    <w:rsid w:val="00236C72"/>
    <w:rsid w:val="00242472"/>
    <w:rsid w:val="00242B92"/>
    <w:rsid w:val="00245249"/>
    <w:rsid w:val="00245ECB"/>
    <w:rsid w:val="00255E39"/>
    <w:rsid w:val="002569BF"/>
    <w:rsid w:val="0025736D"/>
    <w:rsid w:val="00263468"/>
    <w:rsid w:val="00270408"/>
    <w:rsid w:val="002764C8"/>
    <w:rsid w:val="0027677F"/>
    <w:rsid w:val="0029173F"/>
    <w:rsid w:val="002933BF"/>
    <w:rsid w:val="00293D8E"/>
    <w:rsid w:val="002A6A1E"/>
    <w:rsid w:val="002A6F4B"/>
    <w:rsid w:val="002B5366"/>
    <w:rsid w:val="002D32CB"/>
    <w:rsid w:val="002D4F2D"/>
    <w:rsid w:val="002D62FA"/>
    <w:rsid w:val="002E27A3"/>
    <w:rsid w:val="002F0AB5"/>
    <w:rsid w:val="002F3A55"/>
    <w:rsid w:val="002F4161"/>
    <w:rsid w:val="002F76CD"/>
    <w:rsid w:val="003031FC"/>
    <w:rsid w:val="00306438"/>
    <w:rsid w:val="00320434"/>
    <w:rsid w:val="003419BE"/>
    <w:rsid w:val="00346544"/>
    <w:rsid w:val="0035133E"/>
    <w:rsid w:val="00353FB2"/>
    <w:rsid w:val="0036431C"/>
    <w:rsid w:val="00365CD9"/>
    <w:rsid w:val="00373B4C"/>
    <w:rsid w:val="00374544"/>
    <w:rsid w:val="00385612"/>
    <w:rsid w:val="003912A6"/>
    <w:rsid w:val="003941C7"/>
    <w:rsid w:val="003959F8"/>
    <w:rsid w:val="00397131"/>
    <w:rsid w:val="00397938"/>
    <w:rsid w:val="003A2BC7"/>
    <w:rsid w:val="003A4CDC"/>
    <w:rsid w:val="003B4183"/>
    <w:rsid w:val="003C0684"/>
    <w:rsid w:val="003E3EF3"/>
    <w:rsid w:val="003E7DD4"/>
    <w:rsid w:val="003F7DA5"/>
    <w:rsid w:val="00406F3A"/>
    <w:rsid w:val="004126FF"/>
    <w:rsid w:val="00421349"/>
    <w:rsid w:val="004275A8"/>
    <w:rsid w:val="0043098D"/>
    <w:rsid w:val="00433423"/>
    <w:rsid w:val="00441A0D"/>
    <w:rsid w:val="00442C6C"/>
    <w:rsid w:val="00444DC2"/>
    <w:rsid w:val="004477D6"/>
    <w:rsid w:val="00453E56"/>
    <w:rsid w:val="004603D8"/>
    <w:rsid w:val="00461FF5"/>
    <w:rsid w:val="00462D5A"/>
    <w:rsid w:val="00474CFE"/>
    <w:rsid w:val="00482969"/>
    <w:rsid w:val="004845F1"/>
    <w:rsid w:val="00491DE3"/>
    <w:rsid w:val="004A2618"/>
    <w:rsid w:val="004A36B2"/>
    <w:rsid w:val="004B1217"/>
    <w:rsid w:val="004C0C56"/>
    <w:rsid w:val="004D0B45"/>
    <w:rsid w:val="004D193A"/>
    <w:rsid w:val="004F2383"/>
    <w:rsid w:val="00516B27"/>
    <w:rsid w:val="00520A5F"/>
    <w:rsid w:val="005241B8"/>
    <w:rsid w:val="0053271C"/>
    <w:rsid w:val="00543B75"/>
    <w:rsid w:val="005548AE"/>
    <w:rsid w:val="00560520"/>
    <w:rsid w:val="00560BDB"/>
    <w:rsid w:val="00562BCD"/>
    <w:rsid w:val="0058536D"/>
    <w:rsid w:val="005877B0"/>
    <w:rsid w:val="005915BA"/>
    <w:rsid w:val="005B7B20"/>
    <w:rsid w:val="005C15E5"/>
    <w:rsid w:val="005C67CF"/>
    <w:rsid w:val="005E7BC4"/>
    <w:rsid w:val="005F61A7"/>
    <w:rsid w:val="00602425"/>
    <w:rsid w:val="00621195"/>
    <w:rsid w:val="00632B08"/>
    <w:rsid w:val="00636AE7"/>
    <w:rsid w:val="00640727"/>
    <w:rsid w:val="00647E1B"/>
    <w:rsid w:val="00663154"/>
    <w:rsid w:val="0066635A"/>
    <w:rsid w:val="00686F78"/>
    <w:rsid w:val="006A000D"/>
    <w:rsid w:val="006A517D"/>
    <w:rsid w:val="006A6959"/>
    <w:rsid w:val="006B2F80"/>
    <w:rsid w:val="006C65BE"/>
    <w:rsid w:val="006D7BC0"/>
    <w:rsid w:val="006E0B47"/>
    <w:rsid w:val="007012C0"/>
    <w:rsid w:val="0070778D"/>
    <w:rsid w:val="007123AE"/>
    <w:rsid w:val="0072642B"/>
    <w:rsid w:val="0072669D"/>
    <w:rsid w:val="00742177"/>
    <w:rsid w:val="00746423"/>
    <w:rsid w:val="00746732"/>
    <w:rsid w:val="00747FB7"/>
    <w:rsid w:val="00753EC4"/>
    <w:rsid w:val="0076341D"/>
    <w:rsid w:val="00773E18"/>
    <w:rsid w:val="007822BE"/>
    <w:rsid w:val="00786BB0"/>
    <w:rsid w:val="007911D1"/>
    <w:rsid w:val="00791836"/>
    <w:rsid w:val="007A461B"/>
    <w:rsid w:val="007A6375"/>
    <w:rsid w:val="007B1111"/>
    <w:rsid w:val="007B4E7C"/>
    <w:rsid w:val="007C221E"/>
    <w:rsid w:val="007C5D51"/>
    <w:rsid w:val="0081194D"/>
    <w:rsid w:val="00813796"/>
    <w:rsid w:val="00824F3E"/>
    <w:rsid w:val="0082609B"/>
    <w:rsid w:val="00830517"/>
    <w:rsid w:val="008309A7"/>
    <w:rsid w:val="008401C9"/>
    <w:rsid w:val="008465C3"/>
    <w:rsid w:val="00861B6C"/>
    <w:rsid w:val="00865F4D"/>
    <w:rsid w:val="00884909"/>
    <w:rsid w:val="00886E2B"/>
    <w:rsid w:val="00891D8B"/>
    <w:rsid w:val="008963D2"/>
    <w:rsid w:val="008A00CE"/>
    <w:rsid w:val="008A2B44"/>
    <w:rsid w:val="008A5E65"/>
    <w:rsid w:val="008D4C89"/>
    <w:rsid w:val="008F5810"/>
    <w:rsid w:val="00910891"/>
    <w:rsid w:val="00912D5E"/>
    <w:rsid w:val="0091548E"/>
    <w:rsid w:val="009172A2"/>
    <w:rsid w:val="00924806"/>
    <w:rsid w:val="00956215"/>
    <w:rsid w:val="00966074"/>
    <w:rsid w:val="0097374C"/>
    <w:rsid w:val="00977EEE"/>
    <w:rsid w:val="009B0E43"/>
    <w:rsid w:val="009B7524"/>
    <w:rsid w:val="009C393E"/>
    <w:rsid w:val="009D0AA4"/>
    <w:rsid w:val="009D2B57"/>
    <w:rsid w:val="009D2B82"/>
    <w:rsid w:val="009E6CA3"/>
    <w:rsid w:val="009E7CCA"/>
    <w:rsid w:val="009F0306"/>
    <w:rsid w:val="009F45C7"/>
    <w:rsid w:val="00A03345"/>
    <w:rsid w:val="00A035AC"/>
    <w:rsid w:val="00A12E90"/>
    <w:rsid w:val="00A13C9A"/>
    <w:rsid w:val="00A3181F"/>
    <w:rsid w:val="00A33A08"/>
    <w:rsid w:val="00A407B2"/>
    <w:rsid w:val="00A40F02"/>
    <w:rsid w:val="00A4782E"/>
    <w:rsid w:val="00A51805"/>
    <w:rsid w:val="00A539C4"/>
    <w:rsid w:val="00A562CF"/>
    <w:rsid w:val="00A57F72"/>
    <w:rsid w:val="00A717D9"/>
    <w:rsid w:val="00A72E53"/>
    <w:rsid w:val="00A910D5"/>
    <w:rsid w:val="00A94664"/>
    <w:rsid w:val="00A96E0B"/>
    <w:rsid w:val="00A96F72"/>
    <w:rsid w:val="00AA3EF5"/>
    <w:rsid w:val="00AB3F04"/>
    <w:rsid w:val="00AC4728"/>
    <w:rsid w:val="00AC6ADD"/>
    <w:rsid w:val="00AC7394"/>
    <w:rsid w:val="00AC76B8"/>
    <w:rsid w:val="00AD26B6"/>
    <w:rsid w:val="00AE6575"/>
    <w:rsid w:val="00B05768"/>
    <w:rsid w:val="00B07A03"/>
    <w:rsid w:val="00B158CA"/>
    <w:rsid w:val="00B2076C"/>
    <w:rsid w:val="00B23FFC"/>
    <w:rsid w:val="00B26D2E"/>
    <w:rsid w:val="00B27F86"/>
    <w:rsid w:val="00B555EA"/>
    <w:rsid w:val="00BB238C"/>
    <w:rsid w:val="00BB52DB"/>
    <w:rsid w:val="00BD2F31"/>
    <w:rsid w:val="00BD4AB8"/>
    <w:rsid w:val="00BE24D2"/>
    <w:rsid w:val="00BF0701"/>
    <w:rsid w:val="00C049E1"/>
    <w:rsid w:val="00C2429F"/>
    <w:rsid w:val="00C24AB0"/>
    <w:rsid w:val="00C451B5"/>
    <w:rsid w:val="00C5534E"/>
    <w:rsid w:val="00C634BD"/>
    <w:rsid w:val="00C83450"/>
    <w:rsid w:val="00C83E21"/>
    <w:rsid w:val="00C84D06"/>
    <w:rsid w:val="00C85684"/>
    <w:rsid w:val="00C85B80"/>
    <w:rsid w:val="00C913FB"/>
    <w:rsid w:val="00C92E58"/>
    <w:rsid w:val="00C96A50"/>
    <w:rsid w:val="00CA1710"/>
    <w:rsid w:val="00CC1E79"/>
    <w:rsid w:val="00CC1FDB"/>
    <w:rsid w:val="00CD1775"/>
    <w:rsid w:val="00CD1F82"/>
    <w:rsid w:val="00CD6649"/>
    <w:rsid w:val="00CD7255"/>
    <w:rsid w:val="00CE0DE3"/>
    <w:rsid w:val="00CE4B43"/>
    <w:rsid w:val="00CE4CF8"/>
    <w:rsid w:val="00CE7434"/>
    <w:rsid w:val="00CF03E1"/>
    <w:rsid w:val="00D00047"/>
    <w:rsid w:val="00D0266C"/>
    <w:rsid w:val="00D079F1"/>
    <w:rsid w:val="00D10417"/>
    <w:rsid w:val="00D10ABA"/>
    <w:rsid w:val="00D1595F"/>
    <w:rsid w:val="00D173C2"/>
    <w:rsid w:val="00D206C6"/>
    <w:rsid w:val="00D22F81"/>
    <w:rsid w:val="00D26AF5"/>
    <w:rsid w:val="00D33638"/>
    <w:rsid w:val="00D40A9A"/>
    <w:rsid w:val="00D4752F"/>
    <w:rsid w:val="00D70543"/>
    <w:rsid w:val="00D710C8"/>
    <w:rsid w:val="00D72746"/>
    <w:rsid w:val="00D8032C"/>
    <w:rsid w:val="00D904E6"/>
    <w:rsid w:val="00DA4DDA"/>
    <w:rsid w:val="00DA55EE"/>
    <w:rsid w:val="00DB1B06"/>
    <w:rsid w:val="00DB3834"/>
    <w:rsid w:val="00DE7AF4"/>
    <w:rsid w:val="00E035D9"/>
    <w:rsid w:val="00E2599E"/>
    <w:rsid w:val="00E319E8"/>
    <w:rsid w:val="00E53508"/>
    <w:rsid w:val="00E548B3"/>
    <w:rsid w:val="00E5670F"/>
    <w:rsid w:val="00E77127"/>
    <w:rsid w:val="00E91016"/>
    <w:rsid w:val="00E9421C"/>
    <w:rsid w:val="00E971E7"/>
    <w:rsid w:val="00EA42B5"/>
    <w:rsid w:val="00EB3794"/>
    <w:rsid w:val="00EC20B0"/>
    <w:rsid w:val="00EC3DEE"/>
    <w:rsid w:val="00EE198B"/>
    <w:rsid w:val="00EE5F2B"/>
    <w:rsid w:val="00EE7D0B"/>
    <w:rsid w:val="00EF7B73"/>
    <w:rsid w:val="00F01071"/>
    <w:rsid w:val="00F146BA"/>
    <w:rsid w:val="00F21B26"/>
    <w:rsid w:val="00F30FB9"/>
    <w:rsid w:val="00F3456E"/>
    <w:rsid w:val="00F45315"/>
    <w:rsid w:val="00F62D5A"/>
    <w:rsid w:val="00F8393F"/>
    <w:rsid w:val="00F8578D"/>
    <w:rsid w:val="00F8720F"/>
    <w:rsid w:val="00F957CA"/>
    <w:rsid w:val="00F9632A"/>
    <w:rsid w:val="00F97925"/>
    <w:rsid w:val="00FA2821"/>
    <w:rsid w:val="00FB5B15"/>
    <w:rsid w:val="00FC44B7"/>
    <w:rsid w:val="00FD2E80"/>
    <w:rsid w:val="00FE30E2"/>
    <w:rsid w:val="00FF3C0E"/>
    <w:rsid w:val="00FF44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21E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1C7"/>
    <w:pPr>
      <w:bidi/>
      <w:spacing w:line="360" w:lineRule="auto"/>
      <w:ind w:left="360"/>
      <w:contextualSpacing/>
      <w:jc w:val="both"/>
    </w:pPr>
    <w:rPr>
      <w:rFonts w:ascii="David" w:hAnsi="David" w:cs="David"/>
      <w:sz w:val="24"/>
      <w:szCs w:val="24"/>
    </w:rPr>
  </w:style>
  <w:style w:type="paragraph" w:styleId="1">
    <w:name w:val="heading 1"/>
    <w:basedOn w:val="a"/>
    <w:next w:val="a"/>
    <w:link w:val="10"/>
    <w:uiPriority w:val="9"/>
    <w:qFormat/>
    <w:rsid w:val="00F21B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21B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F21B26"/>
    <w:rPr>
      <w:rFonts w:asciiTheme="majorHAnsi" w:eastAsiaTheme="majorEastAsia" w:hAnsiTheme="majorHAnsi" w:cstheme="majorBidi"/>
      <w:color w:val="2E74B5" w:themeColor="accent1" w:themeShade="BF"/>
      <w:sz w:val="32"/>
      <w:szCs w:val="32"/>
    </w:rPr>
  </w:style>
  <w:style w:type="character" w:customStyle="1" w:styleId="20">
    <w:name w:val="כותרת 2 תו"/>
    <w:basedOn w:val="a0"/>
    <w:link w:val="2"/>
    <w:uiPriority w:val="9"/>
    <w:rsid w:val="00F21B26"/>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F21B26"/>
    <w:pPr>
      <w:ind w:left="720"/>
    </w:pPr>
  </w:style>
  <w:style w:type="character" w:styleId="a4">
    <w:name w:val="annotation reference"/>
    <w:basedOn w:val="a0"/>
    <w:uiPriority w:val="99"/>
    <w:semiHidden/>
    <w:unhideWhenUsed/>
    <w:rsid w:val="002E27A3"/>
    <w:rPr>
      <w:sz w:val="16"/>
      <w:szCs w:val="16"/>
    </w:rPr>
  </w:style>
  <w:style w:type="paragraph" w:styleId="a5">
    <w:name w:val="annotation text"/>
    <w:basedOn w:val="a"/>
    <w:link w:val="a6"/>
    <w:uiPriority w:val="99"/>
    <w:unhideWhenUsed/>
    <w:rsid w:val="002E27A3"/>
    <w:pPr>
      <w:spacing w:line="240" w:lineRule="auto"/>
    </w:pPr>
    <w:rPr>
      <w:sz w:val="20"/>
      <w:szCs w:val="20"/>
    </w:rPr>
  </w:style>
  <w:style w:type="character" w:customStyle="1" w:styleId="a6">
    <w:name w:val="טקסט הערה תו"/>
    <w:basedOn w:val="a0"/>
    <w:link w:val="a5"/>
    <w:uiPriority w:val="99"/>
    <w:rsid w:val="002E27A3"/>
    <w:rPr>
      <w:sz w:val="20"/>
      <w:szCs w:val="20"/>
    </w:rPr>
  </w:style>
  <w:style w:type="paragraph" w:styleId="a7">
    <w:name w:val="annotation subject"/>
    <w:basedOn w:val="a5"/>
    <w:next w:val="a5"/>
    <w:link w:val="a8"/>
    <w:uiPriority w:val="99"/>
    <w:semiHidden/>
    <w:unhideWhenUsed/>
    <w:rsid w:val="002E27A3"/>
    <w:rPr>
      <w:b/>
      <w:bCs/>
    </w:rPr>
  </w:style>
  <w:style w:type="character" w:customStyle="1" w:styleId="a8">
    <w:name w:val="נושא הערה תו"/>
    <w:basedOn w:val="a6"/>
    <w:link w:val="a7"/>
    <w:uiPriority w:val="99"/>
    <w:semiHidden/>
    <w:rsid w:val="002E27A3"/>
    <w:rPr>
      <w:b/>
      <w:bCs/>
      <w:sz w:val="20"/>
      <w:szCs w:val="20"/>
    </w:rPr>
  </w:style>
  <w:style w:type="paragraph" w:styleId="a9">
    <w:name w:val="Balloon Text"/>
    <w:basedOn w:val="a"/>
    <w:link w:val="aa"/>
    <w:uiPriority w:val="99"/>
    <w:semiHidden/>
    <w:unhideWhenUsed/>
    <w:rsid w:val="002E27A3"/>
    <w:pPr>
      <w:spacing w:after="0" w:line="240" w:lineRule="auto"/>
    </w:pPr>
    <w:rPr>
      <w:rFonts w:ascii="Tahoma" w:hAnsi="Tahoma" w:cs="Tahoma"/>
      <w:sz w:val="18"/>
      <w:szCs w:val="18"/>
    </w:rPr>
  </w:style>
  <w:style w:type="character" w:customStyle="1" w:styleId="aa">
    <w:name w:val="טקסט בלונים תו"/>
    <w:basedOn w:val="a0"/>
    <w:link w:val="a9"/>
    <w:uiPriority w:val="99"/>
    <w:semiHidden/>
    <w:rsid w:val="002E27A3"/>
    <w:rPr>
      <w:rFonts w:ascii="Tahoma" w:hAnsi="Tahoma" w:cs="Tahoma"/>
      <w:sz w:val="18"/>
      <w:szCs w:val="18"/>
    </w:rPr>
  </w:style>
  <w:style w:type="paragraph" w:styleId="ab">
    <w:name w:val="header"/>
    <w:basedOn w:val="a"/>
    <w:link w:val="ac"/>
    <w:uiPriority w:val="99"/>
    <w:unhideWhenUsed/>
    <w:rsid w:val="00442C6C"/>
    <w:pPr>
      <w:tabs>
        <w:tab w:val="center" w:pos="4153"/>
        <w:tab w:val="right" w:pos="8306"/>
      </w:tabs>
      <w:spacing w:after="0" w:line="240" w:lineRule="auto"/>
    </w:pPr>
  </w:style>
  <w:style w:type="character" w:customStyle="1" w:styleId="ac">
    <w:name w:val="כותרת עליונה תו"/>
    <w:basedOn w:val="a0"/>
    <w:link w:val="ab"/>
    <w:uiPriority w:val="99"/>
    <w:rsid w:val="00442C6C"/>
  </w:style>
  <w:style w:type="paragraph" w:styleId="ad">
    <w:name w:val="footer"/>
    <w:basedOn w:val="a"/>
    <w:link w:val="ae"/>
    <w:uiPriority w:val="99"/>
    <w:unhideWhenUsed/>
    <w:rsid w:val="00442C6C"/>
    <w:pPr>
      <w:tabs>
        <w:tab w:val="center" w:pos="4153"/>
        <w:tab w:val="right" w:pos="8306"/>
      </w:tabs>
      <w:spacing w:after="0" w:line="240" w:lineRule="auto"/>
    </w:pPr>
  </w:style>
  <w:style w:type="character" w:customStyle="1" w:styleId="ae">
    <w:name w:val="כותרת תחתונה תו"/>
    <w:basedOn w:val="a0"/>
    <w:link w:val="ad"/>
    <w:uiPriority w:val="99"/>
    <w:rsid w:val="00442C6C"/>
  </w:style>
  <w:style w:type="paragraph" w:styleId="af">
    <w:name w:val="footnote text"/>
    <w:basedOn w:val="a"/>
    <w:link w:val="af0"/>
    <w:uiPriority w:val="99"/>
    <w:unhideWhenUsed/>
    <w:rsid w:val="00A72E53"/>
    <w:pPr>
      <w:spacing w:after="0" w:line="240" w:lineRule="auto"/>
    </w:pPr>
    <w:rPr>
      <w:sz w:val="20"/>
      <w:szCs w:val="20"/>
    </w:rPr>
  </w:style>
  <w:style w:type="character" w:customStyle="1" w:styleId="af0">
    <w:name w:val="טקסט הערת שוליים תו"/>
    <w:basedOn w:val="a0"/>
    <w:link w:val="af"/>
    <w:uiPriority w:val="99"/>
    <w:rsid w:val="00A72E53"/>
    <w:rPr>
      <w:sz w:val="20"/>
      <w:szCs w:val="20"/>
    </w:rPr>
  </w:style>
  <w:style w:type="character" w:styleId="af1">
    <w:name w:val="footnote reference"/>
    <w:basedOn w:val="a0"/>
    <w:uiPriority w:val="99"/>
    <w:semiHidden/>
    <w:unhideWhenUsed/>
    <w:rsid w:val="00A72E53"/>
    <w:rPr>
      <w:vertAlign w:val="superscript"/>
    </w:rPr>
  </w:style>
  <w:style w:type="paragraph" w:styleId="af2">
    <w:name w:val="Revision"/>
    <w:hidden/>
    <w:uiPriority w:val="99"/>
    <w:semiHidden/>
    <w:rsid w:val="00CD6649"/>
    <w:pPr>
      <w:spacing w:after="0" w:line="240" w:lineRule="auto"/>
    </w:pPr>
    <w:rPr>
      <w:rFonts w:ascii="David" w:hAnsi="David" w:cs="David"/>
      <w:sz w:val="24"/>
      <w:szCs w:val="24"/>
    </w:rPr>
  </w:style>
  <w:style w:type="character" w:styleId="af3">
    <w:name w:val="Strong"/>
    <w:basedOn w:val="a0"/>
    <w:uiPriority w:val="22"/>
    <w:qFormat/>
    <w:rsid w:val="00746423"/>
    <w:rPr>
      <w:rFonts w:ascii="David" w:hAnsi="David" w:cs="David"/>
      <w:color w:val="auto"/>
    </w:rPr>
  </w:style>
  <w:style w:type="paragraph" w:styleId="af4">
    <w:name w:val="No Spacing"/>
    <w:uiPriority w:val="1"/>
    <w:qFormat/>
    <w:rsid w:val="007B1111"/>
    <w:pPr>
      <w:bidi/>
      <w:spacing w:after="0" w:line="240" w:lineRule="auto"/>
      <w:ind w:left="360"/>
      <w:contextualSpacing/>
      <w:jc w:val="both"/>
    </w:pPr>
    <w:rPr>
      <w:rFonts w:ascii="David" w:hAnsi="David"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40720">
      <w:bodyDiv w:val="1"/>
      <w:marLeft w:val="0"/>
      <w:marRight w:val="0"/>
      <w:marTop w:val="0"/>
      <w:marBottom w:val="0"/>
      <w:divBdr>
        <w:top w:val="none" w:sz="0" w:space="0" w:color="auto"/>
        <w:left w:val="none" w:sz="0" w:space="0" w:color="auto"/>
        <w:bottom w:val="none" w:sz="0" w:space="0" w:color="auto"/>
        <w:right w:val="none" w:sz="0" w:space="0" w:color="auto"/>
      </w:divBdr>
    </w:div>
    <w:div w:id="112139946">
      <w:bodyDiv w:val="1"/>
      <w:marLeft w:val="0"/>
      <w:marRight w:val="0"/>
      <w:marTop w:val="0"/>
      <w:marBottom w:val="0"/>
      <w:divBdr>
        <w:top w:val="none" w:sz="0" w:space="0" w:color="auto"/>
        <w:left w:val="none" w:sz="0" w:space="0" w:color="auto"/>
        <w:bottom w:val="none" w:sz="0" w:space="0" w:color="auto"/>
        <w:right w:val="none" w:sz="0" w:space="0" w:color="auto"/>
      </w:divBdr>
    </w:div>
    <w:div w:id="117069287">
      <w:bodyDiv w:val="1"/>
      <w:marLeft w:val="0"/>
      <w:marRight w:val="0"/>
      <w:marTop w:val="0"/>
      <w:marBottom w:val="0"/>
      <w:divBdr>
        <w:top w:val="none" w:sz="0" w:space="0" w:color="auto"/>
        <w:left w:val="none" w:sz="0" w:space="0" w:color="auto"/>
        <w:bottom w:val="none" w:sz="0" w:space="0" w:color="auto"/>
        <w:right w:val="none" w:sz="0" w:space="0" w:color="auto"/>
      </w:divBdr>
    </w:div>
    <w:div w:id="204221877">
      <w:bodyDiv w:val="1"/>
      <w:marLeft w:val="0"/>
      <w:marRight w:val="0"/>
      <w:marTop w:val="0"/>
      <w:marBottom w:val="0"/>
      <w:divBdr>
        <w:top w:val="none" w:sz="0" w:space="0" w:color="auto"/>
        <w:left w:val="none" w:sz="0" w:space="0" w:color="auto"/>
        <w:bottom w:val="none" w:sz="0" w:space="0" w:color="auto"/>
        <w:right w:val="none" w:sz="0" w:space="0" w:color="auto"/>
      </w:divBdr>
    </w:div>
    <w:div w:id="282538330">
      <w:bodyDiv w:val="1"/>
      <w:marLeft w:val="0"/>
      <w:marRight w:val="0"/>
      <w:marTop w:val="0"/>
      <w:marBottom w:val="0"/>
      <w:divBdr>
        <w:top w:val="none" w:sz="0" w:space="0" w:color="auto"/>
        <w:left w:val="none" w:sz="0" w:space="0" w:color="auto"/>
        <w:bottom w:val="none" w:sz="0" w:space="0" w:color="auto"/>
        <w:right w:val="none" w:sz="0" w:space="0" w:color="auto"/>
      </w:divBdr>
    </w:div>
    <w:div w:id="618998902">
      <w:bodyDiv w:val="1"/>
      <w:marLeft w:val="0"/>
      <w:marRight w:val="0"/>
      <w:marTop w:val="0"/>
      <w:marBottom w:val="0"/>
      <w:divBdr>
        <w:top w:val="none" w:sz="0" w:space="0" w:color="auto"/>
        <w:left w:val="none" w:sz="0" w:space="0" w:color="auto"/>
        <w:bottom w:val="none" w:sz="0" w:space="0" w:color="auto"/>
        <w:right w:val="none" w:sz="0" w:space="0" w:color="auto"/>
      </w:divBdr>
    </w:div>
    <w:div w:id="686057915">
      <w:bodyDiv w:val="1"/>
      <w:marLeft w:val="0"/>
      <w:marRight w:val="0"/>
      <w:marTop w:val="0"/>
      <w:marBottom w:val="0"/>
      <w:divBdr>
        <w:top w:val="none" w:sz="0" w:space="0" w:color="auto"/>
        <w:left w:val="none" w:sz="0" w:space="0" w:color="auto"/>
        <w:bottom w:val="none" w:sz="0" w:space="0" w:color="auto"/>
        <w:right w:val="none" w:sz="0" w:space="0" w:color="auto"/>
      </w:divBdr>
    </w:div>
    <w:div w:id="712579068">
      <w:bodyDiv w:val="1"/>
      <w:marLeft w:val="0"/>
      <w:marRight w:val="0"/>
      <w:marTop w:val="0"/>
      <w:marBottom w:val="0"/>
      <w:divBdr>
        <w:top w:val="none" w:sz="0" w:space="0" w:color="auto"/>
        <w:left w:val="none" w:sz="0" w:space="0" w:color="auto"/>
        <w:bottom w:val="none" w:sz="0" w:space="0" w:color="auto"/>
        <w:right w:val="none" w:sz="0" w:space="0" w:color="auto"/>
      </w:divBdr>
    </w:div>
    <w:div w:id="762992116">
      <w:bodyDiv w:val="1"/>
      <w:marLeft w:val="0"/>
      <w:marRight w:val="0"/>
      <w:marTop w:val="0"/>
      <w:marBottom w:val="0"/>
      <w:divBdr>
        <w:top w:val="none" w:sz="0" w:space="0" w:color="auto"/>
        <w:left w:val="none" w:sz="0" w:space="0" w:color="auto"/>
        <w:bottom w:val="none" w:sz="0" w:space="0" w:color="auto"/>
        <w:right w:val="none" w:sz="0" w:space="0" w:color="auto"/>
      </w:divBdr>
    </w:div>
    <w:div w:id="764496660">
      <w:bodyDiv w:val="1"/>
      <w:marLeft w:val="0"/>
      <w:marRight w:val="0"/>
      <w:marTop w:val="0"/>
      <w:marBottom w:val="0"/>
      <w:divBdr>
        <w:top w:val="none" w:sz="0" w:space="0" w:color="auto"/>
        <w:left w:val="none" w:sz="0" w:space="0" w:color="auto"/>
        <w:bottom w:val="none" w:sz="0" w:space="0" w:color="auto"/>
        <w:right w:val="none" w:sz="0" w:space="0" w:color="auto"/>
      </w:divBdr>
    </w:div>
    <w:div w:id="955525902">
      <w:bodyDiv w:val="1"/>
      <w:marLeft w:val="0"/>
      <w:marRight w:val="0"/>
      <w:marTop w:val="0"/>
      <w:marBottom w:val="0"/>
      <w:divBdr>
        <w:top w:val="none" w:sz="0" w:space="0" w:color="auto"/>
        <w:left w:val="none" w:sz="0" w:space="0" w:color="auto"/>
        <w:bottom w:val="none" w:sz="0" w:space="0" w:color="auto"/>
        <w:right w:val="none" w:sz="0" w:space="0" w:color="auto"/>
      </w:divBdr>
    </w:div>
    <w:div w:id="975838802">
      <w:bodyDiv w:val="1"/>
      <w:marLeft w:val="0"/>
      <w:marRight w:val="0"/>
      <w:marTop w:val="0"/>
      <w:marBottom w:val="0"/>
      <w:divBdr>
        <w:top w:val="none" w:sz="0" w:space="0" w:color="auto"/>
        <w:left w:val="none" w:sz="0" w:space="0" w:color="auto"/>
        <w:bottom w:val="none" w:sz="0" w:space="0" w:color="auto"/>
        <w:right w:val="none" w:sz="0" w:space="0" w:color="auto"/>
      </w:divBdr>
    </w:div>
    <w:div w:id="1085565464">
      <w:bodyDiv w:val="1"/>
      <w:marLeft w:val="0"/>
      <w:marRight w:val="0"/>
      <w:marTop w:val="0"/>
      <w:marBottom w:val="0"/>
      <w:divBdr>
        <w:top w:val="none" w:sz="0" w:space="0" w:color="auto"/>
        <w:left w:val="none" w:sz="0" w:space="0" w:color="auto"/>
        <w:bottom w:val="none" w:sz="0" w:space="0" w:color="auto"/>
        <w:right w:val="none" w:sz="0" w:space="0" w:color="auto"/>
      </w:divBdr>
    </w:div>
    <w:div w:id="1097210071">
      <w:bodyDiv w:val="1"/>
      <w:marLeft w:val="0"/>
      <w:marRight w:val="0"/>
      <w:marTop w:val="0"/>
      <w:marBottom w:val="0"/>
      <w:divBdr>
        <w:top w:val="none" w:sz="0" w:space="0" w:color="auto"/>
        <w:left w:val="none" w:sz="0" w:space="0" w:color="auto"/>
        <w:bottom w:val="none" w:sz="0" w:space="0" w:color="auto"/>
        <w:right w:val="none" w:sz="0" w:space="0" w:color="auto"/>
      </w:divBdr>
    </w:div>
    <w:div w:id="1115367493">
      <w:bodyDiv w:val="1"/>
      <w:marLeft w:val="0"/>
      <w:marRight w:val="0"/>
      <w:marTop w:val="0"/>
      <w:marBottom w:val="0"/>
      <w:divBdr>
        <w:top w:val="none" w:sz="0" w:space="0" w:color="auto"/>
        <w:left w:val="none" w:sz="0" w:space="0" w:color="auto"/>
        <w:bottom w:val="none" w:sz="0" w:space="0" w:color="auto"/>
        <w:right w:val="none" w:sz="0" w:space="0" w:color="auto"/>
      </w:divBdr>
      <w:divsChild>
        <w:div w:id="1706128774">
          <w:marLeft w:val="0"/>
          <w:marRight w:val="274"/>
          <w:marTop w:val="180"/>
          <w:marBottom w:val="0"/>
          <w:divBdr>
            <w:top w:val="none" w:sz="0" w:space="0" w:color="auto"/>
            <w:left w:val="none" w:sz="0" w:space="0" w:color="auto"/>
            <w:bottom w:val="none" w:sz="0" w:space="0" w:color="auto"/>
            <w:right w:val="none" w:sz="0" w:space="0" w:color="auto"/>
          </w:divBdr>
        </w:div>
      </w:divsChild>
    </w:div>
    <w:div w:id="1164052524">
      <w:bodyDiv w:val="1"/>
      <w:marLeft w:val="0"/>
      <w:marRight w:val="0"/>
      <w:marTop w:val="0"/>
      <w:marBottom w:val="0"/>
      <w:divBdr>
        <w:top w:val="none" w:sz="0" w:space="0" w:color="auto"/>
        <w:left w:val="none" w:sz="0" w:space="0" w:color="auto"/>
        <w:bottom w:val="none" w:sz="0" w:space="0" w:color="auto"/>
        <w:right w:val="none" w:sz="0" w:space="0" w:color="auto"/>
      </w:divBdr>
      <w:divsChild>
        <w:div w:id="1340498936">
          <w:marLeft w:val="0"/>
          <w:marRight w:val="274"/>
          <w:marTop w:val="180"/>
          <w:marBottom w:val="0"/>
          <w:divBdr>
            <w:top w:val="none" w:sz="0" w:space="0" w:color="auto"/>
            <w:left w:val="none" w:sz="0" w:space="0" w:color="auto"/>
            <w:bottom w:val="none" w:sz="0" w:space="0" w:color="auto"/>
            <w:right w:val="none" w:sz="0" w:space="0" w:color="auto"/>
          </w:divBdr>
        </w:div>
      </w:divsChild>
    </w:div>
    <w:div w:id="1221356904">
      <w:bodyDiv w:val="1"/>
      <w:marLeft w:val="0"/>
      <w:marRight w:val="0"/>
      <w:marTop w:val="0"/>
      <w:marBottom w:val="0"/>
      <w:divBdr>
        <w:top w:val="none" w:sz="0" w:space="0" w:color="auto"/>
        <w:left w:val="none" w:sz="0" w:space="0" w:color="auto"/>
        <w:bottom w:val="none" w:sz="0" w:space="0" w:color="auto"/>
        <w:right w:val="none" w:sz="0" w:space="0" w:color="auto"/>
      </w:divBdr>
    </w:div>
    <w:div w:id="1249316389">
      <w:bodyDiv w:val="1"/>
      <w:marLeft w:val="0"/>
      <w:marRight w:val="0"/>
      <w:marTop w:val="0"/>
      <w:marBottom w:val="0"/>
      <w:divBdr>
        <w:top w:val="none" w:sz="0" w:space="0" w:color="auto"/>
        <w:left w:val="none" w:sz="0" w:space="0" w:color="auto"/>
        <w:bottom w:val="none" w:sz="0" w:space="0" w:color="auto"/>
        <w:right w:val="none" w:sz="0" w:space="0" w:color="auto"/>
      </w:divBdr>
    </w:div>
    <w:div w:id="1276862638">
      <w:bodyDiv w:val="1"/>
      <w:marLeft w:val="0"/>
      <w:marRight w:val="0"/>
      <w:marTop w:val="0"/>
      <w:marBottom w:val="0"/>
      <w:divBdr>
        <w:top w:val="none" w:sz="0" w:space="0" w:color="auto"/>
        <w:left w:val="none" w:sz="0" w:space="0" w:color="auto"/>
        <w:bottom w:val="none" w:sz="0" w:space="0" w:color="auto"/>
        <w:right w:val="none" w:sz="0" w:space="0" w:color="auto"/>
      </w:divBdr>
    </w:div>
    <w:div w:id="1387989012">
      <w:bodyDiv w:val="1"/>
      <w:marLeft w:val="0"/>
      <w:marRight w:val="0"/>
      <w:marTop w:val="0"/>
      <w:marBottom w:val="0"/>
      <w:divBdr>
        <w:top w:val="none" w:sz="0" w:space="0" w:color="auto"/>
        <w:left w:val="none" w:sz="0" w:space="0" w:color="auto"/>
        <w:bottom w:val="none" w:sz="0" w:space="0" w:color="auto"/>
        <w:right w:val="none" w:sz="0" w:space="0" w:color="auto"/>
      </w:divBdr>
    </w:div>
    <w:div w:id="1404723270">
      <w:bodyDiv w:val="1"/>
      <w:marLeft w:val="0"/>
      <w:marRight w:val="0"/>
      <w:marTop w:val="0"/>
      <w:marBottom w:val="0"/>
      <w:divBdr>
        <w:top w:val="none" w:sz="0" w:space="0" w:color="auto"/>
        <w:left w:val="none" w:sz="0" w:space="0" w:color="auto"/>
        <w:bottom w:val="none" w:sz="0" w:space="0" w:color="auto"/>
        <w:right w:val="none" w:sz="0" w:space="0" w:color="auto"/>
      </w:divBdr>
    </w:div>
    <w:div w:id="1449859241">
      <w:bodyDiv w:val="1"/>
      <w:marLeft w:val="0"/>
      <w:marRight w:val="0"/>
      <w:marTop w:val="0"/>
      <w:marBottom w:val="0"/>
      <w:divBdr>
        <w:top w:val="none" w:sz="0" w:space="0" w:color="auto"/>
        <w:left w:val="none" w:sz="0" w:space="0" w:color="auto"/>
        <w:bottom w:val="none" w:sz="0" w:space="0" w:color="auto"/>
        <w:right w:val="none" w:sz="0" w:space="0" w:color="auto"/>
      </w:divBdr>
    </w:div>
    <w:div w:id="1460760196">
      <w:bodyDiv w:val="1"/>
      <w:marLeft w:val="0"/>
      <w:marRight w:val="0"/>
      <w:marTop w:val="0"/>
      <w:marBottom w:val="0"/>
      <w:divBdr>
        <w:top w:val="none" w:sz="0" w:space="0" w:color="auto"/>
        <w:left w:val="none" w:sz="0" w:space="0" w:color="auto"/>
        <w:bottom w:val="none" w:sz="0" w:space="0" w:color="auto"/>
        <w:right w:val="none" w:sz="0" w:space="0" w:color="auto"/>
      </w:divBdr>
    </w:div>
    <w:div w:id="1460953843">
      <w:bodyDiv w:val="1"/>
      <w:marLeft w:val="0"/>
      <w:marRight w:val="0"/>
      <w:marTop w:val="0"/>
      <w:marBottom w:val="0"/>
      <w:divBdr>
        <w:top w:val="none" w:sz="0" w:space="0" w:color="auto"/>
        <w:left w:val="none" w:sz="0" w:space="0" w:color="auto"/>
        <w:bottom w:val="none" w:sz="0" w:space="0" w:color="auto"/>
        <w:right w:val="none" w:sz="0" w:space="0" w:color="auto"/>
      </w:divBdr>
    </w:div>
    <w:div w:id="1513957545">
      <w:bodyDiv w:val="1"/>
      <w:marLeft w:val="0"/>
      <w:marRight w:val="0"/>
      <w:marTop w:val="0"/>
      <w:marBottom w:val="0"/>
      <w:divBdr>
        <w:top w:val="none" w:sz="0" w:space="0" w:color="auto"/>
        <w:left w:val="none" w:sz="0" w:space="0" w:color="auto"/>
        <w:bottom w:val="none" w:sz="0" w:space="0" w:color="auto"/>
        <w:right w:val="none" w:sz="0" w:space="0" w:color="auto"/>
      </w:divBdr>
    </w:div>
    <w:div w:id="1734352682">
      <w:bodyDiv w:val="1"/>
      <w:marLeft w:val="0"/>
      <w:marRight w:val="0"/>
      <w:marTop w:val="0"/>
      <w:marBottom w:val="0"/>
      <w:divBdr>
        <w:top w:val="none" w:sz="0" w:space="0" w:color="auto"/>
        <w:left w:val="none" w:sz="0" w:space="0" w:color="auto"/>
        <w:bottom w:val="none" w:sz="0" w:space="0" w:color="auto"/>
        <w:right w:val="none" w:sz="0" w:space="0" w:color="auto"/>
      </w:divBdr>
    </w:div>
    <w:div w:id="1754929525">
      <w:bodyDiv w:val="1"/>
      <w:marLeft w:val="0"/>
      <w:marRight w:val="0"/>
      <w:marTop w:val="0"/>
      <w:marBottom w:val="0"/>
      <w:divBdr>
        <w:top w:val="none" w:sz="0" w:space="0" w:color="auto"/>
        <w:left w:val="none" w:sz="0" w:space="0" w:color="auto"/>
        <w:bottom w:val="none" w:sz="0" w:space="0" w:color="auto"/>
        <w:right w:val="none" w:sz="0" w:space="0" w:color="auto"/>
      </w:divBdr>
    </w:div>
    <w:div w:id="1870333719">
      <w:bodyDiv w:val="1"/>
      <w:marLeft w:val="0"/>
      <w:marRight w:val="0"/>
      <w:marTop w:val="0"/>
      <w:marBottom w:val="0"/>
      <w:divBdr>
        <w:top w:val="none" w:sz="0" w:space="0" w:color="auto"/>
        <w:left w:val="none" w:sz="0" w:space="0" w:color="auto"/>
        <w:bottom w:val="none" w:sz="0" w:space="0" w:color="auto"/>
        <w:right w:val="none" w:sz="0" w:space="0" w:color="auto"/>
      </w:divBdr>
    </w:div>
    <w:div w:id="1887570720">
      <w:bodyDiv w:val="1"/>
      <w:marLeft w:val="0"/>
      <w:marRight w:val="0"/>
      <w:marTop w:val="0"/>
      <w:marBottom w:val="0"/>
      <w:divBdr>
        <w:top w:val="none" w:sz="0" w:space="0" w:color="auto"/>
        <w:left w:val="none" w:sz="0" w:space="0" w:color="auto"/>
        <w:bottom w:val="none" w:sz="0" w:space="0" w:color="auto"/>
        <w:right w:val="none" w:sz="0" w:space="0" w:color="auto"/>
      </w:divBdr>
    </w:div>
    <w:div w:id="1917082651">
      <w:bodyDiv w:val="1"/>
      <w:marLeft w:val="0"/>
      <w:marRight w:val="0"/>
      <w:marTop w:val="0"/>
      <w:marBottom w:val="0"/>
      <w:divBdr>
        <w:top w:val="none" w:sz="0" w:space="0" w:color="auto"/>
        <w:left w:val="none" w:sz="0" w:space="0" w:color="auto"/>
        <w:bottom w:val="none" w:sz="0" w:space="0" w:color="auto"/>
        <w:right w:val="none" w:sz="0" w:space="0" w:color="auto"/>
      </w:divBdr>
    </w:div>
    <w:div w:id="1958102121">
      <w:bodyDiv w:val="1"/>
      <w:marLeft w:val="0"/>
      <w:marRight w:val="0"/>
      <w:marTop w:val="0"/>
      <w:marBottom w:val="0"/>
      <w:divBdr>
        <w:top w:val="none" w:sz="0" w:space="0" w:color="auto"/>
        <w:left w:val="none" w:sz="0" w:space="0" w:color="auto"/>
        <w:bottom w:val="none" w:sz="0" w:space="0" w:color="auto"/>
        <w:right w:val="none" w:sz="0" w:space="0" w:color="auto"/>
      </w:divBdr>
    </w:div>
    <w:div w:id="2035425152">
      <w:bodyDiv w:val="1"/>
      <w:marLeft w:val="0"/>
      <w:marRight w:val="0"/>
      <w:marTop w:val="0"/>
      <w:marBottom w:val="0"/>
      <w:divBdr>
        <w:top w:val="none" w:sz="0" w:space="0" w:color="auto"/>
        <w:left w:val="none" w:sz="0" w:space="0" w:color="auto"/>
        <w:bottom w:val="none" w:sz="0" w:space="0" w:color="auto"/>
        <w:right w:val="none" w:sz="0" w:space="0" w:color="auto"/>
      </w:divBdr>
    </w:div>
    <w:div w:id="2064937478">
      <w:bodyDiv w:val="1"/>
      <w:marLeft w:val="0"/>
      <w:marRight w:val="0"/>
      <w:marTop w:val="0"/>
      <w:marBottom w:val="0"/>
      <w:divBdr>
        <w:top w:val="none" w:sz="0" w:space="0" w:color="auto"/>
        <w:left w:val="none" w:sz="0" w:space="0" w:color="auto"/>
        <w:bottom w:val="none" w:sz="0" w:space="0" w:color="auto"/>
        <w:right w:val="none" w:sz="0" w:space="0" w:color="auto"/>
      </w:divBdr>
      <w:divsChild>
        <w:div w:id="1995332361">
          <w:marLeft w:val="0"/>
          <w:marRight w:val="274"/>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E0461-D091-4176-8337-AE9965111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1877</Words>
  <Characters>9388</Characters>
  <Application>Microsoft Office Word</Application>
  <DocSecurity>0</DocSecurity>
  <Lines>78</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2023-12-10T09:01:00Z</dcterms:created>
  <dcterms:modified xsi:type="dcterms:W3CDTF">2023-12-10T10:28:00Z</dcterms:modified>
</cp:coreProperties>
</file>