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21"/>
        <w:bidiVisual/>
        <w:tblW w:w="10991" w:type="dxa"/>
        <w:tblLayout w:type="fixed"/>
        <w:tblLook w:val="0000" w:firstRow="0" w:lastRow="0" w:firstColumn="0" w:lastColumn="0" w:noHBand="0" w:noVBand="0"/>
      </w:tblPr>
      <w:tblGrid>
        <w:gridCol w:w="3404"/>
        <w:gridCol w:w="4182"/>
        <w:gridCol w:w="3405"/>
      </w:tblGrid>
      <w:tr w:rsidR="00565D5A" w:rsidRPr="00DF107C" w14:paraId="1D28F3A7" w14:textId="77777777" w:rsidTr="00A47FC3">
        <w:trPr>
          <w:trHeight w:val="1495"/>
        </w:trPr>
        <w:tc>
          <w:tcPr>
            <w:tcW w:w="3404" w:type="dxa"/>
            <w:tcBorders>
              <w:top w:val="nil"/>
              <w:left w:val="nil"/>
              <w:bottom w:val="nil"/>
              <w:right w:val="nil"/>
            </w:tcBorders>
            <w:vAlign w:val="center"/>
          </w:tcPr>
          <w:p w14:paraId="063C7DCE" w14:textId="77777777" w:rsidR="00565D5A" w:rsidRPr="00520BB4" w:rsidRDefault="00565D5A" w:rsidP="00565D5A">
            <w:pPr>
              <w:spacing w:line="360" w:lineRule="auto"/>
              <w:jc w:val="center"/>
              <w:rPr>
                <w:rFonts w:cs="David"/>
                <w:b/>
                <w:bCs/>
                <w:sz w:val="28"/>
                <w:szCs w:val="28"/>
                <w:rtl/>
              </w:rPr>
            </w:pPr>
            <w:r w:rsidRPr="00520BB4">
              <w:rPr>
                <w:rFonts w:cs="David"/>
                <w:b/>
                <w:bCs/>
                <w:sz w:val="28"/>
                <w:szCs w:val="28"/>
                <w:rtl/>
              </w:rPr>
              <w:t>בנ</w:t>
            </w:r>
            <w:r w:rsidRPr="00520BB4">
              <w:rPr>
                <w:rFonts w:cs="David" w:hint="cs"/>
                <w:b/>
                <w:bCs/>
                <w:sz w:val="28"/>
                <w:szCs w:val="28"/>
                <w:rtl/>
              </w:rPr>
              <w:t xml:space="preserve">ק </w:t>
            </w:r>
            <w:r w:rsidRPr="00520BB4">
              <w:rPr>
                <w:rFonts w:cs="David"/>
                <w:b/>
                <w:bCs/>
                <w:sz w:val="28"/>
                <w:szCs w:val="28"/>
                <w:rtl/>
              </w:rPr>
              <w:t>יש</w:t>
            </w:r>
            <w:r w:rsidRPr="00520BB4">
              <w:rPr>
                <w:rFonts w:cs="David" w:hint="cs"/>
                <w:b/>
                <w:bCs/>
                <w:sz w:val="28"/>
                <w:szCs w:val="28"/>
                <w:rtl/>
              </w:rPr>
              <w:t>ראל</w:t>
            </w:r>
          </w:p>
          <w:p w14:paraId="59B30B1F" w14:textId="77777777" w:rsidR="00565D5A" w:rsidRDefault="00565D5A" w:rsidP="00565D5A">
            <w:pPr>
              <w:spacing w:line="360" w:lineRule="auto"/>
              <w:ind w:right="-101"/>
              <w:jc w:val="center"/>
              <w:rPr>
                <w:sz w:val="24"/>
                <w:szCs w:val="24"/>
              </w:rPr>
            </w:pPr>
            <w:r w:rsidRPr="00520BB4">
              <w:rPr>
                <w:rFonts w:cs="David"/>
                <w:sz w:val="24"/>
                <w:szCs w:val="24"/>
                <w:rtl/>
              </w:rPr>
              <w:t>דו</w:t>
            </w:r>
            <w:r w:rsidRPr="00520BB4">
              <w:rPr>
                <w:rFonts w:cs="David" w:hint="cs"/>
                <w:sz w:val="24"/>
                <w:szCs w:val="24"/>
                <w:rtl/>
              </w:rPr>
              <w:t>בר</w:t>
            </w:r>
            <w:r w:rsidRPr="00520BB4">
              <w:rPr>
                <w:rFonts w:cs="David"/>
                <w:sz w:val="24"/>
                <w:szCs w:val="24"/>
                <w:rtl/>
              </w:rPr>
              <w:t>ות</w:t>
            </w:r>
            <w:r w:rsidRPr="00520BB4">
              <w:rPr>
                <w:rFonts w:cs="David" w:hint="cs"/>
                <w:sz w:val="24"/>
                <w:szCs w:val="24"/>
                <w:rtl/>
              </w:rPr>
              <w:t xml:space="preserve"> והסברה כלכלית</w:t>
            </w:r>
          </w:p>
        </w:tc>
        <w:tc>
          <w:tcPr>
            <w:tcW w:w="4182" w:type="dxa"/>
            <w:tcBorders>
              <w:top w:val="nil"/>
              <w:left w:val="nil"/>
              <w:bottom w:val="nil"/>
              <w:right w:val="nil"/>
            </w:tcBorders>
          </w:tcPr>
          <w:p w14:paraId="44BE8272" w14:textId="77777777" w:rsidR="00565D5A" w:rsidRDefault="00565D5A" w:rsidP="00565D5A">
            <w:pPr>
              <w:jc w:val="center"/>
              <w:rPr>
                <w:rtl/>
              </w:rPr>
            </w:pPr>
            <w:r>
              <w:rPr>
                <w:noProof/>
                <w:rtl/>
              </w:rPr>
              <w:drawing>
                <wp:inline distT="0" distB="0" distL="0" distR="0" wp14:anchorId="471801BE" wp14:editId="7F07B913">
                  <wp:extent cx="1066800" cy="106680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3405" w:type="dxa"/>
            <w:tcBorders>
              <w:top w:val="nil"/>
              <w:left w:val="nil"/>
              <w:bottom w:val="nil"/>
              <w:right w:val="nil"/>
            </w:tcBorders>
            <w:vAlign w:val="center"/>
          </w:tcPr>
          <w:p w14:paraId="5B9F359D" w14:textId="77777777" w:rsidR="00565D5A" w:rsidRDefault="00565D5A" w:rsidP="00565D5A">
            <w:pPr>
              <w:spacing w:line="480" w:lineRule="auto"/>
              <w:jc w:val="center"/>
              <w:rPr>
                <w:rFonts w:cs="David"/>
                <w:sz w:val="24"/>
                <w:szCs w:val="24"/>
                <w:rtl/>
              </w:rPr>
            </w:pPr>
            <w:r>
              <w:rPr>
                <w:rFonts w:cs="David" w:hint="eastAsia"/>
                <w:sz w:val="24"/>
                <w:szCs w:val="24"/>
                <w:rtl/>
              </w:rPr>
              <w:t>‏</w:t>
            </w:r>
          </w:p>
          <w:p w14:paraId="05D8BEF3" w14:textId="0AA173DF" w:rsidR="00565D5A" w:rsidRPr="00B20A2F" w:rsidRDefault="00565D5A" w:rsidP="00565D5A">
            <w:pPr>
              <w:spacing w:line="480" w:lineRule="auto"/>
              <w:jc w:val="center"/>
              <w:rPr>
                <w:rFonts w:cs="David"/>
                <w:sz w:val="24"/>
                <w:szCs w:val="24"/>
              </w:rPr>
            </w:pPr>
            <w:r>
              <w:rPr>
                <w:rFonts w:cs="David" w:hint="cs"/>
                <w:sz w:val="24"/>
                <w:szCs w:val="24"/>
                <w:rtl/>
              </w:rPr>
              <w:t xml:space="preserve">ירושלים, </w:t>
            </w:r>
            <w:r>
              <w:rPr>
                <w:rFonts w:cs="David"/>
                <w:sz w:val="24"/>
                <w:szCs w:val="24"/>
              </w:rPr>
              <w:fldChar w:fldCharType="begin"/>
            </w:r>
            <w:r>
              <w:rPr>
                <w:rFonts w:cs="David"/>
                <w:sz w:val="24"/>
                <w:szCs w:val="24"/>
                <w:rtl/>
              </w:rPr>
              <w:instrText xml:space="preserve"> </w:instrText>
            </w:r>
            <w:r>
              <w:rPr>
                <w:rFonts w:cs="David" w:hint="cs"/>
                <w:sz w:val="24"/>
                <w:szCs w:val="24"/>
              </w:rPr>
              <w:instrText>DATE</w:instrText>
            </w:r>
            <w:r>
              <w:rPr>
                <w:rFonts w:cs="David" w:hint="cs"/>
                <w:sz w:val="24"/>
                <w:szCs w:val="24"/>
                <w:rtl/>
              </w:rPr>
              <w:instrText xml:space="preserve"> \@ "</w:instrText>
            </w:r>
            <w:r>
              <w:rPr>
                <w:rFonts w:cs="David" w:hint="cs"/>
                <w:sz w:val="24"/>
                <w:szCs w:val="24"/>
              </w:rPr>
              <w:instrText>dd MMMM yyyy" \h</w:instrText>
            </w:r>
            <w:r>
              <w:rPr>
                <w:rFonts w:cs="David"/>
                <w:sz w:val="24"/>
                <w:szCs w:val="24"/>
                <w:rtl/>
              </w:rPr>
              <w:instrText xml:space="preserve"> </w:instrText>
            </w:r>
            <w:r>
              <w:rPr>
                <w:rFonts w:cs="David"/>
                <w:sz w:val="24"/>
                <w:szCs w:val="24"/>
              </w:rPr>
              <w:fldChar w:fldCharType="separate"/>
            </w:r>
            <w:r>
              <w:rPr>
                <w:rFonts w:cs="David" w:hint="cs"/>
                <w:noProof/>
                <w:sz w:val="24"/>
                <w:szCs w:val="24"/>
                <w:rtl/>
              </w:rPr>
              <w:t>ח</w:t>
            </w:r>
            <w:r>
              <w:rPr>
                <w:rFonts w:cs="David"/>
                <w:noProof/>
                <w:sz w:val="24"/>
                <w:szCs w:val="24"/>
                <w:rtl/>
              </w:rPr>
              <w:t>' כסלו תשפ"ד</w:t>
            </w:r>
            <w:r>
              <w:rPr>
                <w:rFonts w:cs="David"/>
                <w:sz w:val="24"/>
                <w:szCs w:val="24"/>
              </w:rPr>
              <w:fldChar w:fldCharType="end"/>
            </w:r>
          </w:p>
          <w:p w14:paraId="67222DDE" w14:textId="555CA631" w:rsidR="00565D5A" w:rsidRDefault="00565D5A" w:rsidP="00565D5A">
            <w:pPr>
              <w:spacing w:line="480" w:lineRule="auto"/>
              <w:jc w:val="center"/>
              <w:rPr>
                <w:rFonts w:cs="David"/>
                <w:sz w:val="24"/>
                <w:szCs w:val="24"/>
                <w:rtl/>
              </w:rPr>
            </w:pPr>
            <w:r>
              <w:rPr>
                <w:rFonts w:cs="David" w:hint="eastAsia"/>
                <w:sz w:val="24"/>
                <w:szCs w:val="24"/>
                <w:rtl/>
              </w:rPr>
              <w:t>‏‏</w:t>
            </w:r>
            <w:r>
              <w:rPr>
                <w:rFonts w:cs="David"/>
                <w:sz w:val="24"/>
                <w:szCs w:val="24"/>
              </w:rPr>
              <w:fldChar w:fldCharType="begin"/>
            </w:r>
            <w:r>
              <w:rPr>
                <w:rFonts w:cs="David"/>
                <w:sz w:val="24"/>
                <w:szCs w:val="24"/>
                <w:rtl/>
              </w:rPr>
              <w:instrText xml:space="preserve"> </w:instrText>
            </w:r>
            <w:r>
              <w:rPr>
                <w:rFonts w:cs="David" w:hint="cs"/>
                <w:sz w:val="24"/>
                <w:szCs w:val="24"/>
              </w:rPr>
              <w:instrText>DATE</w:instrText>
            </w:r>
            <w:r>
              <w:rPr>
                <w:rFonts w:cs="David" w:hint="cs"/>
                <w:sz w:val="24"/>
                <w:szCs w:val="24"/>
                <w:rtl/>
              </w:rPr>
              <w:instrText xml:space="preserve"> \@ "</w:instrText>
            </w:r>
            <w:r>
              <w:rPr>
                <w:rFonts w:cs="David" w:hint="cs"/>
                <w:sz w:val="24"/>
                <w:szCs w:val="24"/>
              </w:rPr>
              <w:instrText>dd MMMM yyyy</w:instrText>
            </w:r>
            <w:r>
              <w:rPr>
                <w:rFonts w:cs="David" w:hint="cs"/>
                <w:sz w:val="24"/>
                <w:szCs w:val="24"/>
                <w:rtl/>
              </w:rPr>
              <w:instrText>"</w:instrText>
            </w:r>
            <w:r>
              <w:rPr>
                <w:rFonts w:cs="David"/>
                <w:sz w:val="24"/>
                <w:szCs w:val="24"/>
                <w:rtl/>
              </w:rPr>
              <w:instrText xml:space="preserve"> </w:instrText>
            </w:r>
            <w:r>
              <w:rPr>
                <w:rFonts w:cs="David"/>
                <w:sz w:val="24"/>
                <w:szCs w:val="24"/>
              </w:rPr>
              <w:fldChar w:fldCharType="separate"/>
            </w:r>
            <w:r>
              <w:rPr>
                <w:rFonts w:cs="David"/>
                <w:noProof/>
                <w:sz w:val="24"/>
                <w:szCs w:val="24"/>
                <w:rtl/>
              </w:rPr>
              <w:t>‏</w:t>
            </w:r>
            <w:r>
              <w:rPr>
                <w:rFonts w:cs="David" w:hint="cs"/>
                <w:noProof/>
                <w:sz w:val="24"/>
                <w:szCs w:val="24"/>
                <w:rtl/>
              </w:rPr>
              <w:t>21</w:t>
            </w:r>
            <w:r>
              <w:rPr>
                <w:rFonts w:cs="David"/>
                <w:noProof/>
                <w:sz w:val="24"/>
                <w:szCs w:val="24"/>
                <w:rtl/>
              </w:rPr>
              <w:t xml:space="preserve"> נובמבר 2023</w:t>
            </w:r>
            <w:r>
              <w:rPr>
                <w:rFonts w:cs="David"/>
                <w:sz w:val="24"/>
                <w:szCs w:val="24"/>
              </w:rPr>
              <w:fldChar w:fldCharType="end"/>
            </w:r>
          </w:p>
          <w:p w14:paraId="25468354" w14:textId="77777777" w:rsidR="00565D5A" w:rsidRPr="00DF107C" w:rsidRDefault="00565D5A" w:rsidP="00565D5A">
            <w:pPr>
              <w:spacing w:line="480" w:lineRule="auto"/>
              <w:jc w:val="center"/>
              <w:rPr>
                <w:rFonts w:cs="David"/>
                <w:sz w:val="24"/>
                <w:szCs w:val="24"/>
              </w:rPr>
            </w:pPr>
          </w:p>
        </w:tc>
      </w:tr>
    </w:tbl>
    <w:p w14:paraId="693E53BB" w14:textId="77777777" w:rsidR="00504F17" w:rsidRDefault="009E172F" w:rsidP="005914E8">
      <w:pPr>
        <w:spacing w:line="360" w:lineRule="auto"/>
        <w:rPr>
          <w:rFonts w:ascii="David" w:hAnsi="David" w:cs="David"/>
          <w:b/>
          <w:bCs/>
          <w:sz w:val="24"/>
          <w:szCs w:val="24"/>
          <w:u w:val="single"/>
          <w:rtl/>
        </w:rPr>
      </w:pPr>
      <w:r w:rsidRPr="00FF102A">
        <w:rPr>
          <w:rFonts w:ascii="David" w:hAnsi="David" w:cs="David" w:hint="cs"/>
          <w:sz w:val="24"/>
          <w:szCs w:val="24"/>
          <w:rtl/>
        </w:rPr>
        <w:t>הודעה לעיתונות</w:t>
      </w:r>
      <w:r w:rsidR="00FF102A" w:rsidRPr="00FF102A">
        <w:rPr>
          <w:rFonts w:ascii="David" w:hAnsi="David" w:cs="David" w:hint="cs"/>
          <w:sz w:val="24"/>
          <w:szCs w:val="24"/>
          <w:rtl/>
        </w:rPr>
        <w:t>:</w:t>
      </w:r>
    </w:p>
    <w:p w14:paraId="171F12D7" w14:textId="77777777" w:rsidR="00030B84" w:rsidRPr="00565D5A" w:rsidRDefault="00491CE0" w:rsidP="00224F24">
      <w:pPr>
        <w:spacing w:line="360" w:lineRule="auto"/>
        <w:ind w:left="-341"/>
        <w:jc w:val="center"/>
        <w:rPr>
          <w:rFonts w:ascii="David" w:hAnsi="David" w:cs="David"/>
          <w:b/>
          <w:bCs/>
          <w:sz w:val="26"/>
          <w:szCs w:val="26"/>
          <w:rtl/>
        </w:rPr>
      </w:pPr>
      <w:r w:rsidRPr="00565D5A">
        <w:rPr>
          <w:rFonts w:ascii="David" w:hAnsi="David" w:cs="David" w:hint="cs"/>
          <w:b/>
          <w:bCs/>
          <w:sz w:val="26"/>
          <w:szCs w:val="26"/>
          <w:rtl/>
        </w:rPr>
        <w:t>צעד נוסף ל</w:t>
      </w:r>
      <w:r w:rsidR="00D16211" w:rsidRPr="00565D5A">
        <w:rPr>
          <w:rFonts w:ascii="David" w:hAnsi="David" w:cs="David" w:hint="cs"/>
          <w:b/>
          <w:bCs/>
          <w:sz w:val="26"/>
          <w:szCs w:val="26"/>
          <w:rtl/>
        </w:rPr>
        <w:t>הקלת תנאי האשראי לעסקים קטנים וזעירים שנפגעו כתוצאה מהמלחמה</w:t>
      </w:r>
      <w:r w:rsidR="00224F24" w:rsidRPr="00565D5A">
        <w:rPr>
          <w:rFonts w:ascii="David" w:hAnsi="David" w:cs="David" w:hint="cs"/>
          <w:b/>
          <w:bCs/>
          <w:sz w:val="26"/>
          <w:szCs w:val="26"/>
          <w:rtl/>
        </w:rPr>
        <w:t xml:space="preserve"> - </w:t>
      </w:r>
      <w:r w:rsidR="00BC3273" w:rsidRPr="00565D5A">
        <w:rPr>
          <w:rFonts w:ascii="David" w:hAnsi="David" w:cs="David"/>
          <w:b/>
          <w:bCs/>
          <w:sz w:val="26"/>
          <w:szCs w:val="26"/>
          <w:rtl/>
        </w:rPr>
        <w:br/>
      </w:r>
      <w:r w:rsidR="00224F24" w:rsidRPr="00565D5A">
        <w:rPr>
          <w:rFonts w:ascii="David" w:hAnsi="David" w:cs="David" w:hint="cs"/>
          <w:b/>
          <w:bCs/>
          <w:sz w:val="26"/>
          <w:szCs w:val="26"/>
          <w:rtl/>
        </w:rPr>
        <w:t>בנק ישראל מאפשר לנותני אשראי חוץ בנקאיים מפוקחים לבצע מולו עסקאות ריפו</w:t>
      </w:r>
    </w:p>
    <w:p w14:paraId="64A9A319" w14:textId="77777777" w:rsidR="007E294C" w:rsidRDefault="007E294C" w:rsidP="007E294C">
      <w:pPr>
        <w:spacing w:line="360" w:lineRule="auto"/>
        <w:jc w:val="both"/>
        <w:rPr>
          <w:rFonts w:ascii="Arial" w:hAnsi="Arial" w:cs="Arial"/>
          <w:sz w:val="30"/>
          <w:szCs w:val="30"/>
        </w:rPr>
      </w:pPr>
      <w:r>
        <w:rPr>
          <w:rFonts w:asciiTheme="majorBidi" w:eastAsia="Calibri" w:hAnsiTheme="majorBidi" w:cs="David"/>
          <w:b/>
          <w:bCs/>
          <w:sz w:val="24"/>
          <w:szCs w:val="24"/>
          <w:rtl/>
        </w:rPr>
        <w:t>נגיד בנק ישראל, פרופ' אמיר ירון</w:t>
      </w:r>
      <w:r>
        <w:rPr>
          <w:rFonts w:asciiTheme="majorBidi" w:eastAsia="Calibri" w:hAnsiTheme="majorBidi" w:cs="David"/>
          <w:sz w:val="24"/>
          <w:szCs w:val="24"/>
          <w:rtl/>
        </w:rPr>
        <w:t>: "</w:t>
      </w:r>
      <w:r>
        <w:rPr>
          <w:rFonts w:ascii="David" w:hAnsi="David" w:cs="David"/>
          <w:sz w:val="24"/>
          <w:szCs w:val="24"/>
          <w:shd w:val="clear" w:color="auto" w:fill="FFFFFF"/>
          <w:rtl/>
        </w:rPr>
        <w:t>אחת מהמשימות המרכזיות של המדיניות שאנו מובילים היא לעודד את זרימת האשראי במשק, בדגש על העסקים הקטנים והזעירים. הצעד הנוכחי מצטרף למגוון צעדי מדיניות שנקט בנק ישראל מתחילת המלחמה, שנועדו לסייע למשק להתמודד עם השלכות המשבר ולצלוח אותו</w:t>
      </w:r>
      <w:r>
        <w:rPr>
          <w:rFonts w:ascii="David" w:hAnsi="David" w:cs="David"/>
          <w:sz w:val="24"/>
          <w:szCs w:val="24"/>
          <w:shd w:val="clear" w:color="auto" w:fill="FFFFFF"/>
        </w:rPr>
        <w:t>.</w:t>
      </w:r>
      <w:r>
        <w:rPr>
          <w:rFonts w:ascii="Times New Roman" w:hAnsi="Times New Roman" w:cs="Times New Roman"/>
          <w:sz w:val="24"/>
          <w:szCs w:val="24"/>
          <w:rtl/>
        </w:rPr>
        <w:t xml:space="preserve"> </w:t>
      </w:r>
      <w:r>
        <w:rPr>
          <w:rFonts w:ascii="David" w:hAnsi="David" w:cs="David"/>
          <w:sz w:val="24"/>
          <w:szCs w:val="24"/>
          <w:rtl/>
        </w:rPr>
        <w:t>בד בבד, הצעד הנוכחי מאפשר לשחקנים נוספים בשוק האשראי, חוץ בנקאיים, נגישות לעסקאות ריפו עם בנק ישראל, ובכך מעודד תחרות ומחזק את יכולתם להעמיד אשראי אטרקטיבי ללקוחות ע"י הוזלת מקורות המימון שלהם."</w:t>
      </w:r>
    </w:p>
    <w:p w14:paraId="5AE2F323" w14:textId="77777777" w:rsidR="007E294C" w:rsidRDefault="007E294C" w:rsidP="007E294C">
      <w:pPr>
        <w:pStyle w:val="a3"/>
        <w:spacing w:line="360" w:lineRule="auto"/>
        <w:ind w:left="-58"/>
        <w:jc w:val="both"/>
        <w:rPr>
          <w:rFonts w:asciiTheme="majorBidi" w:eastAsia="Calibri" w:hAnsiTheme="majorBidi" w:cs="David"/>
          <w:sz w:val="24"/>
          <w:szCs w:val="24"/>
        </w:rPr>
      </w:pPr>
      <w:r>
        <w:rPr>
          <w:rFonts w:asciiTheme="majorBidi" w:eastAsia="Calibri" w:hAnsiTheme="majorBidi" w:cs="David"/>
          <w:sz w:val="24"/>
          <w:szCs w:val="24"/>
          <w:rtl/>
        </w:rPr>
        <w:t xml:space="preserve">מפרוץ המלחמה פעל בנק ישראל במספר צעדים שנועדו להקל ולסייע כלכלית בימים מורכבים אלו, תוך מיפוי הצרכים השונים העולים מהשטח. בנסיבות מיוחדות אלו, מכריז היום בנק ישראל על </w:t>
      </w:r>
      <w:r>
        <w:rPr>
          <w:rFonts w:asciiTheme="majorBidi" w:eastAsia="Calibri" w:hAnsiTheme="majorBidi" w:cs="David"/>
          <w:b/>
          <w:bCs/>
          <w:sz w:val="24"/>
          <w:szCs w:val="24"/>
          <w:rtl/>
        </w:rPr>
        <w:t>הרחבת הצעדים להקלת תנאי האשראי לעסקים קטנים וזעירים, כך שיכללו גם את גופי האשראי החוץ בנקאיים המפוקחים</w:t>
      </w:r>
      <w:r>
        <w:rPr>
          <w:rFonts w:asciiTheme="majorBidi" w:eastAsia="Calibri" w:hAnsiTheme="majorBidi" w:cs="David"/>
          <w:sz w:val="24"/>
          <w:szCs w:val="24"/>
          <w:rtl/>
        </w:rPr>
        <w:t xml:space="preserve">. מטרת הצעד לסייע באפיק נוסף לעסקים קטנים וזעירים שנפגעו כתוצאה מהמלחמה לצלוח תקופה זו, ולאפשר להם לקבל אשראי בתנאי ריבית משופרים, על אף הסיכון הגלום במתן אשראי לעסקים אלו בעת הזו,  על מנת לצמצם את הפגיעה במגזר זה ולסייע להתאוששותו. </w:t>
      </w:r>
    </w:p>
    <w:p w14:paraId="4F96659F" w14:textId="77777777" w:rsidR="007E294C" w:rsidRDefault="007E294C" w:rsidP="007E294C">
      <w:pPr>
        <w:pStyle w:val="a3"/>
        <w:spacing w:line="360" w:lineRule="auto"/>
        <w:ind w:left="-58"/>
        <w:jc w:val="both"/>
        <w:rPr>
          <w:rFonts w:asciiTheme="majorBidi" w:eastAsia="Calibri" w:hAnsiTheme="majorBidi" w:cs="David"/>
          <w:sz w:val="24"/>
          <w:szCs w:val="24"/>
          <w:rtl/>
        </w:rPr>
      </w:pPr>
      <w:bookmarkStart w:id="0" w:name="_GoBack"/>
      <w:bookmarkEnd w:id="0"/>
    </w:p>
    <w:p w14:paraId="57C571C8" w14:textId="77777777" w:rsidR="007E294C" w:rsidRDefault="007E294C" w:rsidP="007E294C">
      <w:pPr>
        <w:pStyle w:val="a3"/>
        <w:spacing w:line="360" w:lineRule="auto"/>
        <w:ind w:left="-58"/>
        <w:jc w:val="both"/>
        <w:rPr>
          <w:rFonts w:asciiTheme="majorBidi" w:eastAsia="Calibri" w:hAnsiTheme="majorBidi" w:cs="David"/>
          <w:sz w:val="24"/>
          <w:szCs w:val="24"/>
          <w:rtl/>
        </w:rPr>
      </w:pPr>
      <w:r>
        <w:rPr>
          <w:rFonts w:asciiTheme="majorBidi" w:eastAsia="Calibri" w:hAnsiTheme="majorBidi" w:cs="David"/>
          <w:sz w:val="24"/>
          <w:szCs w:val="24"/>
          <w:rtl/>
        </w:rPr>
        <w:t xml:space="preserve">ככלי נוסף ומשלים </w:t>
      </w:r>
      <w:hyperlink r:id="rId9" w:history="1">
        <w:r>
          <w:rPr>
            <w:rStyle w:val="Hyperlink"/>
            <w:rFonts w:asciiTheme="majorBidi" w:eastAsia="Calibri" w:hAnsiTheme="majorBidi" w:cs="David"/>
            <w:sz w:val="24"/>
            <w:szCs w:val="24"/>
            <w:rtl/>
          </w:rPr>
          <w:t>לתכנית המוניטרית להקלת האשראי לעסקים קטנים וזעירים באמצעות המערכת הבנקאית</w:t>
        </w:r>
      </w:hyperlink>
      <w:r>
        <w:rPr>
          <w:rStyle w:val="a7"/>
          <w:rFonts w:asciiTheme="majorBidi" w:eastAsia="Calibri" w:hAnsiTheme="majorBidi" w:cs="David"/>
          <w:sz w:val="24"/>
          <w:szCs w:val="24"/>
          <w:rtl/>
        </w:rPr>
        <w:footnoteReference w:id="1"/>
      </w:r>
      <w:r>
        <w:rPr>
          <w:rFonts w:asciiTheme="majorBidi" w:eastAsia="Calibri" w:hAnsiTheme="majorBidi" w:cs="David"/>
          <w:sz w:val="24"/>
          <w:szCs w:val="24"/>
          <w:rtl/>
        </w:rPr>
        <w:t xml:space="preserve">, יציע בנק ישראל </w:t>
      </w:r>
      <w:r>
        <w:rPr>
          <w:rFonts w:asciiTheme="majorBidi" w:eastAsia="Calibri" w:hAnsiTheme="majorBidi" w:cs="David"/>
          <w:b/>
          <w:bCs/>
          <w:sz w:val="24"/>
          <w:szCs w:val="24"/>
          <w:rtl/>
        </w:rPr>
        <w:t>עסקאות ריפו</w:t>
      </w:r>
      <w:r>
        <w:rPr>
          <w:rStyle w:val="a7"/>
          <w:rFonts w:asciiTheme="majorBidi" w:eastAsia="Calibri" w:hAnsiTheme="majorBidi" w:cs="David"/>
          <w:b/>
          <w:bCs/>
          <w:sz w:val="24"/>
          <w:szCs w:val="24"/>
          <w:rtl/>
        </w:rPr>
        <w:footnoteReference w:id="2"/>
      </w:r>
      <w:r>
        <w:rPr>
          <w:rFonts w:asciiTheme="majorBidi" w:eastAsia="Calibri" w:hAnsiTheme="majorBidi" w:cs="David"/>
          <w:b/>
          <w:bCs/>
          <w:sz w:val="24"/>
          <w:szCs w:val="24"/>
          <w:rtl/>
        </w:rPr>
        <w:t xml:space="preserve"> לגופי האשראי החוץ בנקאיים</w:t>
      </w:r>
      <w:r>
        <w:rPr>
          <w:rFonts w:asciiTheme="majorBidi" w:eastAsia="Calibri" w:hAnsiTheme="majorBidi" w:cs="David"/>
          <w:sz w:val="24"/>
          <w:szCs w:val="24"/>
          <w:rtl/>
        </w:rPr>
        <w:t xml:space="preserve"> </w:t>
      </w:r>
      <w:r>
        <w:rPr>
          <w:rFonts w:asciiTheme="majorBidi" w:eastAsia="Calibri" w:hAnsiTheme="majorBidi" w:cs="David"/>
          <w:b/>
          <w:bCs/>
          <w:sz w:val="24"/>
          <w:szCs w:val="24"/>
          <w:rtl/>
        </w:rPr>
        <w:t>המפוקחים</w:t>
      </w:r>
      <w:r>
        <w:rPr>
          <w:rFonts w:asciiTheme="majorBidi" w:eastAsia="Calibri" w:hAnsiTheme="majorBidi" w:cs="David"/>
          <w:sz w:val="24"/>
          <w:szCs w:val="24"/>
          <w:rtl/>
        </w:rPr>
        <w:t xml:space="preserve"> על ידי בנק ישראל (חברות כרטיסי האשראי) או על ידי רשות שוק ההון</w:t>
      </w:r>
      <w:r>
        <w:rPr>
          <w:rStyle w:val="a7"/>
          <w:rFonts w:asciiTheme="majorBidi" w:eastAsia="Calibri" w:hAnsiTheme="majorBidi" w:cs="David"/>
          <w:sz w:val="24"/>
          <w:szCs w:val="24"/>
          <w:rtl/>
        </w:rPr>
        <w:footnoteReference w:id="3"/>
      </w:r>
      <w:r>
        <w:rPr>
          <w:rFonts w:asciiTheme="majorBidi" w:eastAsia="Calibri" w:hAnsiTheme="majorBidi" w:cs="David"/>
          <w:sz w:val="24"/>
          <w:szCs w:val="24"/>
          <w:rtl/>
        </w:rPr>
        <w:t xml:space="preserve">. היקף התכנית לגופים אלו יעמוד על עד 1 מיליארד ש"ח. </w:t>
      </w:r>
    </w:p>
    <w:p w14:paraId="4CAAEA82" w14:textId="77777777" w:rsidR="007E294C" w:rsidRDefault="007E294C" w:rsidP="007E294C">
      <w:pPr>
        <w:pStyle w:val="a3"/>
        <w:spacing w:line="360" w:lineRule="auto"/>
        <w:ind w:left="-58"/>
        <w:jc w:val="both"/>
        <w:rPr>
          <w:rFonts w:asciiTheme="majorBidi" w:eastAsia="Calibri" w:hAnsiTheme="majorBidi" w:cs="David"/>
          <w:sz w:val="24"/>
          <w:szCs w:val="24"/>
          <w:rtl/>
        </w:rPr>
      </w:pPr>
      <w:r>
        <w:rPr>
          <w:rFonts w:asciiTheme="majorBidi" w:eastAsia="Calibri" w:hAnsiTheme="majorBidi" w:cs="David"/>
          <w:sz w:val="24"/>
          <w:szCs w:val="24"/>
          <w:rtl/>
        </w:rPr>
        <w:t xml:space="preserve">עסקאות </w:t>
      </w:r>
      <w:proofErr w:type="spellStart"/>
      <w:r>
        <w:rPr>
          <w:rFonts w:asciiTheme="majorBidi" w:eastAsia="Calibri" w:hAnsiTheme="majorBidi" w:cs="David"/>
          <w:sz w:val="24"/>
          <w:szCs w:val="24"/>
          <w:rtl/>
        </w:rPr>
        <w:t>הריפו</w:t>
      </w:r>
      <w:proofErr w:type="spellEnd"/>
      <w:r>
        <w:rPr>
          <w:rFonts w:asciiTheme="majorBidi" w:eastAsia="Calibri" w:hAnsiTheme="majorBidi" w:cs="David"/>
          <w:sz w:val="24"/>
          <w:szCs w:val="24"/>
          <w:rtl/>
        </w:rPr>
        <w:t xml:space="preserve"> תבוצענה גם באפיק זה אך ורק בכפוף להעמדת אשראי מיום 21 בנובמבר 2023 ועד סוף חודש ינואר 2024 לעסקים קטנים וזעירים שפדיונם נפגע בשיעור של לפחות 25 אחוזים</w:t>
      </w:r>
      <w:r>
        <w:rPr>
          <w:rStyle w:val="a7"/>
          <w:rFonts w:asciiTheme="majorBidi" w:eastAsia="Calibri" w:hAnsiTheme="majorBidi" w:cs="David"/>
          <w:sz w:val="24"/>
          <w:szCs w:val="24"/>
          <w:rtl/>
        </w:rPr>
        <w:footnoteReference w:id="4"/>
      </w:r>
      <w:r>
        <w:rPr>
          <w:rFonts w:asciiTheme="majorBidi" w:eastAsia="Calibri" w:hAnsiTheme="majorBidi" w:cs="David"/>
          <w:sz w:val="24"/>
          <w:szCs w:val="24"/>
          <w:rtl/>
        </w:rPr>
        <w:t xml:space="preserve">, ובתנאי שממוצע הריבית על האשראי שניתן לא יעלה על ריבית הפריים ובהתאם לדיווח שיועבר לשם כך לבנק ישראל. </w:t>
      </w:r>
    </w:p>
    <w:p w14:paraId="53F369CC" w14:textId="1AC865F5" w:rsidR="007E294C" w:rsidRDefault="007E294C" w:rsidP="007E294C">
      <w:pPr>
        <w:pStyle w:val="a3"/>
        <w:spacing w:line="360" w:lineRule="auto"/>
        <w:ind w:left="-58"/>
        <w:jc w:val="both"/>
        <w:rPr>
          <w:rFonts w:asciiTheme="majorBidi" w:eastAsia="Calibri" w:hAnsiTheme="majorBidi" w:cs="David"/>
          <w:sz w:val="24"/>
          <w:szCs w:val="24"/>
          <w:rtl/>
        </w:rPr>
      </w:pPr>
      <w:r>
        <w:rPr>
          <w:rFonts w:asciiTheme="majorBidi" w:eastAsia="Calibri" w:hAnsiTheme="majorBidi" w:cs="David"/>
          <w:sz w:val="24"/>
          <w:szCs w:val="24"/>
          <w:rtl/>
        </w:rPr>
        <w:lastRenderedPageBreak/>
        <w:t>במסגרת עסק</w:t>
      </w:r>
      <w:r>
        <w:rPr>
          <w:rFonts w:asciiTheme="majorBidi" w:eastAsia="Calibri" w:hAnsiTheme="majorBidi" w:cs="David" w:hint="cs"/>
          <w:sz w:val="24"/>
          <w:szCs w:val="24"/>
          <w:rtl/>
        </w:rPr>
        <w:t>א</w:t>
      </w:r>
      <w:r>
        <w:rPr>
          <w:rFonts w:asciiTheme="majorBidi" w:eastAsia="Calibri" w:hAnsiTheme="majorBidi" w:cs="David"/>
          <w:sz w:val="24"/>
          <w:szCs w:val="24"/>
          <w:rtl/>
        </w:rPr>
        <w:t xml:space="preserve">ות </w:t>
      </w:r>
      <w:proofErr w:type="spellStart"/>
      <w:r>
        <w:rPr>
          <w:rFonts w:asciiTheme="majorBidi" w:eastAsia="Calibri" w:hAnsiTheme="majorBidi" w:cs="David"/>
          <w:sz w:val="24"/>
          <w:szCs w:val="24"/>
          <w:rtl/>
        </w:rPr>
        <w:t>הריפו</w:t>
      </w:r>
      <w:proofErr w:type="spellEnd"/>
      <w:r>
        <w:rPr>
          <w:rFonts w:asciiTheme="majorBidi" w:eastAsia="Calibri" w:hAnsiTheme="majorBidi" w:cs="David"/>
          <w:sz w:val="24"/>
          <w:szCs w:val="24"/>
          <w:rtl/>
        </w:rPr>
        <w:t xml:space="preserve"> בנק ישראל יקבל מהגופים בטוחות סחירות: אג"ח ממשלתיות, מק"מ ואג"ח תאגידיות בקריטריונים מסוימים. הריבית במסגרת העסקה תהיה ריבית משתנה בשיעור של ריבית בנק ישראל פחות 1.5 נקודות אחוז. העסק</w:t>
      </w:r>
      <w:r>
        <w:rPr>
          <w:rFonts w:asciiTheme="majorBidi" w:eastAsia="Calibri" w:hAnsiTheme="majorBidi" w:cs="David" w:hint="cs"/>
          <w:sz w:val="24"/>
          <w:szCs w:val="24"/>
          <w:rtl/>
        </w:rPr>
        <w:t>א</w:t>
      </w:r>
      <w:r>
        <w:rPr>
          <w:rFonts w:asciiTheme="majorBidi" w:eastAsia="Calibri" w:hAnsiTheme="majorBidi" w:cs="David"/>
          <w:sz w:val="24"/>
          <w:szCs w:val="24"/>
          <w:rtl/>
        </w:rPr>
        <w:t>ות תבוצענה לטווח של 6 חודשים בשני מסלולים אפשריים: "מסלול א" - עבור אשראי שניתן לעסקים קטנים וזעירים לטווח שבין חצי שנה לשנתיים ו"מסלול ב" - עבור אשראי, כאמור, שניתן מעל לשנתיים. במסלול א' בנק ישראל יאפשר שלוש תקופות נוספות של 6 חודשים כל אחת ובמסלול ב' - חמש תקופות נוספות של 6 חודשים כל אחת, באותם התנאים. הכלי החדש יחל לפעול בשבוע הראשון של חודש דצמבר 2023. הפרטים המלאים מפורסמים בהסכם הרלוונטי המצורף להודעה זו.</w:t>
      </w:r>
    </w:p>
    <w:p w14:paraId="3C2E9884" w14:textId="77777777" w:rsidR="007E294C" w:rsidRDefault="007E294C" w:rsidP="007E294C">
      <w:pPr>
        <w:pStyle w:val="a3"/>
        <w:spacing w:line="360" w:lineRule="auto"/>
        <w:ind w:left="-58"/>
        <w:jc w:val="both"/>
        <w:rPr>
          <w:rtl/>
        </w:rPr>
      </w:pPr>
    </w:p>
    <w:p w14:paraId="629DDEE3" w14:textId="77777777" w:rsidR="007E294C" w:rsidRDefault="007E294C" w:rsidP="007E294C">
      <w:pPr>
        <w:pStyle w:val="a3"/>
        <w:spacing w:line="360" w:lineRule="auto"/>
        <w:ind w:left="-58"/>
        <w:jc w:val="both"/>
        <w:rPr>
          <w:rFonts w:asciiTheme="majorBidi" w:eastAsia="Calibri" w:hAnsiTheme="majorBidi" w:cs="David"/>
          <w:sz w:val="24"/>
          <w:szCs w:val="24"/>
          <w:rtl/>
        </w:rPr>
      </w:pPr>
      <w:r>
        <w:rPr>
          <w:rFonts w:asciiTheme="majorBidi" w:eastAsia="Calibri" w:hAnsiTheme="majorBidi" w:cs="David"/>
          <w:sz w:val="24"/>
          <w:szCs w:val="24"/>
          <w:rtl/>
        </w:rPr>
        <w:t xml:space="preserve">בנוסף, בנק ישראל </w:t>
      </w:r>
      <w:r>
        <w:rPr>
          <w:rFonts w:asciiTheme="majorBidi" w:eastAsia="Calibri" w:hAnsiTheme="majorBidi" w:cs="David"/>
          <w:b/>
          <w:bCs/>
          <w:sz w:val="24"/>
          <w:szCs w:val="24"/>
          <w:rtl/>
        </w:rPr>
        <w:t>מרחיב את התנאים</w:t>
      </w:r>
      <w:r>
        <w:rPr>
          <w:rFonts w:asciiTheme="majorBidi" w:eastAsia="Calibri" w:hAnsiTheme="majorBidi" w:cs="David"/>
          <w:sz w:val="24"/>
          <w:szCs w:val="24"/>
          <w:rtl/>
        </w:rPr>
        <w:t xml:space="preserve"> לתכנית המוניטרית להקלת האשראי לעסקים קטנים וזעירים באמצעות מערכת הבנקאות </w:t>
      </w:r>
      <w:hyperlink r:id="rId10" w:history="1">
        <w:r>
          <w:rPr>
            <w:rStyle w:val="Hyperlink"/>
            <w:rFonts w:asciiTheme="majorBidi" w:eastAsia="Calibri" w:hAnsiTheme="majorBidi" w:cs="David"/>
            <w:sz w:val="24"/>
            <w:szCs w:val="24"/>
            <w:rtl/>
          </w:rPr>
          <w:t>שפורסמה</w:t>
        </w:r>
      </w:hyperlink>
      <w:r>
        <w:rPr>
          <w:rFonts w:asciiTheme="majorBidi" w:eastAsia="Calibri" w:hAnsiTheme="majorBidi" w:cs="David"/>
          <w:sz w:val="24"/>
          <w:szCs w:val="24"/>
          <w:rtl/>
        </w:rPr>
        <w:t xml:space="preserve"> ב-6 בנובמבר 2023 ובמסגרת זו, בנק ישראל יעמיד מסלול נוסף להלוואות מוניטריות לטווח של 3 שנים, בכפוף להעמדת אשראי לטווח של מעל לשנתיים לעסקים קטנים וזעירים, שנפגעו כתוצאה מהמלחמה, בכפוף ליתר תנאי התוכנית. היקף התכנית הכולל הינו ללא שינוי ויעמוד על עד 10 מיליארדי ש"ח. הפרטים המלאים יפורסמו למערכת בחוזר נפרד. </w:t>
      </w:r>
    </w:p>
    <w:p w14:paraId="0C93259D" w14:textId="1DA882AB" w:rsidR="00D95AFD" w:rsidRPr="00EA5B52" w:rsidRDefault="00D95AFD" w:rsidP="007E294C">
      <w:pPr>
        <w:spacing w:line="360" w:lineRule="auto"/>
        <w:jc w:val="both"/>
        <w:rPr>
          <w:rFonts w:asciiTheme="majorBidi" w:eastAsia="Calibri" w:hAnsiTheme="majorBidi" w:cs="David"/>
          <w:sz w:val="24"/>
          <w:szCs w:val="24"/>
          <w:rtl/>
        </w:rPr>
      </w:pPr>
    </w:p>
    <w:sectPr w:rsidR="00D95AFD" w:rsidRPr="00EA5B52" w:rsidSect="00603E57">
      <w:footerReference w:type="default" r:id="rId11"/>
      <w:pgSz w:w="11906" w:h="16838"/>
      <w:pgMar w:top="1702" w:right="1800" w:bottom="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EEB3D" w14:textId="77777777" w:rsidR="00825A85" w:rsidRDefault="00825A85" w:rsidP="00CB0F11">
      <w:pPr>
        <w:spacing w:after="0" w:line="240" w:lineRule="auto"/>
      </w:pPr>
      <w:r>
        <w:separator/>
      </w:r>
    </w:p>
  </w:endnote>
  <w:endnote w:type="continuationSeparator" w:id="0">
    <w:p w14:paraId="5C893F75" w14:textId="77777777" w:rsidR="00825A85" w:rsidRDefault="00825A85" w:rsidP="00CB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C7D9" w14:textId="77777777" w:rsidR="00796492" w:rsidRDefault="00796492" w:rsidP="00DF663E">
    <w:pPr>
      <w:pStyle w:val="ae"/>
      <w:jc w:val="right"/>
      <w:rPr>
        <w:rtl/>
        <w:cs/>
      </w:rPr>
    </w:pPr>
  </w:p>
  <w:p w14:paraId="1639AB19" w14:textId="77777777" w:rsidR="00796492" w:rsidRDefault="0079649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723F" w14:textId="77777777" w:rsidR="00825A85" w:rsidRDefault="00825A85" w:rsidP="00CB0F11">
      <w:pPr>
        <w:spacing w:after="0" w:line="240" w:lineRule="auto"/>
      </w:pPr>
      <w:r>
        <w:separator/>
      </w:r>
    </w:p>
  </w:footnote>
  <w:footnote w:type="continuationSeparator" w:id="0">
    <w:p w14:paraId="6F95A896" w14:textId="77777777" w:rsidR="00825A85" w:rsidRDefault="00825A85" w:rsidP="00CB0F11">
      <w:pPr>
        <w:spacing w:after="0" w:line="240" w:lineRule="auto"/>
      </w:pPr>
      <w:r>
        <w:continuationSeparator/>
      </w:r>
    </w:p>
  </w:footnote>
  <w:footnote w:id="1">
    <w:p w14:paraId="5D7C899F" w14:textId="77777777" w:rsidR="007E294C" w:rsidRDefault="007E294C" w:rsidP="007E294C">
      <w:pPr>
        <w:pStyle w:val="a5"/>
        <w:jc w:val="both"/>
        <w:rPr>
          <w:rFonts w:ascii="David" w:hAnsi="David" w:cs="David"/>
          <w:rtl/>
        </w:rPr>
      </w:pPr>
      <w:r>
        <w:rPr>
          <w:rStyle w:val="a7"/>
        </w:rPr>
        <w:footnoteRef/>
      </w:r>
      <w:r>
        <w:rPr>
          <w:rtl/>
        </w:rPr>
        <w:t xml:space="preserve"> </w:t>
      </w:r>
      <w:r>
        <w:rPr>
          <w:rFonts w:ascii="David" w:hAnsi="David" w:cs="David"/>
          <w:rtl/>
        </w:rPr>
        <w:t>שפורסמה ב-6 בנובמבר 2023</w:t>
      </w:r>
    </w:p>
  </w:footnote>
  <w:footnote w:id="2">
    <w:p w14:paraId="0DB88CD4" w14:textId="77777777" w:rsidR="007E294C" w:rsidRDefault="007E294C" w:rsidP="007E294C">
      <w:pPr>
        <w:pStyle w:val="a5"/>
        <w:jc w:val="both"/>
        <w:rPr>
          <w:rFonts w:ascii="David" w:hAnsi="David" w:cs="David"/>
        </w:rPr>
      </w:pPr>
      <w:r>
        <w:rPr>
          <w:rStyle w:val="a7"/>
          <w:rFonts w:ascii="David" w:hAnsi="David" w:cs="David"/>
        </w:rPr>
        <w:footnoteRef/>
      </w:r>
      <w:r>
        <w:rPr>
          <w:rFonts w:ascii="David" w:hAnsi="David" w:cs="David"/>
          <w:rtl/>
        </w:rPr>
        <w:t xml:space="preserve"> </w:t>
      </w:r>
      <w:r>
        <w:rPr>
          <w:rFonts w:ascii="David" w:hAnsi="David" w:cs="David" w:hint="cs"/>
          <w:rtl/>
        </w:rPr>
        <w:t xml:space="preserve">במסגרת עסקת ריפו בעל נייר ערך (לרוב אג"ח) מוכר אותו לצד אחר בעסקה, תוך התחייבות לחזור ולרכוש אותו שוב בתאריך ובמחיר הנקבעים מראש. כך למעשה מקבל בעל נייר הערך מימון לתקופה קצובה, כאשר נייר הערך משמש כבטוחה </w:t>
      </w:r>
    </w:p>
  </w:footnote>
  <w:footnote w:id="3">
    <w:p w14:paraId="7BFF625A" w14:textId="77777777" w:rsidR="007E294C" w:rsidRDefault="007E294C" w:rsidP="007E294C">
      <w:pPr>
        <w:pStyle w:val="a5"/>
        <w:jc w:val="both"/>
        <w:rPr>
          <w:rFonts w:ascii="David" w:hAnsi="David" w:cs="David"/>
        </w:rPr>
      </w:pPr>
      <w:r>
        <w:rPr>
          <w:rStyle w:val="a7"/>
          <w:rFonts w:ascii="David" w:hAnsi="David" w:cs="David"/>
        </w:rPr>
        <w:footnoteRef/>
      </w:r>
      <w:r>
        <w:rPr>
          <w:rFonts w:ascii="David" w:hAnsi="David" w:cs="David"/>
          <w:rtl/>
        </w:rPr>
        <w:t xml:space="preserve"> </w:t>
      </w:r>
      <w:r>
        <w:rPr>
          <w:rFonts w:ascii="David" w:hAnsi="David" w:cs="David"/>
          <w:rtl/>
        </w:rPr>
        <w:t xml:space="preserve">גופים אשר קיבלו רישיון מאת רשות שוק ההון, ביטוח וחיסכון לעיסוק במתן אשראי מורחב כהגדרתו בחוק הפיקוח על שירותים פיננסיים (שירותים פיננסיים מוסדרים), תשע"ו-2016 </w:t>
      </w:r>
    </w:p>
  </w:footnote>
  <w:footnote w:id="4">
    <w:p w14:paraId="0F6CFF86" w14:textId="77777777" w:rsidR="007E294C" w:rsidRDefault="007E294C" w:rsidP="007E294C">
      <w:pPr>
        <w:pStyle w:val="a5"/>
        <w:jc w:val="both"/>
        <w:rPr>
          <w:rFonts w:ascii="David" w:hAnsi="David" w:cs="David"/>
          <w:rtl/>
        </w:rPr>
      </w:pPr>
      <w:r>
        <w:rPr>
          <w:rStyle w:val="a7"/>
          <w:rFonts w:ascii="David" w:hAnsi="David" w:cs="David"/>
        </w:rPr>
        <w:footnoteRef/>
      </w:r>
      <w:r>
        <w:rPr>
          <w:rFonts w:ascii="David" w:hAnsi="David" w:cs="David"/>
          <w:rtl/>
        </w:rPr>
        <w:t xml:space="preserve"> </w:t>
      </w:r>
      <w:r>
        <w:rPr>
          <w:rFonts w:ascii="David" w:hAnsi="David" w:cs="David"/>
          <w:rtl/>
        </w:rPr>
        <w:t xml:space="preserve">הפגיעה בפדיון ("מחזור העסקאות" בהתאם לדוחות מע"מ) היא של לפחות 25% או יותר באחד מהחודשים </w:t>
      </w:r>
      <w:proofErr w:type="spellStart"/>
      <w:r>
        <w:rPr>
          <w:rFonts w:ascii="David" w:hAnsi="David" w:cs="David"/>
          <w:rtl/>
        </w:rPr>
        <w:t>הקלנדריים</w:t>
      </w:r>
      <w:proofErr w:type="spellEnd"/>
      <w:r>
        <w:rPr>
          <w:rFonts w:ascii="David" w:hAnsi="David" w:cs="David"/>
          <w:rtl/>
        </w:rPr>
        <w:t xml:space="preserve"> אוקטובר, נובמבר או דצמבר 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9F7"/>
    <w:multiLevelType w:val="hybridMultilevel"/>
    <w:tmpl w:val="84A2C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793F4D"/>
    <w:multiLevelType w:val="hybridMultilevel"/>
    <w:tmpl w:val="5908E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F4062A"/>
    <w:multiLevelType w:val="hybridMultilevel"/>
    <w:tmpl w:val="5194EA26"/>
    <w:lvl w:ilvl="0" w:tplc="036CA3F4">
      <w:start w:val="5"/>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B516D"/>
    <w:multiLevelType w:val="hybridMultilevel"/>
    <w:tmpl w:val="F01E6F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EE61C5"/>
    <w:multiLevelType w:val="hybridMultilevel"/>
    <w:tmpl w:val="BAD4F23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D3FDE"/>
    <w:multiLevelType w:val="hybridMultilevel"/>
    <w:tmpl w:val="C2F827C4"/>
    <w:lvl w:ilvl="0" w:tplc="3776052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A051B2"/>
    <w:multiLevelType w:val="hybridMultilevel"/>
    <w:tmpl w:val="AECE9E3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4A2AC8"/>
    <w:multiLevelType w:val="hybridMultilevel"/>
    <w:tmpl w:val="1868CD1E"/>
    <w:lvl w:ilvl="0" w:tplc="B11E5CC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9C3E81"/>
    <w:multiLevelType w:val="hybridMultilevel"/>
    <w:tmpl w:val="FABCC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F625AC"/>
    <w:multiLevelType w:val="hybridMultilevel"/>
    <w:tmpl w:val="EEA4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25238"/>
    <w:multiLevelType w:val="hybridMultilevel"/>
    <w:tmpl w:val="AC70EEF4"/>
    <w:lvl w:ilvl="0" w:tplc="2F5E994E">
      <w:start w:val="7"/>
      <w:numFmt w:val="bullet"/>
      <w:lvlText w:val=""/>
      <w:lvlJc w:val="left"/>
      <w:pPr>
        <w:ind w:left="19" w:hanging="360"/>
      </w:pPr>
      <w:rPr>
        <w:rFonts w:ascii="Symbol" w:eastAsiaTheme="minorHAnsi" w:hAnsi="Symbol" w:cs="David"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11" w15:restartNumberingAfterBreak="0">
    <w:nsid w:val="4B2512E8"/>
    <w:multiLevelType w:val="hybridMultilevel"/>
    <w:tmpl w:val="D812CB18"/>
    <w:lvl w:ilvl="0" w:tplc="9D7E6BAA">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05149"/>
    <w:multiLevelType w:val="hybridMultilevel"/>
    <w:tmpl w:val="562A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354A8"/>
    <w:multiLevelType w:val="hybridMultilevel"/>
    <w:tmpl w:val="D42C1C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9614A"/>
    <w:multiLevelType w:val="hybridMultilevel"/>
    <w:tmpl w:val="5B20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A1AB0"/>
    <w:multiLevelType w:val="hybridMultilevel"/>
    <w:tmpl w:val="32984DFA"/>
    <w:lvl w:ilvl="0" w:tplc="628CF854">
      <w:start w:val="7"/>
      <w:numFmt w:val="bullet"/>
      <w:lvlText w:val=""/>
      <w:lvlJc w:val="left"/>
      <w:pPr>
        <w:ind w:left="379" w:hanging="360"/>
      </w:pPr>
      <w:rPr>
        <w:rFonts w:ascii="Symbol" w:eastAsiaTheme="minorHAnsi" w:hAnsi="Symbol" w:cs="David"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6" w15:restartNumberingAfterBreak="0">
    <w:nsid w:val="6E0D3A7D"/>
    <w:multiLevelType w:val="hybridMultilevel"/>
    <w:tmpl w:val="0CE4ECA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2D7C07"/>
    <w:multiLevelType w:val="hybridMultilevel"/>
    <w:tmpl w:val="173CD1AE"/>
    <w:lvl w:ilvl="0" w:tplc="1B166242">
      <w:start w:val="7"/>
      <w:numFmt w:val="bullet"/>
      <w:lvlText w:val=""/>
      <w:lvlJc w:val="left"/>
      <w:pPr>
        <w:ind w:left="739" w:hanging="360"/>
      </w:pPr>
      <w:rPr>
        <w:rFonts w:ascii="Symbol" w:eastAsiaTheme="minorHAnsi" w:hAnsi="Symbol" w:cs="David"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8" w15:restartNumberingAfterBreak="0">
    <w:nsid w:val="6F5C6158"/>
    <w:multiLevelType w:val="hybridMultilevel"/>
    <w:tmpl w:val="67C2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E366B7"/>
    <w:multiLevelType w:val="hybridMultilevel"/>
    <w:tmpl w:val="B4BC2B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9"/>
  </w:num>
  <w:num w:numId="4">
    <w:abstractNumId w:val="0"/>
  </w:num>
  <w:num w:numId="5">
    <w:abstractNumId w:val="8"/>
  </w:num>
  <w:num w:numId="6">
    <w:abstractNumId w:val="4"/>
  </w:num>
  <w:num w:numId="7">
    <w:abstractNumId w:val="3"/>
  </w:num>
  <w:num w:numId="8">
    <w:abstractNumId w:val="16"/>
  </w:num>
  <w:num w:numId="9">
    <w:abstractNumId w:val="7"/>
  </w:num>
  <w:num w:numId="10">
    <w:abstractNumId w:val="14"/>
  </w:num>
  <w:num w:numId="11">
    <w:abstractNumId w:val="11"/>
  </w:num>
  <w:num w:numId="12">
    <w:abstractNumId w:val="19"/>
  </w:num>
  <w:num w:numId="13">
    <w:abstractNumId w:val="6"/>
  </w:num>
  <w:num w:numId="14">
    <w:abstractNumId w:val="5"/>
  </w:num>
  <w:num w:numId="15">
    <w:abstractNumId w:val="1"/>
  </w:num>
  <w:num w:numId="16">
    <w:abstractNumId w:val="18"/>
  </w:num>
  <w:num w:numId="17">
    <w:abstractNumId w:val="2"/>
  </w:num>
  <w:num w:numId="18">
    <w:abstractNumId w:val="10"/>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8F"/>
    <w:rsid w:val="00003BBC"/>
    <w:rsid w:val="00017649"/>
    <w:rsid w:val="00021A8F"/>
    <w:rsid w:val="000245B8"/>
    <w:rsid w:val="00030B84"/>
    <w:rsid w:val="00044521"/>
    <w:rsid w:val="0004656D"/>
    <w:rsid w:val="00065B23"/>
    <w:rsid w:val="00085078"/>
    <w:rsid w:val="000850DA"/>
    <w:rsid w:val="00087730"/>
    <w:rsid w:val="000A4385"/>
    <w:rsid w:val="000A4ECF"/>
    <w:rsid w:val="000B5998"/>
    <w:rsid w:val="000B6E05"/>
    <w:rsid w:val="000C67FF"/>
    <w:rsid w:val="000C7BBD"/>
    <w:rsid w:val="000E3A76"/>
    <w:rsid w:val="000E61FA"/>
    <w:rsid w:val="001325F2"/>
    <w:rsid w:val="00133172"/>
    <w:rsid w:val="001640A3"/>
    <w:rsid w:val="00186E17"/>
    <w:rsid w:val="00194075"/>
    <w:rsid w:val="001B0BED"/>
    <w:rsid w:val="001B259D"/>
    <w:rsid w:val="001B2E2E"/>
    <w:rsid w:val="001C7940"/>
    <w:rsid w:val="001D0908"/>
    <w:rsid w:val="001E2CDE"/>
    <w:rsid w:val="001E5A63"/>
    <w:rsid w:val="001E6DD2"/>
    <w:rsid w:val="001F0504"/>
    <w:rsid w:val="001F09F0"/>
    <w:rsid w:val="00205CCA"/>
    <w:rsid w:val="0020723A"/>
    <w:rsid w:val="002108D0"/>
    <w:rsid w:val="002201F7"/>
    <w:rsid w:val="00224F24"/>
    <w:rsid w:val="0023743E"/>
    <w:rsid w:val="00241DAF"/>
    <w:rsid w:val="002451EE"/>
    <w:rsid w:val="00247A45"/>
    <w:rsid w:val="0025197E"/>
    <w:rsid w:val="00272D1D"/>
    <w:rsid w:val="00281532"/>
    <w:rsid w:val="00295399"/>
    <w:rsid w:val="00295D57"/>
    <w:rsid w:val="002F7B77"/>
    <w:rsid w:val="003167D0"/>
    <w:rsid w:val="003405E9"/>
    <w:rsid w:val="00380A2B"/>
    <w:rsid w:val="00385BDD"/>
    <w:rsid w:val="003A4E31"/>
    <w:rsid w:val="003B5288"/>
    <w:rsid w:val="003C1CFB"/>
    <w:rsid w:val="003D3B92"/>
    <w:rsid w:val="003D7B4E"/>
    <w:rsid w:val="00402C2C"/>
    <w:rsid w:val="0043737C"/>
    <w:rsid w:val="00464D14"/>
    <w:rsid w:val="004838CC"/>
    <w:rsid w:val="00491CE0"/>
    <w:rsid w:val="004A5AD5"/>
    <w:rsid w:val="004B5BCE"/>
    <w:rsid w:val="004B7D31"/>
    <w:rsid w:val="004F47F8"/>
    <w:rsid w:val="005028CD"/>
    <w:rsid w:val="00504F17"/>
    <w:rsid w:val="00565D5A"/>
    <w:rsid w:val="00574276"/>
    <w:rsid w:val="005914E8"/>
    <w:rsid w:val="00595D79"/>
    <w:rsid w:val="005A219B"/>
    <w:rsid w:val="005C4518"/>
    <w:rsid w:val="005F085E"/>
    <w:rsid w:val="00603E57"/>
    <w:rsid w:val="0061036A"/>
    <w:rsid w:val="006250F2"/>
    <w:rsid w:val="00634070"/>
    <w:rsid w:val="006433AE"/>
    <w:rsid w:val="006575FD"/>
    <w:rsid w:val="00662443"/>
    <w:rsid w:val="0066490E"/>
    <w:rsid w:val="00673A12"/>
    <w:rsid w:val="006752AD"/>
    <w:rsid w:val="00694A30"/>
    <w:rsid w:val="00697287"/>
    <w:rsid w:val="006A7A92"/>
    <w:rsid w:val="006B037E"/>
    <w:rsid w:val="006B641E"/>
    <w:rsid w:val="006B7F5C"/>
    <w:rsid w:val="006C17BB"/>
    <w:rsid w:val="006C58E9"/>
    <w:rsid w:val="006D45B9"/>
    <w:rsid w:val="006F6FE2"/>
    <w:rsid w:val="00732BA0"/>
    <w:rsid w:val="007449E2"/>
    <w:rsid w:val="00754F92"/>
    <w:rsid w:val="007708BE"/>
    <w:rsid w:val="00780F6A"/>
    <w:rsid w:val="00783939"/>
    <w:rsid w:val="00796492"/>
    <w:rsid w:val="007A5140"/>
    <w:rsid w:val="007C7081"/>
    <w:rsid w:val="007D0029"/>
    <w:rsid w:val="007E294C"/>
    <w:rsid w:val="00825A85"/>
    <w:rsid w:val="008458AC"/>
    <w:rsid w:val="00857F24"/>
    <w:rsid w:val="0089208E"/>
    <w:rsid w:val="00895AD6"/>
    <w:rsid w:val="00896909"/>
    <w:rsid w:val="008B4A56"/>
    <w:rsid w:val="008C52DB"/>
    <w:rsid w:val="008D2E6D"/>
    <w:rsid w:val="008D57DB"/>
    <w:rsid w:val="008D5B6A"/>
    <w:rsid w:val="0092179E"/>
    <w:rsid w:val="00934994"/>
    <w:rsid w:val="0093513E"/>
    <w:rsid w:val="00940A2E"/>
    <w:rsid w:val="00955BD4"/>
    <w:rsid w:val="0096003F"/>
    <w:rsid w:val="0096565C"/>
    <w:rsid w:val="009719CC"/>
    <w:rsid w:val="009736A7"/>
    <w:rsid w:val="009837B6"/>
    <w:rsid w:val="009B4AB2"/>
    <w:rsid w:val="009E172F"/>
    <w:rsid w:val="009E475D"/>
    <w:rsid w:val="009E614A"/>
    <w:rsid w:val="009F7E0C"/>
    <w:rsid w:val="00A01C14"/>
    <w:rsid w:val="00A05D69"/>
    <w:rsid w:val="00A1533B"/>
    <w:rsid w:val="00A2008F"/>
    <w:rsid w:val="00A35A9D"/>
    <w:rsid w:val="00A4181D"/>
    <w:rsid w:val="00A47AD3"/>
    <w:rsid w:val="00A62457"/>
    <w:rsid w:val="00A67BF1"/>
    <w:rsid w:val="00A76CB5"/>
    <w:rsid w:val="00A83B41"/>
    <w:rsid w:val="00A90446"/>
    <w:rsid w:val="00A97377"/>
    <w:rsid w:val="00AA7282"/>
    <w:rsid w:val="00AB4002"/>
    <w:rsid w:val="00AC1195"/>
    <w:rsid w:val="00AC768F"/>
    <w:rsid w:val="00AD1AF2"/>
    <w:rsid w:val="00AE1ABF"/>
    <w:rsid w:val="00B06CB1"/>
    <w:rsid w:val="00B14367"/>
    <w:rsid w:val="00B23598"/>
    <w:rsid w:val="00B35EB0"/>
    <w:rsid w:val="00B70123"/>
    <w:rsid w:val="00B76EED"/>
    <w:rsid w:val="00BC3273"/>
    <w:rsid w:val="00BE14F2"/>
    <w:rsid w:val="00BE6EDE"/>
    <w:rsid w:val="00BF5AA9"/>
    <w:rsid w:val="00C12506"/>
    <w:rsid w:val="00C16D25"/>
    <w:rsid w:val="00C20E09"/>
    <w:rsid w:val="00C40F74"/>
    <w:rsid w:val="00C769C0"/>
    <w:rsid w:val="00C960E9"/>
    <w:rsid w:val="00CB0F11"/>
    <w:rsid w:val="00CC01B6"/>
    <w:rsid w:val="00D16211"/>
    <w:rsid w:val="00D22AB2"/>
    <w:rsid w:val="00D40683"/>
    <w:rsid w:val="00D5179A"/>
    <w:rsid w:val="00D759F3"/>
    <w:rsid w:val="00D84F8B"/>
    <w:rsid w:val="00D85A60"/>
    <w:rsid w:val="00D87467"/>
    <w:rsid w:val="00D95AFD"/>
    <w:rsid w:val="00DB5602"/>
    <w:rsid w:val="00DC4C22"/>
    <w:rsid w:val="00DD0418"/>
    <w:rsid w:val="00DD6E1E"/>
    <w:rsid w:val="00DE1770"/>
    <w:rsid w:val="00DE2103"/>
    <w:rsid w:val="00DF4A01"/>
    <w:rsid w:val="00DF663E"/>
    <w:rsid w:val="00E11349"/>
    <w:rsid w:val="00E24772"/>
    <w:rsid w:val="00E301CF"/>
    <w:rsid w:val="00E419BE"/>
    <w:rsid w:val="00E50192"/>
    <w:rsid w:val="00E54F10"/>
    <w:rsid w:val="00E91B63"/>
    <w:rsid w:val="00E93685"/>
    <w:rsid w:val="00E94003"/>
    <w:rsid w:val="00EA5B52"/>
    <w:rsid w:val="00EB723E"/>
    <w:rsid w:val="00ED5B12"/>
    <w:rsid w:val="00EF29CC"/>
    <w:rsid w:val="00EF6B59"/>
    <w:rsid w:val="00F16F51"/>
    <w:rsid w:val="00F209CF"/>
    <w:rsid w:val="00F835DE"/>
    <w:rsid w:val="00F92210"/>
    <w:rsid w:val="00FA4AC3"/>
    <w:rsid w:val="00FA6E04"/>
    <w:rsid w:val="00FC2E55"/>
    <w:rsid w:val="00FC31F1"/>
    <w:rsid w:val="00FD0079"/>
    <w:rsid w:val="00FD1395"/>
    <w:rsid w:val="00FD18E9"/>
    <w:rsid w:val="00FF102A"/>
    <w:rsid w:val="00FF1233"/>
    <w:rsid w:val="00FF30B7"/>
    <w:rsid w:val="00FF42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74D8"/>
  <w15:chartTrackingRefBased/>
  <w15:docId w15:val="{B6926C72-93E2-4B43-9A0A-56A8CB76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8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C768F"/>
    <w:pPr>
      <w:ind w:left="720"/>
      <w:contextualSpacing/>
    </w:pPr>
  </w:style>
  <w:style w:type="character" w:customStyle="1" w:styleId="a4">
    <w:name w:val="פיסקת רשימה תו"/>
    <w:link w:val="a3"/>
    <w:uiPriority w:val="34"/>
    <w:locked/>
    <w:rsid w:val="00AC768F"/>
  </w:style>
  <w:style w:type="paragraph" w:styleId="a5">
    <w:name w:val="footnote text"/>
    <w:basedOn w:val="a"/>
    <w:link w:val="a6"/>
    <w:uiPriority w:val="99"/>
    <w:semiHidden/>
    <w:unhideWhenUsed/>
    <w:rsid w:val="00CB0F11"/>
    <w:pPr>
      <w:spacing w:after="0" w:line="240" w:lineRule="auto"/>
    </w:pPr>
    <w:rPr>
      <w:sz w:val="20"/>
      <w:szCs w:val="20"/>
    </w:rPr>
  </w:style>
  <w:style w:type="character" w:customStyle="1" w:styleId="a6">
    <w:name w:val="טקסט הערת שוליים תו"/>
    <w:basedOn w:val="a0"/>
    <w:link w:val="a5"/>
    <w:uiPriority w:val="99"/>
    <w:semiHidden/>
    <w:rsid w:val="00CB0F11"/>
    <w:rPr>
      <w:sz w:val="20"/>
      <w:szCs w:val="20"/>
    </w:rPr>
  </w:style>
  <w:style w:type="character" w:styleId="a7">
    <w:name w:val="footnote reference"/>
    <w:basedOn w:val="a0"/>
    <w:uiPriority w:val="99"/>
    <w:semiHidden/>
    <w:unhideWhenUsed/>
    <w:rsid w:val="00CB0F11"/>
    <w:rPr>
      <w:vertAlign w:val="superscript"/>
    </w:rPr>
  </w:style>
  <w:style w:type="paragraph" w:styleId="a8">
    <w:name w:val="Balloon Text"/>
    <w:basedOn w:val="a"/>
    <w:link w:val="a9"/>
    <w:uiPriority w:val="99"/>
    <w:semiHidden/>
    <w:unhideWhenUsed/>
    <w:rsid w:val="00044521"/>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044521"/>
    <w:rPr>
      <w:rFonts w:ascii="Tahoma" w:hAnsi="Tahoma" w:cs="Tahoma"/>
      <w:sz w:val="18"/>
      <w:szCs w:val="18"/>
    </w:rPr>
  </w:style>
  <w:style w:type="table" w:styleId="1">
    <w:name w:val="Plain Table 1"/>
    <w:basedOn w:val="a1"/>
    <w:uiPriority w:val="41"/>
    <w:rsid w:val="00EF6B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a">
    <w:name w:val="Grid Table Light"/>
    <w:basedOn w:val="a1"/>
    <w:uiPriority w:val="40"/>
    <w:rsid w:val="00EF6B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
    <w:name w:val="Plain Table 2"/>
    <w:basedOn w:val="a1"/>
    <w:uiPriority w:val="42"/>
    <w:rsid w:val="00EF6B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EF6B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EF6B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EF6B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b">
    <w:name w:val="Table Grid"/>
    <w:basedOn w:val="a1"/>
    <w:uiPriority w:val="59"/>
    <w:rsid w:val="00EF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96492"/>
    <w:pPr>
      <w:tabs>
        <w:tab w:val="center" w:pos="4153"/>
        <w:tab w:val="right" w:pos="8306"/>
      </w:tabs>
      <w:spacing w:after="0" w:line="240" w:lineRule="auto"/>
    </w:pPr>
  </w:style>
  <w:style w:type="character" w:customStyle="1" w:styleId="ad">
    <w:name w:val="כותרת עליונה תו"/>
    <w:basedOn w:val="a0"/>
    <w:link w:val="ac"/>
    <w:uiPriority w:val="99"/>
    <w:rsid w:val="00796492"/>
  </w:style>
  <w:style w:type="paragraph" w:styleId="ae">
    <w:name w:val="footer"/>
    <w:basedOn w:val="a"/>
    <w:link w:val="af"/>
    <w:uiPriority w:val="99"/>
    <w:unhideWhenUsed/>
    <w:rsid w:val="00796492"/>
    <w:pPr>
      <w:tabs>
        <w:tab w:val="center" w:pos="4153"/>
        <w:tab w:val="right" w:pos="8306"/>
      </w:tabs>
      <w:spacing w:after="0" w:line="240" w:lineRule="auto"/>
    </w:pPr>
  </w:style>
  <w:style w:type="character" w:customStyle="1" w:styleId="af">
    <w:name w:val="כותרת תחתונה תו"/>
    <w:basedOn w:val="a0"/>
    <w:link w:val="ae"/>
    <w:uiPriority w:val="99"/>
    <w:rsid w:val="00796492"/>
  </w:style>
  <w:style w:type="character" w:styleId="af0">
    <w:name w:val="annotation reference"/>
    <w:basedOn w:val="a0"/>
    <w:uiPriority w:val="99"/>
    <w:semiHidden/>
    <w:unhideWhenUsed/>
    <w:rsid w:val="0061036A"/>
    <w:rPr>
      <w:sz w:val="16"/>
      <w:szCs w:val="16"/>
    </w:rPr>
  </w:style>
  <w:style w:type="paragraph" w:styleId="af1">
    <w:name w:val="annotation text"/>
    <w:basedOn w:val="a"/>
    <w:link w:val="af2"/>
    <w:uiPriority w:val="99"/>
    <w:semiHidden/>
    <w:unhideWhenUsed/>
    <w:rsid w:val="0061036A"/>
    <w:pPr>
      <w:spacing w:after="127" w:line="240" w:lineRule="auto"/>
      <w:ind w:left="119" w:right="5310" w:hanging="9"/>
      <w:jc w:val="both"/>
    </w:pPr>
    <w:rPr>
      <w:rFonts w:ascii="David" w:eastAsia="David" w:hAnsi="David" w:cs="David"/>
      <w:color w:val="000000"/>
      <w:sz w:val="20"/>
      <w:szCs w:val="20"/>
    </w:rPr>
  </w:style>
  <w:style w:type="character" w:customStyle="1" w:styleId="af2">
    <w:name w:val="טקסט הערה תו"/>
    <w:basedOn w:val="a0"/>
    <w:link w:val="af1"/>
    <w:uiPriority w:val="99"/>
    <w:semiHidden/>
    <w:rsid w:val="0061036A"/>
    <w:rPr>
      <w:rFonts w:ascii="David" w:eastAsia="David" w:hAnsi="David" w:cs="David"/>
      <w:color w:val="000000"/>
      <w:sz w:val="20"/>
      <w:szCs w:val="20"/>
    </w:rPr>
  </w:style>
  <w:style w:type="character" w:styleId="Hyperlink">
    <w:name w:val="Hyperlink"/>
    <w:basedOn w:val="a0"/>
    <w:uiPriority w:val="99"/>
    <w:unhideWhenUsed/>
    <w:rsid w:val="00BC3273"/>
    <w:rPr>
      <w:color w:val="0000FF" w:themeColor="hyperlink"/>
      <w:u w:val="single"/>
    </w:rPr>
  </w:style>
  <w:style w:type="paragraph" w:styleId="af3">
    <w:name w:val="annotation subject"/>
    <w:basedOn w:val="af1"/>
    <w:next w:val="af1"/>
    <w:link w:val="af4"/>
    <w:uiPriority w:val="99"/>
    <w:semiHidden/>
    <w:unhideWhenUsed/>
    <w:rsid w:val="003C1CFB"/>
    <w:pPr>
      <w:spacing w:after="200"/>
      <w:ind w:left="0" w:right="0" w:firstLine="0"/>
      <w:jc w:val="left"/>
    </w:pPr>
    <w:rPr>
      <w:rFonts w:asciiTheme="minorHAnsi" w:eastAsiaTheme="minorHAnsi" w:hAnsiTheme="minorHAnsi" w:cstheme="minorBidi"/>
      <w:b/>
      <w:bCs/>
      <w:color w:val="auto"/>
    </w:rPr>
  </w:style>
  <w:style w:type="character" w:customStyle="1" w:styleId="af4">
    <w:name w:val="נושא הערה תו"/>
    <w:basedOn w:val="af2"/>
    <w:link w:val="af3"/>
    <w:uiPriority w:val="99"/>
    <w:semiHidden/>
    <w:rsid w:val="003C1CFB"/>
    <w:rPr>
      <w:rFonts w:ascii="David" w:eastAsia="David" w:hAnsi="David" w:cs="Davi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53429">
      <w:bodyDiv w:val="1"/>
      <w:marLeft w:val="0"/>
      <w:marRight w:val="0"/>
      <w:marTop w:val="0"/>
      <w:marBottom w:val="0"/>
      <w:divBdr>
        <w:top w:val="none" w:sz="0" w:space="0" w:color="auto"/>
        <w:left w:val="none" w:sz="0" w:space="0" w:color="auto"/>
        <w:bottom w:val="none" w:sz="0" w:space="0" w:color="auto"/>
        <w:right w:val="none" w:sz="0" w:space="0" w:color="auto"/>
      </w:divBdr>
    </w:div>
    <w:div w:id="537162428">
      <w:bodyDiv w:val="1"/>
      <w:marLeft w:val="0"/>
      <w:marRight w:val="0"/>
      <w:marTop w:val="0"/>
      <w:marBottom w:val="0"/>
      <w:divBdr>
        <w:top w:val="none" w:sz="0" w:space="0" w:color="auto"/>
        <w:left w:val="none" w:sz="0" w:space="0" w:color="auto"/>
        <w:bottom w:val="none" w:sz="0" w:space="0" w:color="auto"/>
        <w:right w:val="none" w:sz="0" w:space="0" w:color="auto"/>
      </w:divBdr>
    </w:div>
    <w:div w:id="699401533">
      <w:bodyDiv w:val="1"/>
      <w:marLeft w:val="0"/>
      <w:marRight w:val="0"/>
      <w:marTop w:val="0"/>
      <w:marBottom w:val="0"/>
      <w:divBdr>
        <w:top w:val="none" w:sz="0" w:space="0" w:color="auto"/>
        <w:left w:val="none" w:sz="0" w:space="0" w:color="auto"/>
        <w:bottom w:val="none" w:sz="0" w:space="0" w:color="auto"/>
        <w:right w:val="none" w:sz="0" w:space="0" w:color="auto"/>
      </w:divBdr>
    </w:div>
    <w:div w:id="858012704">
      <w:bodyDiv w:val="1"/>
      <w:marLeft w:val="0"/>
      <w:marRight w:val="0"/>
      <w:marTop w:val="0"/>
      <w:marBottom w:val="0"/>
      <w:divBdr>
        <w:top w:val="none" w:sz="0" w:space="0" w:color="auto"/>
        <w:left w:val="none" w:sz="0" w:space="0" w:color="auto"/>
        <w:bottom w:val="none" w:sz="0" w:space="0" w:color="auto"/>
        <w:right w:val="none" w:sz="0" w:space="0" w:color="auto"/>
      </w:divBdr>
    </w:div>
    <w:div w:id="13872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oi.org.il/publications/pressreleases/06-11-23/" TargetMode="External"/><Relationship Id="rId4" Type="http://schemas.openxmlformats.org/officeDocument/2006/relationships/settings" Target="settings.xml"/><Relationship Id="rId9" Type="http://schemas.openxmlformats.org/officeDocument/2006/relationships/hyperlink" Target="https://www.boi.org.il/publications/pressreleases/06-11-2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BF07-A7BA-43C5-BB68-87B37B2E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431</Words>
  <Characters>2567</Characters>
  <Application>Microsoft Office Word</Application>
  <DocSecurity>0</DocSecurity>
  <Lines>46</Lines>
  <Paragraphs>17</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מימי רגב</dc:creator>
  <cp:keywords/>
  <dc:description/>
  <cp:lastModifiedBy>נטע כלפון</cp:lastModifiedBy>
  <cp:revision>3</cp:revision>
  <cp:lastPrinted>2020-12-13T08:22:00Z</cp:lastPrinted>
  <dcterms:created xsi:type="dcterms:W3CDTF">2023-11-21T05:46:00Z</dcterms:created>
  <dcterms:modified xsi:type="dcterms:W3CDTF">2023-11-21T06:11:00Z</dcterms:modified>
</cp:coreProperties>
</file>