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jc w:val="center"/>
        <w:tblLayout w:type="fixed"/>
        <w:tblLook w:val="0000" w:firstRow="0" w:lastRow="0" w:firstColumn="0" w:lastColumn="0" w:noHBand="0" w:noVBand="0"/>
      </w:tblPr>
      <w:tblGrid>
        <w:gridCol w:w="2840"/>
        <w:gridCol w:w="2596"/>
        <w:gridCol w:w="3084"/>
      </w:tblGrid>
      <w:tr w:rsidR="00DD5923" w:rsidRPr="00DB1CBC" w:rsidTr="00BC41DB">
        <w:trPr>
          <w:jc w:val="center"/>
        </w:trPr>
        <w:tc>
          <w:tcPr>
            <w:tcW w:w="2840" w:type="dxa"/>
            <w:tcBorders>
              <w:top w:val="nil"/>
              <w:left w:val="nil"/>
              <w:bottom w:val="nil"/>
              <w:right w:val="nil"/>
            </w:tcBorders>
            <w:vAlign w:val="center"/>
          </w:tcPr>
          <w:p w:rsidR="00DD5923" w:rsidRPr="00520BB4" w:rsidRDefault="00DD5923" w:rsidP="00BD5207">
            <w:pPr>
              <w:bidi/>
              <w:spacing w:line="360" w:lineRule="auto"/>
              <w:jc w:val="center"/>
              <w:rPr>
                <w:rFonts w:cs="David"/>
                <w:b/>
                <w:bCs/>
                <w:sz w:val="28"/>
                <w:szCs w:val="28"/>
              </w:rPr>
            </w:pPr>
            <w:r w:rsidRPr="00520BB4">
              <w:rPr>
                <w:rFonts w:cs="David"/>
                <w:b/>
                <w:bCs/>
                <w:sz w:val="28"/>
                <w:szCs w:val="28"/>
                <w:rtl/>
              </w:rPr>
              <w:t>בנ</w:t>
            </w:r>
            <w:r w:rsidRPr="00520BB4">
              <w:rPr>
                <w:rFonts w:cs="David" w:hint="cs"/>
                <w:b/>
                <w:bCs/>
                <w:sz w:val="28"/>
                <w:szCs w:val="28"/>
                <w:rtl/>
              </w:rPr>
              <w:t xml:space="preserve">ק </w:t>
            </w:r>
            <w:r w:rsidRPr="00520BB4">
              <w:rPr>
                <w:rFonts w:cs="David"/>
                <w:b/>
                <w:bCs/>
                <w:sz w:val="28"/>
                <w:szCs w:val="28"/>
                <w:rtl/>
              </w:rPr>
              <w:t>יש</w:t>
            </w:r>
            <w:r w:rsidRPr="00520BB4">
              <w:rPr>
                <w:rFonts w:cs="David" w:hint="cs"/>
                <w:b/>
                <w:bCs/>
                <w:sz w:val="28"/>
                <w:szCs w:val="28"/>
                <w:rtl/>
              </w:rPr>
              <w:t>ראל</w:t>
            </w:r>
          </w:p>
          <w:p w:rsidR="00DD5923" w:rsidRDefault="00DD5923" w:rsidP="00BD5207">
            <w:pPr>
              <w:bidi/>
              <w:spacing w:line="360" w:lineRule="auto"/>
              <w:ind w:right="-101"/>
              <w:jc w:val="center"/>
              <w:rPr>
                <w:sz w:val="24"/>
                <w:szCs w:val="24"/>
              </w:rPr>
            </w:pPr>
            <w:r w:rsidRPr="00520BB4">
              <w:rPr>
                <w:rFonts w:cs="David"/>
                <w:sz w:val="24"/>
                <w:szCs w:val="24"/>
                <w:rtl/>
              </w:rPr>
              <w:t>דו</w:t>
            </w:r>
            <w:r w:rsidRPr="00520BB4">
              <w:rPr>
                <w:rFonts w:cs="David" w:hint="cs"/>
                <w:sz w:val="24"/>
                <w:szCs w:val="24"/>
                <w:rtl/>
              </w:rPr>
              <w:t>בר</w:t>
            </w:r>
            <w:r w:rsidRPr="00520BB4">
              <w:rPr>
                <w:rFonts w:cs="David"/>
                <w:sz w:val="24"/>
                <w:szCs w:val="24"/>
                <w:rtl/>
              </w:rPr>
              <w:t>ות</w:t>
            </w:r>
            <w:r w:rsidRPr="00520BB4">
              <w:rPr>
                <w:rFonts w:cs="David" w:hint="cs"/>
                <w:sz w:val="24"/>
                <w:szCs w:val="24"/>
                <w:rtl/>
              </w:rPr>
              <w:t xml:space="preserve"> והסברה כלכלית</w:t>
            </w:r>
          </w:p>
        </w:tc>
        <w:tc>
          <w:tcPr>
            <w:tcW w:w="2596" w:type="dxa"/>
            <w:tcBorders>
              <w:top w:val="nil"/>
              <w:left w:val="nil"/>
              <w:bottom w:val="nil"/>
              <w:right w:val="nil"/>
            </w:tcBorders>
          </w:tcPr>
          <w:p w:rsidR="00DD5923" w:rsidRDefault="00F36470" w:rsidP="00BD5207">
            <w:pPr>
              <w:bidi/>
              <w:jc w:val="center"/>
            </w:pPr>
            <w:r>
              <w:rPr>
                <w:noProof/>
                <w:rtl/>
                <w:lang w:eastAsia="en-US"/>
              </w:rPr>
              <w:drawing>
                <wp:inline distT="0" distB="0" distL="0" distR="0">
                  <wp:extent cx="981886" cy="542925"/>
                  <wp:effectExtent l="0" t="0" r="8890" b="0"/>
                  <wp:docPr id="2" name="תמונה 2" descr="C:\Users\u20m\AppData\Local\Microsoft\Windows\Temporary Internet Files\Content.Outlook\QG6DHDKN\60Y+bank_Color_CMYK_300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m\AppData\Local\Microsoft\Windows\Temporary Internet Files\Content.Outlook\QG6DHDKN\60Y+bank_Color_CMYK_300DPI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86" cy="542925"/>
                          </a:xfrm>
                          <a:prstGeom prst="rect">
                            <a:avLst/>
                          </a:prstGeom>
                          <a:noFill/>
                          <a:ln>
                            <a:noFill/>
                          </a:ln>
                        </pic:spPr>
                      </pic:pic>
                    </a:graphicData>
                  </a:graphic>
                </wp:inline>
              </w:drawing>
            </w:r>
          </w:p>
        </w:tc>
        <w:tc>
          <w:tcPr>
            <w:tcW w:w="3084" w:type="dxa"/>
            <w:tcBorders>
              <w:top w:val="nil"/>
              <w:left w:val="nil"/>
              <w:bottom w:val="nil"/>
              <w:right w:val="nil"/>
            </w:tcBorders>
            <w:vAlign w:val="center"/>
          </w:tcPr>
          <w:p w:rsidR="00DD5923" w:rsidRDefault="00DD5923" w:rsidP="00441E07">
            <w:pPr>
              <w:bidi/>
              <w:spacing w:line="480" w:lineRule="auto"/>
              <w:jc w:val="right"/>
              <w:rPr>
                <w:rFonts w:cs="David"/>
                <w:sz w:val="24"/>
                <w:szCs w:val="24"/>
              </w:rPr>
            </w:pPr>
            <w:r>
              <w:rPr>
                <w:rFonts w:cs="David" w:hint="eastAsia"/>
                <w:sz w:val="24"/>
                <w:szCs w:val="24"/>
                <w:rtl/>
              </w:rPr>
              <w:t>‏</w:t>
            </w:r>
            <w:r w:rsidR="00446E94">
              <w:rPr>
                <w:rFonts w:cs="David" w:hint="cs"/>
                <w:sz w:val="24"/>
                <w:szCs w:val="24"/>
                <w:rtl/>
              </w:rPr>
              <w:t>ירושלים, ד' בסיון</w:t>
            </w:r>
            <w:r w:rsidR="00441E07">
              <w:rPr>
                <w:rFonts w:cs="David" w:hint="cs"/>
                <w:sz w:val="24"/>
                <w:szCs w:val="24"/>
                <w:rtl/>
              </w:rPr>
              <w:t xml:space="preserve"> </w:t>
            </w:r>
            <w:r w:rsidR="00614095">
              <w:rPr>
                <w:rFonts w:cs="David" w:hint="cs"/>
                <w:sz w:val="24"/>
                <w:szCs w:val="24"/>
                <w:rtl/>
              </w:rPr>
              <w:t>ה</w:t>
            </w:r>
            <w:r w:rsidR="004625EB">
              <w:rPr>
                <w:rFonts w:cs="David"/>
                <w:sz w:val="24"/>
                <w:szCs w:val="24"/>
                <w:rtl/>
              </w:rPr>
              <w:t>תשע"</w:t>
            </w:r>
            <w:r w:rsidR="004625EB">
              <w:rPr>
                <w:rFonts w:cs="David" w:hint="cs"/>
                <w:sz w:val="24"/>
                <w:szCs w:val="24"/>
                <w:rtl/>
              </w:rPr>
              <w:t>ד</w:t>
            </w:r>
          </w:p>
          <w:p w:rsidR="00DD5923" w:rsidRPr="00DF107C" w:rsidRDefault="00DD5923" w:rsidP="00446E94">
            <w:pPr>
              <w:bidi/>
              <w:spacing w:line="480" w:lineRule="auto"/>
              <w:jc w:val="right"/>
              <w:rPr>
                <w:rFonts w:cs="David"/>
                <w:sz w:val="24"/>
                <w:szCs w:val="24"/>
              </w:rPr>
            </w:pPr>
            <w:r>
              <w:rPr>
                <w:rFonts w:cs="David" w:hint="eastAsia"/>
                <w:sz w:val="24"/>
                <w:szCs w:val="24"/>
                <w:rtl/>
              </w:rPr>
              <w:t>‏‏</w:t>
            </w:r>
            <w:r w:rsidR="00446E94">
              <w:rPr>
                <w:rFonts w:cs="David" w:hint="cs"/>
                <w:sz w:val="24"/>
                <w:szCs w:val="24"/>
                <w:rtl/>
              </w:rPr>
              <w:t>2 ביוני</w:t>
            </w:r>
            <w:r w:rsidR="00D81EC3">
              <w:rPr>
                <w:rFonts w:cs="David" w:hint="cs"/>
                <w:sz w:val="24"/>
                <w:szCs w:val="24"/>
                <w:rtl/>
              </w:rPr>
              <w:t xml:space="preserve"> 2014</w:t>
            </w:r>
          </w:p>
        </w:tc>
      </w:tr>
    </w:tbl>
    <w:p w:rsidR="00FE034E" w:rsidRDefault="00FE034E" w:rsidP="00BD5207">
      <w:pPr>
        <w:bidi/>
        <w:rPr>
          <w:rtl/>
        </w:rPr>
      </w:pPr>
    </w:p>
    <w:p w:rsidR="007E18EE" w:rsidRDefault="007E18EE" w:rsidP="00BD5207">
      <w:pPr>
        <w:bidi/>
        <w:spacing w:line="360" w:lineRule="auto"/>
        <w:ind w:right="-101"/>
        <w:rPr>
          <w:rFonts w:cs="David"/>
          <w:sz w:val="24"/>
          <w:szCs w:val="24"/>
          <w:rtl/>
        </w:rPr>
      </w:pPr>
      <w:r w:rsidRPr="007E18EE">
        <w:rPr>
          <w:rFonts w:cs="David" w:hint="cs"/>
          <w:sz w:val="24"/>
          <w:szCs w:val="24"/>
          <w:rtl/>
        </w:rPr>
        <w:t>הודעה לעיתונות:</w:t>
      </w:r>
    </w:p>
    <w:p w:rsidR="00446E94" w:rsidRDefault="00446E94" w:rsidP="00446E94">
      <w:pPr>
        <w:bidi/>
        <w:spacing w:line="360" w:lineRule="auto"/>
        <w:jc w:val="center"/>
        <w:rPr>
          <w:rFonts w:cs="David"/>
          <w:b/>
          <w:bCs/>
          <w:sz w:val="24"/>
          <w:szCs w:val="24"/>
          <w:u w:val="single"/>
          <w:rtl/>
        </w:rPr>
      </w:pPr>
    </w:p>
    <w:p w:rsidR="00446E94" w:rsidRPr="00446E94" w:rsidRDefault="007534E9" w:rsidP="00446E94">
      <w:pPr>
        <w:bidi/>
        <w:spacing w:line="360" w:lineRule="auto"/>
        <w:jc w:val="center"/>
        <w:rPr>
          <w:rFonts w:cs="David"/>
          <w:b/>
          <w:bCs/>
          <w:sz w:val="24"/>
          <w:szCs w:val="24"/>
          <w:u w:val="single"/>
        </w:rPr>
      </w:pPr>
      <w:r>
        <w:rPr>
          <w:rFonts w:cs="David" w:hint="cs"/>
          <w:b/>
          <w:bCs/>
          <w:sz w:val="24"/>
          <w:szCs w:val="24"/>
          <w:u w:val="single"/>
          <w:rtl/>
        </w:rPr>
        <w:t xml:space="preserve">דברי המשנה לנגידת בנק ישראל, </w:t>
      </w:r>
      <w:r w:rsidR="00446E94" w:rsidRPr="00446E94">
        <w:rPr>
          <w:rFonts w:cs="David" w:hint="cs"/>
          <w:b/>
          <w:bCs/>
          <w:sz w:val="24"/>
          <w:szCs w:val="24"/>
          <w:u w:val="single"/>
          <w:rtl/>
        </w:rPr>
        <w:t xml:space="preserve">ד"ר נדין בודו טרכטנברג, בוועידת שוק ההון </w:t>
      </w:r>
      <w:r w:rsidR="00517BCD">
        <w:rPr>
          <w:rFonts w:cs="David" w:hint="cs"/>
          <w:b/>
          <w:bCs/>
          <w:sz w:val="24"/>
          <w:szCs w:val="24"/>
          <w:u w:val="single"/>
          <w:rtl/>
        </w:rPr>
        <w:t xml:space="preserve"> של </w:t>
      </w:r>
      <w:r w:rsidR="00446E94" w:rsidRPr="00446E94">
        <w:rPr>
          <w:rFonts w:cs="David" w:hint="cs"/>
          <w:b/>
          <w:bCs/>
          <w:sz w:val="24"/>
          <w:szCs w:val="24"/>
          <w:u w:val="single"/>
          <w:rtl/>
        </w:rPr>
        <w:t>"גלובס"</w:t>
      </w:r>
    </w:p>
    <w:p w:rsidR="00446E94" w:rsidRPr="00446E94" w:rsidRDefault="00446E94" w:rsidP="00446E94">
      <w:pPr>
        <w:bidi/>
        <w:spacing w:line="360" w:lineRule="auto"/>
        <w:jc w:val="both"/>
        <w:rPr>
          <w:rFonts w:cs="David"/>
          <w:sz w:val="24"/>
          <w:szCs w:val="24"/>
          <w:rtl/>
        </w:rPr>
      </w:pPr>
    </w:p>
    <w:p w:rsidR="008D6F39" w:rsidRDefault="00446E94" w:rsidP="00EC59D5">
      <w:pPr>
        <w:bidi/>
        <w:spacing w:line="360" w:lineRule="auto"/>
        <w:jc w:val="both"/>
        <w:rPr>
          <w:rFonts w:cs="David"/>
          <w:sz w:val="24"/>
          <w:szCs w:val="24"/>
          <w:rtl/>
        </w:rPr>
      </w:pPr>
      <w:r w:rsidRPr="00446E94">
        <w:rPr>
          <w:rFonts w:cs="David" w:hint="cs"/>
          <w:sz w:val="24"/>
          <w:szCs w:val="24"/>
          <w:rtl/>
        </w:rPr>
        <w:t xml:space="preserve">זו </w:t>
      </w:r>
      <w:r w:rsidR="008D6F39">
        <w:rPr>
          <w:rFonts w:cs="David" w:hint="cs"/>
          <w:sz w:val="24"/>
          <w:szCs w:val="24"/>
          <w:rtl/>
        </w:rPr>
        <w:t>ההרצאה הפומבית הראשונה שלי בתפקידי</w:t>
      </w:r>
      <w:r w:rsidRPr="00446E94">
        <w:rPr>
          <w:rFonts w:cs="David" w:hint="cs"/>
          <w:sz w:val="24"/>
          <w:szCs w:val="24"/>
          <w:rtl/>
        </w:rPr>
        <w:t xml:space="preserve"> כמשנה לנגידה, </w:t>
      </w:r>
      <w:r w:rsidR="008D6F39">
        <w:rPr>
          <w:rFonts w:cs="David" w:hint="cs"/>
          <w:sz w:val="24"/>
          <w:szCs w:val="24"/>
          <w:rtl/>
        </w:rPr>
        <w:t xml:space="preserve">ואני שמחה לחזור לדבר </w:t>
      </w:r>
      <w:r w:rsidR="00EC59D5">
        <w:rPr>
          <w:rFonts w:cs="David" w:hint="cs"/>
          <w:sz w:val="24"/>
          <w:szCs w:val="24"/>
          <w:rtl/>
        </w:rPr>
        <w:t xml:space="preserve">בפני הפעילים </w:t>
      </w:r>
      <w:r w:rsidR="008D6F39">
        <w:rPr>
          <w:rFonts w:cs="David" w:hint="cs"/>
          <w:sz w:val="24"/>
          <w:szCs w:val="24"/>
          <w:rtl/>
        </w:rPr>
        <w:t xml:space="preserve">בשוק ההון. אני רוצה לחזור בהרצאתי אל ישיבת הועדה המוניטרית שנערכה לפני שבוע, בה החלטנו להותיר את הריבית ברמתה הנוכחית, ולדבר על מה שראינו, וגם על מה שלא ראינו, בהתפתחויות במשק. אזכיר שלבנק ישראל ישנם שלושה יעדים, אשר עומדים ברקע בעת קבלת החלטות המדיניות. היעד הראשון, הקלאסי, והכל כך רלוונטי מבחינה היסטורית למדינת ישראל, </w:t>
      </w:r>
      <w:r w:rsidRPr="00446E94">
        <w:rPr>
          <w:rFonts w:cs="David" w:hint="cs"/>
          <w:sz w:val="24"/>
          <w:szCs w:val="24"/>
          <w:rtl/>
        </w:rPr>
        <w:t xml:space="preserve"> הוא כמובן יציבות </w:t>
      </w:r>
      <w:r w:rsidR="008D6F39">
        <w:rPr>
          <w:rFonts w:cs="David" w:hint="cs"/>
          <w:sz w:val="24"/>
          <w:szCs w:val="24"/>
          <w:rtl/>
        </w:rPr>
        <w:t>ה</w:t>
      </w:r>
      <w:r w:rsidRPr="00446E94">
        <w:rPr>
          <w:rFonts w:cs="David" w:hint="cs"/>
          <w:sz w:val="24"/>
          <w:szCs w:val="24"/>
          <w:rtl/>
        </w:rPr>
        <w:t xml:space="preserve">מחירים. </w:t>
      </w:r>
      <w:r w:rsidR="008D6F39">
        <w:rPr>
          <w:rFonts w:cs="David" w:hint="cs"/>
          <w:sz w:val="24"/>
          <w:szCs w:val="24"/>
          <w:rtl/>
        </w:rPr>
        <w:t xml:space="preserve">היעד השני עוסק בין השאר בהתפתחויות הריאליות, והשלישי הוא נושא לא חדש, </w:t>
      </w:r>
      <w:r w:rsidRPr="00446E94">
        <w:rPr>
          <w:rFonts w:cs="David" w:hint="cs"/>
          <w:sz w:val="24"/>
          <w:szCs w:val="24"/>
          <w:rtl/>
        </w:rPr>
        <w:t xml:space="preserve">אבל החשיבות שלו חדשה, זו כמובן היציבות הפיננסית. </w:t>
      </w:r>
      <w:r w:rsidR="008D6F39">
        <w:rPr>
          <w:rFonts w:cs="David" w:hint="cs"/>
          <w:sz w:val="24"/>
          <w:szCs w:val="24"/>
          <w:rtl/>
        </w:rPr>
        <w:t>המשמעות היא ש</w:t>
      </w:r>
      <w:r w:rsidRPr="00446E94">
        <w:rPr>
          <w:rFonts w:cs="David" w:hint="cs"/>
          <w:sz w:val="24"/>
          <w:szCs w:val="24"/>
          <w:rtl/>
        </w:rPr>
        <w:t>כאשר אנחנו מסתכלים על הנתונים, אנחנו מסתכלים כמובן על האינפלציה</w:t>
      </w:r>
      <w:r w:rsidR="008D6F39">
        <w:rPr>
          <w:rFonts w:cs="David" w:hint="cs"/>
          <w:sz w:val="24"/>
          <w:szCs w:val="24"/>
          <w:rtl/>
        </w:rPr>
        <w:t xml:space="preserve">, </w:t>
      </w:r>
      <w:r w:rsidRPr="00446E94">
        <w:rPr>
          <w:rFonts w:cs="David" w:hint="cs"/>
          <w:sz w:val="24"/>
          <w:szCs w:val="24"/>
          <w:rtl/>
        </w:rPr>
        <w:t xml:space="preserve">ואולי </w:t>
      </w:r>
      <w:r w:rsidR="008D6F39">
        <w:rPr>
          <w:rFonts w:cs="David" w:hint="cs"/>
          <w:sz w:val="24"/>
          <w:szCs w:val="24"/>
          <w:rtl/>
        </w:rPr>
        <w:t xml:space="preserve">אפילו יותר חשוב ממנה, </w:t>
      </w:r>
      <w:r w:rsidRPr="00446E94">
        <w:rPr>
          <w:rFonts w:cs="David" w:hint="cs"/>
          <w:sz w:val="24"/>
          <w:szCs w:val="24"/>
          <w:rtl/>
        </w:rPr>
        <w:t xml:space="preserve">על הציפיות לאינפלציה. שנית, </w:t>
      </w:r>
      <w:r w:rsidR="008D6F39">
        <w:rPr>
          <w:rFonts w:cs="David" w:hint="cs"/>
          <w:sz w:val="24"/>
          <w:szCs w:val="24"/>
          <w:rtl/>
        </w:rPr>
        <w:t xml:space="preserve">אנו בוחנים את </w:t>
      </w:r>
      <w:r w:rsidRPr="00446E94">
        <w:rPr>
          <w:rFonts w:cs="David" w:hint="cs"/>
          <w:sz w:val="24"/>
          <w:szCs w:val="24"/>
          <w:rtl/>
        </w:rPr>
        <w:t xml:space="preserve">ההתפתחויות הריאליות, </w:t>
      </w:r>
      <w:r w:rsidR="008D6F39">
        <w:rPr>
          <w:rFonts w:cs="David" w:hint="cs"/>
          <w:sz w:val="24"/>
          <w:szCs w:val="24"/>
          <w:rtl/>
        </w:rPr>
        <w:t>ו</w:t>
      </w:r>
      <w:r w:rsidRPr="00446E94">
        <w:rPr>
          <w:rFonts w:cs="David" w:hint="cs"/>
          <w:sz w:val="24"/>
          <w:szCs w:val="24"/>
          <w:rtl/>
        </w:rPr>
        <w:t xml:space="preserve">מפרשים את הנתונים החדשים שהתקבלו בחודש האחרון, ושלישית, </w:t>
      </w:r>
      <w:r w:rsidR="008D6F39">
        <w:rPr>
          <w:rFonts w:cs="David" w:hint="cs"/>
          <w:sz w:val="24"/>
          <w:szCs w:val="24"/>
          <w:rtl/>
        </w:rPr>
        <w:t xml:space="preserve">אנו עוקבים האחר ההתפתחויות </w:t>
      </w:r>
      <w:r w:rsidRPr="00446E94">
        <w:rPr>
          <w:rFonts w:cs="David" w:hint="cs"/>
          <w:sz w:val="24"/>
          <w:szCs w:val="24"/>
          <w:rtl/>
        </w:rPr>
        <w:t>בשוק</w:t>
      </w:r>
      <w:r w:rsidR="008D6F39">
        <w:rPr>
          <w:rFonts w:cs="David" w:hint="cs"/>
          <w:sz w:val="24"/>
          <w:szCs w:val="24"/>
          <w:rtl/>
        </w:rPr>
        <w:t>י</w:t>
      </w:r>
      <w:r w:rsidR="007534E9">
        <w:rPr>
          <w:rFonts w:cs="David" w:hint="cs"/>
          <w:sz w:val="24"/>
          <w:szCs w:val="24"/>
          <w:rtl/>
        </w:rPr>
        <w:t xml:space="preserve"> הנכסים, ואחר </w:t>
      </w:r>
      <w:r w:rsidRPr="00446E94">
        <w:rPr>
          <w:rFonts w:cs="David" w:hint="cs"/>
          <w:sz w:val="24"/>
          <w:szCs w:val="24"/>
          <w:rtl/>
        </w:rPr>
        <w:t xml:space="preserve">רמת המינוף </w:t>
      </w:r>
      <w:r w:rsidR="008D6F39">
        <w:rPr>
          <w:rFonts w:cs="David" w:hint="cs"/>
          <w:sz w:val="24"/>
          <w:szCs w:val="24"/>
          <w:rtl/>
        </w:rPr>
        <w:t>במשק</w:t>
      </w:r>
      <w:r w:rsidRPr="00446E94">
        <w:rPr>
          <w:rFonts w:cs="David" w:hint="cs"/>
          <w:sz w:val="24"/>
          <w:szCs w:val="24"/>
          <w:rtl/>
        </w:rPr>
        <w:t xml:space="preserve">, שהיא כמובן אחת מהאינדיקציות החשובות ליציבות פיננסית. </w:t>
      </w:r>
    </w:p>
    <w:p w:rsidR="008D6F39" w:rsidRDefault="008D6F39" w:rsidP="008D6F39">
      <w:pPr>
        <w:bidi/>
        <w:spacing w:line="360" w:lineRule="auto"/>
        <w:jc w:val="both"/>
        <w:rPr>
          <w:rFonts w:cs="David"/>
          <w:sz w:val="24"/>
          <w:szCs w:val="24"/>
          <w:rtl/>
        </w:rPr>
      </w:pPr>
    </w:p>
    <w:p w:rsidR="00E83A9A" w:rsidRDefault="00517BCD" w:rsidP="007534E9">
      <w:pPr>
        <w:bidi/>
        <w:spacing w:line="360" w:lineRule="auto"/>
        <w:jc w:val="both"/>
        <w:rPr>
          <w:rFonts w:cs="David"/>
          <w:sz w:val="24"/>
          <w:szCs w:val="24"/>
          <w:rtl/>
        </w:rPr>
      </w:pPr>
      <w:r>
        <w:rPr>
          <w:rFonts w:cs="David" w:hint="cs"/>
          <w:sz w:val="24"/>
          <w:szCs w:val="24"/>
          <w:rtl/>
        </w:rPr>
        <w:t xml:space="preserve">נתחיל </w:t>
      </w:r>
      <w:r w:rsidR="007534E9">
        <w:rPr>
          <w:rFonts w:cs="David" w:hint="cs"/>
          <w:sz w:val="24"/>
          <w:szCs w:val="24"/>
          <w:rtl/>
        </w:rPr>
        <w:t>עם האינפלציה</w:t>
      </w:r>
      <w:r>
        <w:rPr>
          <w:rFonts w:cs="David" w:hint="cs"/>
          <w:sz w:val="24"/>
          <w:szCs w:val="24"/>
          <w:rtl/>
        </w:rPr>
        <w:t xml:space="preserve"> </w:t>
      </w:r>
      <w:r w:rsidR="007534E9">
        <w:rPr>
          <w:rFonts w:cs="David" w:hint="cs"/>
          <w:sz w:val="24"/>
          <w:szCs w:val="24"/>
          <w:rtl/>
        </w:rPr>
        <w:t>(שק</w:t>
      </w:r>
      <w:r>
        <w:rPr>
          <w:rFonts w:cs="David" w:hint="cs"/>
          <w:sz w:val="24"/>
          <w:szCs w:val="24"/>
          <w:rtl/>
        </w:rPr>
        <w:t>ף 2)</w:t>
      </w:r>
      <w:r w:rsidR="007534E9">
        <w:rPr>
          <w:rFonts w:cs="David" w:hint="cs"/>
          <w:sz w:val="24"/>
          <w:szCs w:val="24"/>
          <w:rtl/>
        </w:rPr>
        <w:t xml:space="preserve">. </w:t>
      </w:r>
      <w:r w:rsidR="00446E94" w:rsidRPr="00446E94">
        <w:rPr>
          <w:rFonts w:cs="David" w:hint="cs"/>
          <w:sz w:val="24"/>
          <w:szCs w:val="24"/>
          <w:rtl/>
        </w:rPr>
        <w:t>ה</w:t>
      </w:r>
      <w:r w:rsidR="007534E9">
        <w:rPr>
          <w:rFonts w:cs="David" w:hint="cs"/>
          <w:sz w:val="24"/>
          <w:szCs w:val="24"/>
          <w:rtl/>
        </w:rPr>
        <w:t xml:space="preserve">אינפלציה ב-12 החודשים האחרונים </w:t>
      </w:r>
      <w:r>
        <w:rPr>
          <w:rFonts w:cs="David" w:hint="cs"/>
          <w:sz w:val="24"/>
          <w:szCs w:val="24"/>
          <w:rtl/>
        </w:rPr>
        <w:t xml:space="preserve">נמצאת בגבול התחתון של היעד, שהוא בין 1-3%. </w:t>
      </w:r>
      <w:r w:rsidR="00446E94" w:rsidRPr="00446E94">
        <w:rPr>
          <w:rFonts w:cs="David" w:hint="cs"/>
          <w:sz w:val="24"/>
          <w:szCs w:val="24"/>
          <w:rtl/>
        </w:rPr>
        <w:t xml:space="preserve"> הציפיות, לעומת זאת, יותר קרובות </w:t>
      </w:r>
      <w:r>
        <w:rPr>
          <w:rFonts w:cs="David" w:hint="cs"/>
          <w:sz w:val="24"/>
          <w:szCs w:val="24"/>
          <w:rtl/>
        </w:rPr>
        <w:t xml:space="preserve">למרכז היעד, אם כי הן ירדו קצת לאחרונה. </w:t>
      </w:r>
      <w:r w:rsidR="00446E94" w:rsidRPr="00446E94">
        <w:rPr>
          <w:rFonts w:cs="David" w:hint="cs"/>
          <w:sz w:val="24"/>
          <w:szCs w:val="24"/>
          <w:rtl/>
        </w:rPr>
        <w:t xml:space="preserve">אנחנו מסתכלים </w:t>
      </w:r>
      <w:r>
        <w:rPr>
          <w:rFonts w:cs="David" w:hint="cs"/>
          <w:sz w:val="24"/>
          <w:szCs w:val="24"/>
          <w:rtl/>
        </w:rPr>
        <w:t xml:space="preserve">גם </w:t>
      </w:r>
      <w:r w:rsidR="00446E94" w:rsidRPr="00446E94">
        <w:rPr>
          <w:rFonts w:cs="David" w:hint="cs"/>
          <w:sz w:val="24"/>
          <w:szCs w:val="24"/>
          <w:rtl/>
        </w:rPr>
        <w:t>על הציפיות לאינפלציה לטווח ארוך</w:t>
      </w:r>
      <w:r>
        <w:rPr>
          <w:rFonts w:cs="David" w:hint="cs"/>
          <w:sz w:val="24"/>
          <w:szCs w:val="24"/>
          <w:rtl/>
        </w:rPr>
        <w:t xml:space="preserve"> שנמצאות גם הן בתוך היעד. (שקף 3). כעת, אם ננתח את האינפלציה היחסית נמוכה שיש אצלנו, ננסה להבין כמה ממנה נובע מאינפלציה נמוכה בארץ וכמה מיובא מחו"ל. ניתן לראות (שקף 4) שהאינפלציה נמוכה גם בחו"ל, ובולט המקרה של שוויץ שמתמודדת כבר מזה זמן עם אינפלציה נמוכה, ואפילו שלילית, וזה כמובן לא המצב בישראל. אם נפרק את מדד המחירים לצרכן ונסתכל בנפרד על האינפלציה של הסעיפים הסחירים ואלו שאינם סחירים, ניתן לראות פער משמעותי (שקף 5) - </w:t>
      </w:r>
      <w:r w:rsidR="00446E94" w:rsidRPr="00446E94">
        <w:rPr>
          <w:rFonts w:cs="David" w:hint="cs"/>
          <w:sz w:val="24"/>
          <w:szCs w:val="24"/>
          <w:rtl/>
        </w:rPr>
        <w:t xml:space="preserve"> האינפלציה של המוצרים הסחירים שלילית </w:t>
      </w:r>
      <w:r>
        <w:rPr>
          <w:rFonts w:cs="David" w:hint="cs"/>
          <w:sz w:val="24"/>
          <w:szCs w:val="24"/>
          <w:rtl/>
        </w:rPr>
        <w:t xml:space="preserve">מזה מספר חודשים </w:t>
      </w:r>
      <w:r>
        <w:rPr>
          <w:rFonts w:cs="David"/>
          <w:sz w:val="24"/>
          <w:szCs w:val="24"/>
          <w:rtl/>
        </w:rPr>
        <w:t>–</w:t>
      </w:r>
      <w:r>
        <w:rPr>
          <w:rFonts w:cs="David" w:hint="cs"/>
          <w:sz w:val="24"/>
          <w:szCs w:val="24"/>
          <w:rtl/>
        </w:rPr>
        <w:t xml:space="preserve"> בשנים עשר החודשים </w:t>
      </w:r>
      <w:r w:rsidR="007534E9">
        <w:rPr>
          <w:rFonts w:cs="David" w:hint="cs"/>
          <w:sz w:val="24"/>
          <w:szCs w:val="24"/>
          <w:rtl/>
        </w:rPr>
        <w:t xml:space="preserve">האחרונים </w:t>
      </w:r>
      <w:r>
        <w:rPr>
          <w:rFonts w:cs="David" w:hint="cs"/>
          <w:sz w:val="24"/>
          <w:szCs w:val="24"/>
          <w:rtl/>
        </w:rPr>
        <w:t xml:space="preserve">מחירי המוצרים הסחירים ירדו ב-0.86%. המשמעות היא שאנו למעשה מייבאים אלינו </w:t>
      </w:r>
      <w:r w:rsidR="00D66105">
        <w:rPr>
          <w:rFonts w:cs="David" w:hint="cs"/>
          <w:sz w:val="24"/>
          <w:szCs w:val="24"/>
          <w:rtl/>
        </w:rPr>
        <w:t>דפלציה</w:t>
      </w:r>
      <w:r>
        <w:rPr>
          <w:rFonts w:cs="David" w:hint="cs"/>
          <w:sz w:val="24"/>
          <w:szCs w:val="24"/>
          <w:rtl/>
        </w:rPr>
        <w:t xml:space="preserve"> מחו"ל </w:t>
      </w:r>
      <w:r>
        <w:rPr>
          <w:rFonts w:cs="David"/>
          <w:sz w:val="24"/>
          <w:szCs w:val="24"/>
          <w:rtl/>
        </w:rPr>
        <w:t>–</w:t>
      </w:r>
      <w:r>
        <w:rPr>
          <w:rFonts w:cs="David" w:hint="cs"/>
          <w:sz w:val="24"/>
          <w:szCs w:val="24"/>
          <w:rtl/>
        </w:rPr>
        <w:t xml:space="preserve"> בחלקה מדובר ברמתו המיוספת של שער החליפין, והחלק האחר הוא פשוט האינפלציה הנמוכה שיש בחו"ל. </w:t>
      </w:r>
      <w:r w:rsidR="00446E94" w:rsidRPr="00446E94">
        <w:rPr>
          <w:rFonts w:cs="David" w:hint="cs"/>
          <w:sz w:val="24"/>
          <w:szCs w:val="24"/>
          <w:rtl/>
        </w:rPr>
        <w:t xml:space="preserve">במוצרים </w:t>
      </w:r>
      <w:r>
        <w:rPr>
          <w:rFonts w:cs="David" w:hint="cs"/>
          <w:sz w:val="24"/>
          <w:szCs w:val="24"/>
          <w:rtl/>
        </w:rPr>
        <w:t xml:space="preserve">הבלתי </w:t>
      </w:r>
      <w:r w:rsidR="00446E94" w:rsidRPr="00446E94">
        <w:rPr>
          <w:rFonts w:cs="David" w:hint="cs"/>
          <w:sz w:val="24"/>
          <w:szCs w:val="24"/>
          <w:rtl/>
        </w:rPr>
        <w:t xml:space="preserve">הסחירים, לעומת </w:t>
      </w:r>
      <w:r>
        <w:rPr>
          <w:rFonts w:cs="David" w:hint="cs"/>
          <w:sz w:val="24"/>
          <w:szCs w:val="24"/>
          <w:rtl/>
        </w:rPr>
        <w:t>זאת, אנחנו עדיין רואים אינפלציה שנמצאת</w:t>
      </w:r>
      <w:r w:rsidR="00446E94" w:rsidRPr="00446E94">
        <w:rPr>
          <w:rFonts w:cs="David" w:hint="cs"/>
          <w:sz w:val="24"/>
          <w:szCs w:val="24"/>
          <w:rtl/>
        </w:rPr>
        <w:t xml:space="preserve"> באמצע היעד, </w:t>
      </w:r>
      <w:r>
        <w:rPr>
          <w:rFonts w:cs="David" w:hint="cs"/>
          <w:sz w:val="24"/>
          <w:szCs w:val="24"/>
          <w:rtl/>
        </w:rPr>
        <w:t>כ</w:t>
      </w:r>
      <w:r w:rsidR="00446E94" w:rsidRPr="00446E94">
        <w:rPr>
          <w:rFonts w:cs="David" w:hint="cs"/>
          <w:sz w:val="24"/>
          <w:szCs w:val="24"/>
          <w:rtl/>
        </w:rPr>
        <w:t>-2%</w:t>
      </w:r>
      <w:r>
        <w:rPr>
          <w:rFonts w:cs="David" w:hint="cs"/>
          <w:sz w:val="24"/>
          <w:szCs w:val="24"/>
          <w:rtl/>
        </w:rPr>
        <w:t xml:space="preserve">. כאשר אנו דנים, אם כן, באינפלציה, </w:t>
      </w:r>
      <w:r w:rsidR="00E83A9A">
        <w:rPr>
          <w:rFonts w:cs="David" w:hint="cs"/>
          <w:sz w:val="24"/>
          <w:szCs w:val="24"/>
          <w:rtl/>
        </w:rPr>
        <w:t xml:space="preserve">אנו מסיקים שהן הציפיות והן האינפלציה הנובעת מההתפתחויות המקומיות לא נמצאות </w:t>
      </w:r>
      <w:r w:rsidR="00D66105">
        <w:rPr>
          <w:rFonts w:cs="David" w:hint="cs"/>
          <w:sz w:val="24"/>
          <w:szCs w:val="24"/>
          <w:rtl/>
        </w:rPr>
        <w:t>באזור</w:t>
      </w:r>
      <w:r w:rsidR="00E83A9A">
        <w:rPr>
          <w:rFonts w:cs="David" w:hint="cs"/>
          <w:sz w:val="24"/>
          <w:szCs w:val="24"/>
          <w:rtl/>
        </w:rPr>
        <w:t xml:space="preserve"> המסוכן של </w:t>
      </w:r>
      <w:r w:rsidR="00D66105">
        <w:rPr>
          <w:rFonts w:cs="David" w:hint="cs"/>
          <w:sz w:val="24"/>
          <w:szCs w:val="24"/>
          <w:rtl/>
        </w:rPr>
        <w:t>הדפלציה</w:t>
      </w:r>
      <w:r w:rsidR="00E83A9A">
        <w:rPr>
          <w:rFonts w:cs="David" w:hint="cs"/>
          <w:sz w:val="24"/>
          <w:szCs w:val="24"/>
          <w:rtl/>
        </w:rPr>
        <w:t xml:space="preserve">, לעומת הרבה מדינות שבהן הבנקים המרכזיים צריכים לתת את דעתם על החשש מכניסה </w:t>
      </w:r>
      <w:r w:rsidR="00D66105">
        <w:rPr>
          <w:rFonts w:cs="David" w:hint="cs"/>
          <w:sz w:val="24"/>
          <w:szCs w:val="24"/>
          <w:rtl/>
        </w:rPr>
        <w:t>לדפלציה</w:t>
      </w:r>
      <w:r w:rsidR="00E83A9A">
        <w:rPr>
          <w:rFonts w:cs="David" w:hint="cs"/>
          <w:sz w:val="24"/>
          <w:szCs w:val="24"/>
          <w:rtl/>
        </w:rPr>
        <w:t xml:space="preserve">. </w:t>
      </w:r>
    </w:p>
    <w:p w:rsidR="00E83A9A" w:rsidRDefault="00E83A9A" w:rsidP="00E83A9A">
      <w:pPr>
        <w:bidi/>
        <w:spacing w:line="360" w:lineRule="auto"/>
        <w:jc w:val="both"/>
        <w:rPr>
          <w:rFonts w:cs="David"/>
          <w:sz w:val="24"/>
          <w:szCs w:val="24"/>
          <w:rtl/>
        </w:rPr>
      </w:pPr>
    </w:p>
    <w:p w:rsidR="00104C27" w:rsidRDefault="00E01916" w:rsidP="007534E9">
      <w:pPr>
        <w:bidi/>
        <w:spacing w:line="360" w:lineRule="auto"/>
        <w:jc w:val="both"/>
        <w:rPr>
          <w:rFonts w:cs="David"/>
          <w:sz w:val="24"/>
          <w:szCs w:val="24"/>
          <w:rtl/>
        </w:rPr>
      </w:pPr>
      <w:r>
        <w:rPr>
          <w:rFonts w:cs="David" w:hint="cs"/>
          <w:sz w:val="24"/>
          <w:szCs w:val="24"/>
          <w:rtl/>
        </w:rPr>
        <w:t>לגבי ההתפתחויות בכלכלה הריאלית, אנו רואים שהצמיחה במשק הישראלי ובמשקים המפותחים, שהם שותפי הסחר העיקריים שלנו, מאוד מתואמת (שקף 6). עם זאת, העוצמה של גלי הצמיחה וההתמתנות שונה מאוד. וכמו בהסתכלות על האינפלציה, גם כאן אנו שואלים את עצמנו באיזו מידה ההתפתחויות בארץ נובעות</w:t>
      </w:r>
      <w:r w:rsidR="00446E94" w:rsidRPr="00446E94">
        <w:rPr>
          <w:rFonts w:cs="David" w:hint="cs"/>
          <w:sz w:val="24"/>
          <w:szCs w:val="24"/>
          <w:rtl/>
        </w:rPr>
        <w:t xml:space="preserve"> ממה שקורה בחו"ל, וכמה נובע מ</w:t>
      </w:r>
      <w:r w:rsidR="007534E9">
        <w:rPr>
          <w:rFonts w:cs="David" w:hint="cs"/>
          <w:sz w:val="24"/>
          <w:szCs w:val="24"/>
          <w:rtl/>
        </w:rPr>
        <w:t>מ</w:t>
      </w:r>
      <w:r w:rsidR="00446E94" w:rsidRPr="00446E94">
        <w:rPr>
          <w:rFonts w:cs="David" w:hint="cs"/>
          <w:sz w:val="24"/>
          <w:szCs w:val="24"/>
          <w:rtl/>
        </w:rPr>
        <w:t xml:space="preserve">ה שקורה </w:t>
      </w:r>
      <w:r>
        <w:rPr>
          <w:rFonts w:cs="David" w:hint="cs"/>
          <w:sz w:val="24"/>
          <w:szCs w:val="24"/>
          <w:rtl/>
        </w:rPr>
        <w:t>אצלנו</w:t>
      </w:r>
      <w:r w:rsidR="00446E94" w:rsidRPr="00446E94">
        <w:rPr>
          <w:rFonts w:cs="David" w:hint="cs"/>
          <w:sz w:val="24"/>
          <w:szCs w:val="24"/>
          <w:rtl/>
        </w:rPr>
        <w:t xml:space="preserve">. </w:t>
      </w:r>
      <w:r>
        <w:rPr>
          <w:rFonts w:cs="David" w:hint="cs"/>
          <w:sz w:val="24"/>
          <w:szCs w:val="24"/>
          <w:rtl/>
        </w:rPr>
        <w:t xml:space="preserve">ב-2013 התוצר צמח בשיעור של 3.3%, אולם אם ננכה את השפעת התחלת הפקת הגז, </w:t>
      </w:r>
      <w:r>
        <w:rPr>
          <w:rFonts w:cs="David" w:hint="cs"/>
          <w:sz w:val="24"/>
          <w:szCs w:val="24"/>
          <w:rtl/>
        </w:rPr>
        <w:lastRenderedPageBreak/>
        <w:t>הצמיחה עמדה על בערך 2.5%. התחזית של חטיבת המחקר של בנק ישראל ל-2014 עומדת על צמיחה של 3.1% - זוהי התחזית מסוף מארס, וכמובן שאנו מעדכנים את התחזית בצורה מסודרת כל שלושה חודשים</w:t>
      </w:r>
      <w:r w:rsidR="007534E9">
        <w:rPr>
          <w:rFonts w:cs="David" w:hint="cs"/>
          <w:sz w:val="24"/>
          <w:szCs w:val="24"/>
          <w:rtl/>
        </w:rPr>
        <w:t xml:space="preserve"> </w:t>
      </w:r>
      <w:r>
        <w:rPr>
          <w:rFonts w:cs="David" w:hint="cs"/>
          <w:sz w:val="24"/>
          <w:szCs w:val="24"/>
          <w:rtl/>
        </w:rPr>
        <w:t xml:space="preserve">- ובניכוי השפעת הגז מדובר על צמיחה של </w:t>
      </w:r>
      <w:r w:rsidR="00446E94" w:rsidRPr="00446E94">
        <w:rPr>
          <w:rFonts w:cs="David" w:hint="cs"/>
          <w:sz w:val="24"/>
          <w:szCs w:val="24"/>
          <w:rtl/>
        </w:rPr>
        <w:t>2.8</w:t>
      </w:r>
      <w:r>
        <w:rPr>
          <w:rFonts w:cs="David" w:hint="cs"/>
          <w:sz w:val="24"/>
          <w:szCs w:val="24"/>
          <w:rtl/>
        </w:rPr>
        <w:t>%</w:t>
      </w:r>
      <w:r w:rsidR="00446E94" w:rsidRPr="00446E94">
        <w:rPr>
          <w:rFonts w:cs="David" w:hint="cs"/>
          <w:sz w:val="24"/>
          <w:szCs w:val="24"/>
          <w:rtl/>
        </w:rPr>
        <w:t xml:space="preserve">. </w:t>
      </w:r>
      <w:r>
        <w:rPr>
          <w:rFonts w:cs="David" w:hint="cs"/>
          <w:sz w:val="24"/>
          <w:szCs w:val="24"/>
          <w:rtl/>
        </w:rPr>
        <w:t xml:space="preserve">כלומר, בניכוי השפעת הגז, התחזית היא להאצה </w:t>
      </w:r>
      <w:r w:rsidR="00D66105">
        <w:rPr>
          <w:rFonts w:cs="David" w:hint="cs"/>
          <w:sz w:val="24"/>
          <w:szCs w:val="24"/>
          <w:rtl/>
        </w:rPr>
        <w:t>מסוימת</w:t>
      </w:r>
      <w:r>
        <w:rPr>
          <w:rFonts w:cs="David" w:hint="cs"/>
          <w:sz w:val="24"/>
          <w:szCs w:val="24"/>
          <w:rtl/>
        </w:rPr>
        <w:t xml:space="preserve"> בצמיחה ב-2014, ולא להיפך. </w:t>
      </w:r>
      <w:r w:rsidR="007534E9">
        <w:rPr>
          <w:rFonts w:cs="David" w:hint="cs"/>
          <w:sz w:val="24"/>
          <w:szCs w:val="24"/>
          <w:rtl/>
        </w:rPr>
        <w:t>עם זאת,</w:t>
      </w:r>
      <w:r w:rsidR="00446E94" w:rsidRPr="00446E94">
        <w:rPr>
          <w:rFonts w:cs="David" w:hint="cs"/>
          <w:sz w:val="24"/>
          <w:szCs w:val="24"/>
          <w:rtl/>
        </w:rPr>
        <w:t xml:space="preserve"> התפרסמו לאחרונה הנתונים על הרבעון הראשון</w:t>
      </w:r>
      <w:r>
        <w:rPr>
          <w:rFonts w:cs="David" w:hint="cs"/>
          <w:sz w:val="24"/>
          <w:szCs w:val="24"/>
          <w:rtl/>
        </w:rPr>
        <w:t xml:space="preserve"> של 2014</w:t>
      </w:r>
      <w:r w:rsidR="00725A3C">
        <w:rPr>
          <w:rFonts w:cs="David" w:hint="cs"/>
          <w:sz w:val="24"/>
          <w:szCs w:val="24"/>
          <w:rtl/>
        </w:rPr>
        <w:t xml:space="preserve"> (שקף 7)</w:t>
      </w:r>
      <w:r w:rsidR="00446E94" w:rsidRPr="00446E94">
        <w:rPr>
          <w:rFonts w:cs="David" w:hint="cs"/>
          <w:sz w:val="24"/>
          <w:szCs w:val="24"/>
          <w:rtl/>
        </w:rPr>
        <w:t xml:space="preserve">, </w:t>
      </w:r>
      <w:r w:rsidR="007534E9">
        <w:rPr>
          <w:rFonts w:cs="David" w:hint="cs"/>
          <w:sz w:val="24"/>
          <w:szCs w:val="24"/>
          <w:rtl/>
        </w:rPr>
        <w:t>שהיו</w:t>
      </w:r>
      <w:r w:rsidR="00446E94" w:rsidRPr="00446E94">
        <w:rPr>
          <w:rFonts w:cs="David" w:hint="cs"/>
          <w:sz w:val="24"/>
          <w:szCs w:val="24"/>
          <w:rtl/>
        </w:rPr>
        <w:t xml:space="preserve"> מאכזבים. </w:t>
      </w:r>
      <w:r>
        <w:rPr>
          <w:rFonts w:cs="David" w:hint="cs"/>
          <w:sz w:val="24"/>
          <w:szCs w:val="24"/>
          <w:rtl/>
        </w:rPr>
        <w:t>התוצר צמח בשיעור</w:t>
      </w:r>
      <w:r w:rsidR="00446E94" w:rsidRPr="00446E94">
        <w:rPr>
          <w:rFonts w:cs="David" w:hint="cs"/>
          <w:sz w:val="24"/>
          <w:szCs w:val="24"/>
          <w:rtl/>
        </w:rPr>
        <w:t xml:space="preserve"> של 2.1</w:t>
      </w:r>
      <w:r>
        <w:rPr>
          <w:rFonts w:cs="David" w:hint="cs"/>
          <w:sz w:val="24"/>
          <w:szCs w:val="24"/>
          <w:rtl/>
        </w:rPr>
        <w:t>%</w:t>
      </w:r>
      <w:r w:rsidR="00446E94" w:rsidRPr="00446E94">
        <w:rPr>
          <w:rFonts w:cs="David" w:hint="cs"/>
          <w:sz w:val="24"/>
          <w:szCs w:val="24"/>
          <w:rtl/>
        </w:rPr>
        <w:t xml:space="preserve">, </w:t>
      </w:r>
      <w:r>
        <w:rPr>
          <w:rFonts w:cs="David" w:hint="cs"/>
          <w:sz w:val="24"/>
          <w:szCs w:val="24"/>
          <w:rtl/>
        </w:rPr>
        <w:t>ומתוך זה היית</w:t>
      </w:r>
      <w:r w:rsidR="007534E9">
        <w:rPr>
          <w:rFonts w:cs="David" w:hint="cs"/>
          <w:sz w:val="24"/>
          <w:szCs w:val="24"/>
          <w:rtl/>
        </w:rPr>
        <w:t xml:space="preserve">ה </w:t>
      </w:r>
      <w:r>
        <w:rPr>
          <w:rFonts w:cs="David" w:hint="cs"/>
          <w:sz w:val="24"/>
          <w:szCs w:val="24"/>
          <w:rtl/>
        </w:rPr>
        <w:t xml:space="preserve">ירידה </w:t>
      </w:r>
      <w:r w:rsidR="00725A3C">
        <w:rPr>
          <w:rFonts w:cs="David" w:hint="cs"/>
          <w:sz w:val="24"/>
          <w:szCs w:val="24"/>
          <w:rtl/>
        </w:rPr>
        <w:t xml:space="preserve">בצריכה הפרטית, לא רק בצריכת בני </w:t>
      </w:r>
      <w:r w:rsidR="00D66105">
        <w:rPr>
          <w:rFonts w:cs="David" w:hint="cs"/>
          <w:sz w:val="24"/>
          <w:szCs w:val="24"/>
          <w:rtl/>
        </w:rPr>
        <w:t>קיימא</w:t>
      </w:r>
      <w:r w:rsidR="00725A3C">
        <w:rPr>
          <w:rFonts w:cs="David" w:hint="cs"/>
          <w:sz w:val="24"/>
          <w:szCs w:val="24"/>
          <w:rtl/>
        </w:rPr>
        <w:t xml:space="preserve"> אלא גם בצריכה השוטפת, </w:t>
      </w:r>
      <w:r w:rsidR="00446E94" w:rsidRPr="00446E94">
        <w:rPr>
          <w:rFonts w:cs="David" w:hint="cs"/>
          <w:sz w:val="24"/>
          <w:szCs w:val="24"/>
          <w:rtl/>
        </w:rPr>
        <w:t xml:space="preserve">שזה מאוד נדיר. </w:t>
      </w:r>
      <w:r w:rsidR="00725A3C">
        <w:rPr>
          <w:rFonts w:cs="David" w:hint="cs"/>
          <w:sz w:val="24"/>
          <w:szCs w:val="24"/>
          <w:rtl/>
        </w:rPr>
        <w:t xml:space="preserve">הפעם האחרונה בה ראינו צמיחה שלילית של הצריכה הפרטית הייתה בעיצומו של המשבר הפיננסי העולמי. </w:t>
      </w:r>
    </w:p>
    <w:p w:rsidR="00104C27" w:rsidRDefault="00104C27" w:rsidP="00104C27">
      <w:pPr>
        <w:bidi/>
        <w:spacing w:line="360" w:lineRule="auto"/>
        <w:jc w:val="both"/>
        <w:rPr>
          <w:rFonts w:cs="David"/>
          <w:sz w:val="24"/>
          <w:szCs w:val="24"/>
          <w:rtl/>
        </w:rPr>
      </w:pPr>
    </w:p>
    <w:p w:rsidR="00104C27" w:rsidRDefault="00725A3C" w:rsidP="00104C27">
      <w:pPr>
        <w:bidi/>
        <w:spacing w:line="360" w:lineRule="auto"/>
        <w:jc w:val="both"/>
        <w:rPr>
          <w:rFonts w:cs="David"/>
          <w:sz w:val="24"/>
          <w:szCs w:val="24"/>
          <w:rtl/>
        </w:rPr>
      </w:pPr>
      <w:r>
        <w:rPr>
          <w:rFonts w:cs="David" w:hint="cs"/>
          <w:sz w:val="24"/>
          <w:szCs w:val="24"/>
          <w:rtl/>
        </w:rPr>
        <w:t xml:space="preserve">עולה השאלה, </w:t>
      </w:r>
      <w:r w:rsidR="00446E94" w:rsidRPr="00446E94">
        <w:rPr>
          <w:rFonts w:cs="David" w:hint="cs"/>
          <w:sz w:val="24"/>
          <w:szCs w:val="24"/>
          <w:rtl/>
        </w:rPr>
        <w:t xml:space="preserve">האם באמת </w:t>
      </w:r>
      <w:r w:rsidR="00104C27">
        <w:rPr>
          <w:rFonts w:cs="David" w:hint="cs"/>
          <w:sz w:val="24"/>
          <w:szCs w:val="24"/>
          <w:rtl/>
        </w:rPr>
        <w:t>אלו סימנים</w:t>
      </w:r>
      <w:r>
        <w:rPr>
          <w:rFonts w:cs="David" w:hint="cs"/>
          <w:sz w:val="24"/>
          <w:szCs w:val="24"/>
          <w:rtl/>
        </w:rPr>
        <w:t xml:space="preserve"> רציני</w:t>
      </w:r>
      <w:r w:rsidR="00104C27">
        <w:rPr>
          <w:rFonts w:cs="David" w:hint="cs"/>
          <w:sz w:val="24"/>
          <w:szCs w:val="24"/>
          <w:rtl/>
        </w:rPr>
        <w:t>ים</w:t>
      </w:r>
      <w:r>
        <w:rPr>
          <w:rFonts w:cs="David" w:hint="cs"/>
          <w:sz w:val="24"/>
          <w:szCs w:val="24"/>
          <w:rtl/>
        </w:rPr>
        <w:t xml:space="preserve"> להתמתנות של צמיחת המשק? בהקשר זה צריך לזכור שגם נתוני הרביע הראשון בארה"ב ובאירופה היו מאכזבים, וחלק מזה יוחס למזג האוויר גם בארה"ב וגם באירופה. </w:t>
      </w:r>
      <w:r w:rsidR="00104C27">
        <w:rPr>
          <w:rFonts w:cs="David" w:hint="cs"/>
          <w:sz w:val="24"/>
          <w:szCs w:val="24"/>
          <w:rtl/>
        </w:rPr>
        <w:t>ה</w:t>
      </w:r>
      <w:r>
        <w:rPr>
          <w:rFonts w:cs="David" w:hint="cs"/>
          <w:sz w:val="24"/>
          <w:szCs w:val="24"/>
          <w:rtl/>
        </w:rPr>
        <w:t>אמריקאים והאירופאים לא ראו בכך סימן להתמ</w:t>
      </w:r>
      <w:r w:rsidR="00104C27">
        <w:rPr>
          <w:rFonts w:cs="David" w:hint="cs"/>
          <w:sz w:val="24"/>
          <w:szCs w:val="24"/>
          <w:rtl/>
        </w:rPr>
        <w:t>תנות עתידית אלא התפתחות נקודתית,</w:t>
      </w:r>
      <w:r>
        <w:rPr>
          <w:rFonts w:cs="David" w:hint="cs"/>
          <w:sz w:val="24"/>
          <w:szCs w:val="24"/>
          <w:rtl/>
        </w:rPr>
        <w:t xml:space="preserve"> </w:t>
      </w:r>
      <w:r w:rsidR="00D66105">
        <w:rPr>
          <w:rFonts w:cs="David" w:hint="cs"/>
          <w:sz w:val="24"/>
          <w:szCs w:val="24"/>
          <w:rtl/>
        </w:rPr>
        <w:t>והעדכון</w:t>
      </w:r>
      <w:r>
        <w:rPr>
          <w:rFonts w:cs="David" w:hint="cs"/>
          <w:sz w:val="24"/>
          <w:szCs w:val="24"/>
          <w:rtl/>
        </w:rPr>
        <w:t xml:space="preserve"> של התחזיות שיקף רק את ההפ</w:t>
      </w:r>
      <w:r w:rsidR="00104C27">
        <w:rPr>
          <w:rFonts w:cs="David" w:hint="cs"/>
          <w:sz w:val="24"/>
          <w:szCs w:val="24"/>
          <w:rtl/>
        </w:rPr>
        <w:t>ת</w:t>
      </w:r>
      <w:r>
        <w:rPr>
          <w:rFonts w:cs="David" w:hint="cs"/>
          <w:sz w:val="24"/>
          <w:szCs w:val="24"/>
          <w:rtl/>
        </w:rPr>
        <w:t>עה של הרביע הראשון</w:t>
      </w:r>
      <w:r w:rsidR="00446E94" w:rsidRPr="00446E94">
        <w:rPr>
          <w:rFonts w:cs="David" w:hint="cs"/>
          <w:sz w:val="24"/>
          <w:szCs w:val="24"/>
          <w:rtl/>
        </w:rPr>
        <w:t xml:space="preserve"> </w:t>
      </w:r>
      <w:r w:rsidR="00104C27">
        <w:rPr>
          <w:rFonts w:cs="David" w:hint="cs"/>
          <w:sz w:val="24"/>
          <w:szCs w:val="24"/>
          <w:rtl/>
        </w:rPr>
        <w:t xml:space="preserve">ולא צפי להתמתנות בהמשך. יש להניח שהתפתחות זו השפיעה גם על המשק הישראלי. מעבר לכך, נתוני הרביע הראשון שפורסמו הם הנתונים הראשוניים, ואנו יודעים היטב שנתונים אלו עוברים על פי רוב </w:t>
      </w:r>
      <w:r w:rsidR="00D66105">
        <w:rPr>
          <w:rFonts w:cs="David" w:hint="cs"/>
          <w:sz w:val="24"/>
          <w:szCs w:val="24"/>
          <w:rtl/>
        </w:rPr>
        <w:t>רביזיות</w:t>
      </w:r>
      <w:r w:rsidR="00104C27">
        <w:rPr>
          <w:rFonts w:cs="David" w:hint="cs"/>
          <w:sz w:val="24"/>
          <w:szCs w:val="24"/>
          <w:rtl/>
        </w:rPr>
        <w:t xml:space="preserve"> משמעותיות, ולכן עלינו להתייחס אליהם במסגרת מכלול של אינדיקטורים אחרים שאנו מסתכלים עליהם, חלקם היו שליליים וחלקם חיוביים. המדד המשולב (שקף 8) לא השתנה בחודשיים האחרונים, וזה בהחלט אינדיקטור שמצביע על האטה בשיעור הצמיחה. יצוא הסחורות (שקף 9) לא צומח מזה מספר רבעונים, (</w:t>
      </w:r>
      <w:r w:rsidR="00446E94" w:rsidRPr="00446E94">
        <w:rPr>
          <w:rFonts w:cs="David" w:hint="cs"/>
          <w:sz w:val="24"/>
          <w:szCs w:val="24"/>
          <w:rtl/>
        </w:rPr>
        <w:t xml:space="preserve">ללא </w:t>
      </w:r>
      <w:r w:rsidR="00D66105" w:rsidRPr="00446E94">
        <w:rPr>
          <w:rFonts w:cs="David" w:hint="cs"/>
          <w:sz w:val="24"/>
          <w:szCs w:val="24"/>
          <w:rtl/>
        </w:rPr>
        <w:t>אניות</w:t>
      </w:r>
      <w:r w:rsidR="00446E94" w:rsidRPr="00446E94">
        <w:rPr>
          <w:rFonts w:cs="David" w:hint="cs"/>
          <w:sz w:val="24"/>
          <w:szCs w:val="24"/>
          <w:rtl/>
        </w:rPr>
        <w:t xml:space="preserve">, מטוסים, </w:t>
      </w:r>
      <w:r w:rsidR="00104C27">
        <w:rPr>
          <w:rFonts w:cs="David" w:hint="cs"/>
          <w:sz w:val="24"/>
          <w:szCs w:val="24"/>
          <w:rtl/>
        </w:rPr>
        <w:t>ו</w:t>
      </w:r>
      <w:r w:rsidR="00446E94" w:rsidRPr="00446E94">
        <w:rPr>
          <w:rFonts w:cs="David" w:hint="cs"/>
          <w:sz w:val="24"/>
          <w:szCs w:val="24"/>
          <w:rtl/>
        </w:rPr>
        <w:t>יהלומים, במחירים שוטפים</w:t>
      </w:r>
      <w:r w:rsidR="00104C27">
        <w:rPr>
          <w:rFonts w:cs="David" w:hint="cs"/>
          <w:sz w:val="24"/>
          <w:szCs w:val="24"/>
          <w:rtl/>
        </w:rPr>
        <w:t xml:space="preserve">), ואנו רואים שבארבעת החודשים הראשונים של השנה יש אפילו ירידה. היצוא מושפע בוודאי מההתפתחויות בחו"ל שתיארתי, </w:t>
      </w:r>
      <w:r w:rsidR="00446E94" w:rsidRPr="00446E94">
        <w:rPr>
          <w:rFonts w:cs="David" w:hint="cs"/>
          <w:sz w:val="24"/>
          <w:szCs w:val="24"/>
          <w:rtl/>
        </w:rPr>
        <w:t xml:space="preserve">וגם כמובן </w:t>
      </w:r>
      <w:r w:rsidR="00104C27">
        <w:rPr>
          <w:rFonts w:cs="David" w:hint="cs"/>
          <w:sz w:val="24"/>
          <w:szCs w:val="24"/>
          <w:rtl/>
        </w:rPr>
        <w:t>מ</w:t>
      </w:r>
      <w:r w:rsidR="00011EE4">
        <w:rPr>
          <w:rFonts w:cs="David" w:hint="cs"/>
          <w:sz w:val="24"/>
          <w:szCs w:val="24"/>
          <w:rtl/>
        </w:rPr>
        <w:t xml:space="preserve">רמת </w:t>
      </w:r>
      <w:r w:rsidR="00446E94" w:rsidRPr="00446E94">
        <w:rPr>
          <w:rFonts w:cs="David" w:hint="cs"/>
          <w:sz w:val="24"/>
          <w:szCs w:val="24"/>
          <w:rtl/>
        </w:rPr>
        <w:t>שער החליפין</w:t>
      </w:r>
      <w:r w:rsidR="00104C27">
        <w:rPr>
          <w:rFonts w:cs="David" w:hint="cs"/>
          <w:sz w:val="24"/>
          <w:szCs w:val="24"/>
          <w:rtl/>
        </w:rPr>
        <w:t xml:space="preserve">. יש להדגיש שבהקשר זה אני מתכוונת לרמה של שער החליפין, ולא לשינוי בו </w:t>
      </w:r>
      <w:r w:rsidR="00104C27">
        <w:rPr>
          <w:rFonts w:cs="David"/>
          <w:sz w:val="24"/>
          <w:szCs w:val="24"/>
          <w:rtl/>
        </w:rPr>
        <w:t>–</w:t>
      </w:r>
      <w:r w:rsidR="00104C27">
        <w:rPr>
          <w:rFonts w:cs="David" w:hint="cs"/>
          <w:sz w:val="24"/>
          <w:szCs w:val="24"/>
          <w:rtl/>
        </w:rPr>
        <w:t xml:space="preserve"> למעשה, מתחילת השנה בשער החליפין האפקטיבי לא חל שינוי מהותי</w:t>
      </w:r>
      <w:r w:rsidR="00446E94" w:rsidRPr="00446E94">
        <w:rPr>
          <w:rFonts w:cs="David" w:hint="cs"/>
          <w:sz w:val="24"/>
          <w:szCs w:val="24"/>
          <w:rtl/>
        </w:rPr>
        <w:t xml:space="preserve">, </w:t>
      </w:r>
      <w:r w:rsidR="00104C27">
        <w:rPr>
          <w:rFonts w:cs="David" w:hint="cs"/>
          <w:sz w:val="24"/>
          <w:szCs w:val="24"/>
          <w:rtl/>
        </w:rPr>
        <w:t>לאחר הייסוף שהתרחש בעיקר במחצית הראשונה של 2013</w:t>
      </w:r>
      <w:r w:rsidR="00646196">
        <w:rPr>
          <w:rFonts w:cs="David" w:hint="cs"/>
          <w:sz w:val="24"/>
          <w:szCs w:val="24"/>
          <w:rtl/>
        </w:rPr>
        <w:t xml:space="preserve"> (שקף 10)</w:t>
      </w:r>
      <w:r w:rsidR="00104C27">
        <w:rPr>
          <w:rFonts w:cs="David" w:hint="cs"/>
          <w:sz w:val="24"/>
          <w:szCs w:val="24"/>
          <w:rtl/>
        </w:rPr>
        <w:t xml:space="preserve">. אולם הייצוא מושפע בפיגור </w:t>
      </w:r>
      <w:r w:rsidR="00D66105">
        <w:rPr>
          <w:rFonts w:cs="David" w:hint="cs"/>
          <w:sz w:val="24"/>
          <w:szCs w:val="24"/>
          <w:rtl/>
        </w:rPr>
        <w:t>מסוים</w:t>
      </w:r>
      <w:r w:rsidR="00104C27">
        <w:rPr>
          <w:rFonts w:cs="David" w:hint="cs"/>
          <w:sz w:val="24"/>
          <w:szCs w:val="24"/>
          <w:rtl/>
        </w:rPr>
        <w:t xml:space="preserve"> מרמת שער החליפין, ולכן ייתכן שהיצוא מגיב כעת לייסוף שהתרחש קודם לכן. </w:t>
      </w:r>
    </w:p>
    <w:p w:rsidR="003441F0" w:rsidRDefault="003441F0" w:rsidP="00104C27">
      <w:pPr>
        <w:bidi/>
        <w:spacing w:line="360" w:lineRule="auto"/>
        <w:jc w:val="both"/>
        <w:rPr>
          <w:rFonts w:cs="David"/>
          <w:sz w:val="24"/>
          <w:szCs w:val="24"/>
          <w:rtl/>
        </w:rPr>
      </w:pPr>
    </w:p>
    <w:p w:rsidR="00616C61" w:rsidRDefault="00446E94" w:rsidP="00011EE4">
      <w:pPr>
        <w:bidi/>
        <w:spacing w:line="360" w:lineRule="auto"/>
        <w:jc w:val="both"/>
        <w:rPr>
          <w:rFonts w:cs="David"/>
          <w:sz w:val="24"/>
          <w:szCs w:val="24"/>
          <w:rtl/>
        </w:rPr>
      </w:pPr>
      <w:r w:rsidRPr="00446E94">
        <w:rPr>
          <w:rFonts w:cs="David" w:hint="cs"/>
          <w:sz w:val="24"/>
          <w:szCs w:val="24"/>
          <w:rtl/>
        </w:rPr>
        <w:t xml:space="preserve"> </w:t>
      </w:r>
      <w:r w:rsidR="00646196">
        <w:rPr>
          <w:rFonts w:cs="David" w:hint="cs"/>
          <w:sz w:val="24"/>
          <w:szCs w:val="24"/>
          <w:rtl/>
        </w:rPr>
        <w:t xml:space="preserve">בין האינדיקטורים החיוביים ניתן למנות את </w:t>
      </w:r>
      <w:r w:rsidRPr="00446E94">
        <w:rPr>
          <w:rFonts w:cs="David" w:hint="cs"/>
          <w:sz w:val="24"/>
          <w:szCs w:val="24"/>
          <w:rtl/>
        </w:rPr>
        <w:t xml:space="preserve">מדד אמון הצרכנים של בנק הפועלים </w:t>
      </w:r>
      <w:r w:rsidR="00646196">
        <w:rPr>
          <w:rFonts w:cs="David" w:hint="cs"/>
          <w:sz w:val="24"/>
          <w:szCs w:val="24"/>
          <w:rtl/>
        </w:rPr>
        <w:t>(שקף 11) שנמצא בתחום החיובי ואף בעלייה</w:t>
      </w:r>
      <w:r w:rsidRPr="00446E94">
        <w:rPr>
          <w:rFonts w:cs="David" w:hint="cs"/>
          <w:sz w:val="24"/>
          <w:szCs w:val="24"/>
          <w:rtl/>
        </w:rPr>
        <w:t xml:space="preserve">. </w:t>
      </w:r>
      <w:r w:rsidR="00646196">
        <w:rPr>
          <w:rFonts w:cs="David" w:hint="cs"/>
          <w:sz w:val="24"/>
          <w:szCs w:val="24"/>
          <w:rtl/>
        </w:rPr>
        <w:t xml:space="preserve">יצוא השירותים, שמהווה כשליש מהיצוא, (שקף 12) </w:t>
      </w:r>
      <w:r w:rsidR="00011EE4">
        <w:rPr>
          <w:rFonts w:cs="David" w:hint="cs"/>
          <w:sz w:val="24"/>
          <w:szCs w:val="24"/>
          <w:rtl/>
        </w:rPr>
        <w:t xml:space="preserve">צומח </w:t>
      </w:r>
      <w:r w:rsidR="00646196">
        <w:rPr>
          <w:rFonts w:cs="David" w:hint="cs"/>
          <w:sz w:val="24"/>
          <w:szCs w:val="24"/>
          <w:rtl/>
        </w:rPr>
        <w:t xml:space="preserve">בקצב נאה, והרכיב העיקרי שצומח הוא כמובן השירותים העסקיים ובתוכם שירותי התוכנה. ענפים אלו מתאפיינים ביכולת טובה יותר לספוג את התחזקות השקל, וגם ההתפתחויות בחו"ל ככל הנראה פחות פוגעות בצריכת השירותים שהתעשייה שלנו יודעת לייצר היטב. תקבולי מס הבריאות, שנותנים אינדיקציה על סך השכר במשק, נמצאים בעלייה (שקף 13). למעשה, כל הנתונים משוק העבודה מצביעים על המשך הצמיחה, אם כי יש לזכור שהם מגיעים בפיגור </w:t>
      </w:r>
      <w:r w:rsidR="00D66105">
        <w:rPr>
          <w:rFonts w:cs="David" w:hint="cs"/>
          <w:sz w:val="24"/>
          <w:szCs w:val="24"/>
          <w:rtl/>
        </w:rPr>
        <w:t>מסוים</w:t>
      </w:r>
      <w:r w:rsidR="00646196">
        <w:rPr>
          <w:rFonts w:cs="David" w:hint="cs"/>
          <w:sz w:val="24"/>
          <w:szCs w:val="24"/>
          <w:rtl/>
        </w:rPr>
        <w:t xml:space="preserve">. </w:t>
      </w:r>
      <w:r w:rsidRPr="00446E94">
        <w:rPr>
          <w:rFonts w:cs="David" w:hint="cs"/>
          <w:sz w:val="24"/>
          <w:szCs w:val="24"/>
          <w:rtl/>
        </w:rPr>
        <w:t xml:space="preserve">אנחנו רואים המשך </w:t>
      </w:r>
      <w:r w:rsidR="00646196">
        <w:rPr>
          <w:rFonts w:cs="David" w:hint="cs"/>
          <w:sz w:val="24"/>
          <w:szCs w:val="24"/>
          <w:rtl/>
        </w:rPr>
        <w:t xml:space="preserve">עלייה </w:t>
      </w:r>
      <w:r w:rsidRPr="00446E94">
        <w:rPr>
          <w:rFonts w:cs="David" w:hint="cs"/>
          <w:sz w:val="24"/>
          <w:szCs w:val="24"/>
          <w:rtl/>
        </w:rPr>
        <w:t>בשיעור השתתפות</w:t>
      </w:r>
      <w:r w:rsidR="00646196">
        <w:rPr>
          <w:rFonts w:cs="David" w:hint="cs"/>
          <w:sz w:val="24"/>
          <w:szCs w:val="24"/>
          <w:rtl/>
        </w:rPr>
        <w:t xml:space="preserve"> (שקף 14)</w:t>
      </w:r>
      <w:r w:rsidRPr="00446E94">
        <w:rPr>
          <w:rFonts w:cs="David" w:hint="cs"/>
          <w:sz w:val="24"/>
          <w:szCs w:val="24"/>
          <w:rtl/>
        </w:rPr>
        <w:t xml:space="preserve">, ירידה בשיעור האבטלה, גידול במספר </w:t>
      </w:r>
      <w:r w:rsidR="00011EE4">
        <w:rPr>
          <w:rFonts w:cs="David" w:hint="cs"/>
          <w:sz w:val="24"/>
          <w:szCs w:val="24"/>
          <w:rtl/>
        </w:rPr>
        <w:t>ה</w:t>
      </w:r>
      <w:r w:rsidRPr="00446E94">
        <w:rPr>
          <w:rFonts w:cs="David" w:hint="cs"/>
          <w:sz w:val="24"/>
          <w:szCs w:val="24"/>
          <w:rtl/>
        </w:rPr>
        <w:t xml:space="preserve">מועסקים. כל הנתונים האלה </w:t>
      </w:r>
      <w:r w:rsidR="00646196">
        <w:rPr>
          <w:rFonts w:cs="David" w:hint="cs"/>
          <w:sz w:val="24"/>
          <w:szCs w:val="24"/>
          <w:rtl/>
        </w:rPr>
        <w:t xml:space="preserve">מצביעים על שוק עבודה יחסית בריא, </w:t>
      </w:r>
      <w:r w:rsidRPr="00446E94">
        <w:rPr>
          <w:rFonts w:cs="David" w:hint="cs"/>
          <w:sz w:val="24"/>
          <w:szCs w:val="24"/>
          <w:rtl/>
        </w:rPr>
        <w:t xml:space="preserve"> מה שמאוד שונה ממה שאנחנו מכירים כמובן, גם בארה"</w:t>
      </w:r>
      <w:r w:rsidR="00646196">
        <w:rPr>
          <w:rFonts w:cs="David" w:hint="cs"/>
          <w:sz w:val="24"/>
          <w:szCs w:val="24"/>
          <w:rtl/>
        </w:rPr>
        <w:t>ב</w:t>
      </w:r>
      <w:r w:rsidRPr="00446E94">
        <w:rPr>
          <w:rFonts w:cs="David" w:hint="cs"/>
          <w:sz w:val="24"/>
          <w:szCs w:val="24"/>
          <w:rtl/>
        </w:rPr>
        <w:t xml:space="preserve"> וגם באירופה. </w:t>
      </w:r>
      <w:r w:rsidR="00646196">
        <w:rPr>
          <w:rFonts w:cs="David" w:hint="cs"/>
          <w:sz w:val="24"/>
          <w:szCs w:val="24"/>
          <w:rtl/>
        </w:rPr>
        <w:t xml:space="preserve">הגידול הזה מתרחש ללא </w:t>
      </w:r>
      <w:r w:rsidRPr="00446E94">
        <w:rPr>
          <w:rFonts w:cs="David" w:hint="cs"/>
          <w:sz w:val="24"/>
          <w:szCs w:val="24"/>
          <w:rtl/>
        </w:rPr>
        <w:t>לחץ בשכר</w:t>
      </w:r>
      <w:r w:rsidR="00646196">
        <w:rPr>
          <w:rFonts w:cs="David" w:hint="cs"/>
          <w:sz w:val="24"/>
          <w:szCs w:val="24"/>
          <w:rtl/>
        </w:rPr>
        <w:t xml:space="preserve"> (שקף 15)</w:t>
      </w:r>
      <w:r w:rsidRPr="00446E94">
        <w:rPr>
          <w:rFonts w:cs="David" w:hint="cs"/>
          <w:sz w:val="24"/>
          <w:szCs w:val="24"/>
          <w:rtl/>
        </w:rPr>
        <w:t xml:space="preserve">. </w:t>
      </w:r>
      <w:r w:rsidR="00646196">
        <w:rPr>
          <w:rFonts w:cs="David" w:hint="cs"/>
          <w:sz w:val="24"/>
          <w:szCs w:val="24"/>
          <w:rtl/>
        </w:rPr>
        <w:t xml:space="preserve">גם </w:t>
      </w:r>
      <w:r w:rsidRPr="00446E94">
        <w:rPr>
          <w:rFonts w:cs="David" w:hint="cs"/>
          <w:sz w:val="24"/>
          <w:szCs w:val="24"/>
          <w:rtl/>
        </w:rPr>
        <w:t xml:space="preserve">בסקטור העסקי וגם בשירותים </w:t>
      </w:r>
      <w:r w:rsidR="00646196">
        <w:rPr>
          <w:rFonts w:cs="David" w:hint="cs"/>
          <w:sz w:val="24"/>
          <w:szCs w:val="24"/>
          <w:rtl/>
        </w:rPr>
        <w:t>הציבוריים</w:t>
      </w:r>
      <w:r w:rsidRPr="00446E94">
        <w:rPr>
          <w:rFonts w:cs="David" w:hint="cs"/>
          <w:sz w:val="24"/>
          <w:szCs w:val="24"/>
          <w:rtl/>
        </w:rPr>
        <w:t xml:space="preserve">, </w:t>
      </w:r>
      <w:r w:rsidR="00646196">
        <w:rPr>
          <w:rFonts w:cs="David" w:hint="cs"/>
          <w:sz w:val="24"/>
          <w:szCs w:val="24"/>
          <w:rtl/>
        </w:rPr>
        <w:t xml:space="preserve">השכר די יציב, מה שאומר ששוק העבודה עוד לא מיצה את פוטנציאל הצמיחה שלא תביא ללחצים אינפלציוניים. </w:t>
      </w:r>
      <w:r w:rsidRPr="00446E94">
        <w:rPr>
          <w:rFonts w:cs="David" w:hint="cs"/>
          <w:sz w:val="24"/>
          <w:szCs w:val="24"/>
          <w:rtl/>
        </w:rPr>
        <w:t xml:space="preserve"> </w:t>
      </w:r>
      <w:r w:rsidR="00646196">
        <w:rPr>
          <w:rFonts w:cs="David" w:hint="cs"/>
          <w:sz w:val="24"/>
          <w:szCs w:val="24"/>
          <w:rtl/>
        </w:rPr>
        <w:t>ב</w:t>
      </w:r>
      <w:r w:rsidRPr="00446E94">
        <w:rPr>
          <w:rFonts w:cs="David" w:hint="cs"/>
          <w:sz w:val="24"/>
          <w:szCs w:val="24"/>
          <w:rtl/>
        </w:rPr>
        <w:t xml:space="preserve">סך הכול, </w:t>
      </w:r>
      <w:r w:rsidR="00646196">
        <w:rPr>
          <w:rFonts w:cs="David" w:hint="cs"/>
          <w:sz w:val="24"/>
          <w:szCs w:val="24"/>
          <w:rtl/>
        </w:rPr>
        <w:t xml:space="preserve">אם כן, ההתפתחויות במשק אינן נותנות תמונה ברורה, ואפשר אפילו להגיד שהן מציירות </w:t>
      </w:r>
      <w:r w:rsidRPr="00446E94">
        <w:rPr>
          <w:rFonts w:cs="David" w:hint="cs"/>
          <w:sz w:val="24"/>
          <w:szCs w:val="24"/>
          <w:rtl/>
        </w:rPr>
        <w:t>ציור אימפרסיוניסט</w:t>
      </w:r>
      <w:r w:rsidRPr="00446E94">
        <w:rPr>
          <w:rFonts w:cs="David" w:hint="eastAsia"/>
          <w:sz w:val="24"/>
          <w:szCs w:val="24"/>
          <w:rtl/>
        </w:rPr>
        <w:t>י</w:t>
      </w:r>
      <w:r w:rsidRPr="00446E94">
        <w:rPr>
          <w:rFonts w:cs="David" w:hint="cs"/>
          <w:sz w:val="24"/>
          <w:szCs w:val="24"/>
          <w:rtl/>
        </w:rPr>
        <w:t xml:space="preserve">, </w:t>
      </w:r>
      <w:r w:rsidR="00646196">
        <w:rPr>
          <w:rFonts w:cs="David" w:hint="cs"/>
          <w:sz w:val="24"/>
          <w:szCs w:val="24"/>
          <w:rtl/>
        </w:rPr>
        <w:t>ש</w:t>
      </w:r>
      <w:r w:rsidRPr="00446E94">
        <w:rPr>
          <w:rFonts w:cs="David" w:hint="cs"/>
          <w:sz w:val="24"/>
          <w:szCs w:val="24"/>
          <w:rtl/>
        </w:rPr>
        <w:t>כל אחד יכול לפרש א</w:t>
      </w:r>
      <w:r w:rsidR="00646196">
        <w:rPr>
          <w:rFonts w:cs="David" w:hint="cs"/>
          <w:sz w:val="24"/>
          <w:szCs w:val="24"/>
          <w:rtl/>
        </w:rPr>
        <w:t>ו</w:t>
      </w:r>
      <w:r w:rsidRPr="00446E94">
        <w:rPr>
          <w:rFonts w:cs="David" w:hint="cs"/>
          <w:sz w:val="24"/>
          <w:szCs w:val="24"/>
          <w:rtl/>
        </w:rPr>
        <w:t>ת</w:t>
      </w:r>
      <w:r w:rsidR="00646196">
        <w:rPr>
          <w:rFonts w:cs="David" w:hint="cs"/>
          <w:sz w:val="24"/>
          <w:szCs w:val="24"/>
          <w:rtl/>
        </w:rPr>
        <w:t xml:space="preserve">ו איך שהוא רוצה. </w:t>
      </w:r>
      <w:r w:rsidRPr="00446E94">
        <w:rPr>
          <w:rFonts w:cs="David" w:hint="cs"/>
          <w:sz w:val="24"/>
          <w:szCs w:val="24"/>
          <w:rtl/>
        </w:rPr>
        <w:t xml:space="preserve"> הנתונים שאנחנו ראינו, </w:t>
      </w:r>
      <w:r w:rsidR="00646196">
        <w:rPr>
          <w:rFonts w:cs="David" w:hint="cs"/>
          <w:sz w:val="24"/>
          <w:szCs w:val="24"/>
          <w:rtl/>
        </w:rPr>
        <w:t>בכל אופן, לא הביאו למסקנה חדה שהצריכה שינוי של ה</w:t>
      </w:r>
      <w:r w:rsidRPr="00446E94">
        <w:rPr>
          <w:rFonts w:cs="David" w:hint="cs"/>
          <w:sz w:val="24"/>
          <w:szCs w:val="24"/>
          <w:rtl/>
        </w:rPr>
        <w:t xml:space="preserve">מדיניות לכאן או לכאן. </w:t>
      </w:r>
    </w:p>
    <w:p w:rsidR="00616C61" w:rsidRDefault="00616C61" w:rsidP="00616C61">
      <w:pPr>
        <w:bidi/>
        <w:spacing w:line="360" w:lineRule="auto"/>
        <w:jc w:val="both"/>
        <w:rPr>
          <w:rFonts w:cs="David"/>
          <w:sz w:val="24"/>
          <w:szCs w:val="24"/>
          <w:rtl/>
        </w:rPr>
      </w:pPr>
    </w:p>
    <w:p w:rsidR="0074733F" w:rsidRDefault="00A52466" w:rsidP="00770B1E">
      <w:pPr>
        <w:bidi/>
        <w:spacing w:line="360" w:lineRule="auto"/>
        <w:jc w:val="both"/>
        <w:rPr>
          <w:rFonts w:cs="David"/>
          <w:sz w:val="24"/>
          <w:szCs w:val="24"/>
          <w:rtl/>
        </w:rPr>
      </w:pPr>
      <w:r>
        <w:rPr>
          <w:rFonts w:cs="David" w:hint="cs"/>
          <w:sz w:val="24"/>
          <w:szCs w:val="24"/>
          <w:rtl/>
        </w:rPr>
        <w:t xml:space="preserve">היעד השלישי של בנק ישראל הנו התמיכה ביציבות הפיננסית. בהקשר זה חשוב במיוחד להסתכל על רמת המינוף במשק, ועל מחירי הנכסים, ולשאול את עצמנו אם אנו רואים סיכונים מכיוון זה. בהרבה מקומות, גם בכנס הזה, ובוודאי בבנקים מרכזיים רבים, עוסקים בסוגיה המאוד מורכבת של סביבת הריבית הנמוכה, גם בארץ וגם בעולם, ובעיוותים שרמת ריבית כזו עשויה ליצור. </w:t>
      </w:r>
      <w:r w:rsidR="00446E94" w:rsidRPr="00446E94">
        <w:rPr>
          <w:rFonts w:cs="David" w:hint="cs"/>
          <w:sz w:val="24"/>
          <w:szCs w:val="24"/>
          <w:rtl/>
        </w:rPr>
        <w:t>זו סוגיה ש</w:t>
      </w:r>
      <w:r>
        <w:rPr>
          <w:rFonts w:cs="David" w:hint="cs"/>
          <w:sz w:val="24"/>
          <w:szCs w:val="24"/>
          <w:rtl/>
        </w:rPr>
        <w:t xml:space="preserve">גם </w:t>
      </w:r>
      <w:r w:rsidR="00446E94" w:rsidRPr="00446E94">
        <w:rPr>
          <w:rFonts w:cs="David" w:hint="cs"/>
          <w:sz w:val="24"/>
          <w:szCs w:val="24"/>
          <w:rtl/>
        </w:rPr>
        <w:t xml:space="preserve">אנחנו דנים בה. </w:t>
      </w:r>
      <w:r w:rsidRPr="00446E94">
        <w:rPr>
          <w:rFonts w:cs="David" w:hint="cs"/>
          <w:sz w:val="24"/>
          <w:szCs w:val="24"/>
          <w:rtl/>
        </w:rPr>
        <w:t>כשמסתכלים על אינדיקטורים מוקדמים של אי יציבות פיננסית, אנחנו צריכים להסתכל לא רק על הרמות אלא גם על שיעור</w:t>
      </w:r>
      <w:r>
        <w:rPr>
          <w:rFonts w:cs="David" w:hint="cs"/>
          <w:sz w:val="24"/>
          <w:szCs w:val="24"/>
          <w:rtl/>
        </w:rPr>
        <w:t>י</w:t>
      </w:r>
      <w:r w:rsidR="00770B1E">
        <w:rPr>
          <w:rFonts w:cs="David" w:hint="cs"/>
          <w:sz w:val="24"/>
          <w:szCs w:val="24"/>
          <w:rtl/>
        </w:rPr>
        <w:t xml:space="preserve"> הגידול </w:t>
      </w:r>
      <w:r w:rsidR="00770B1E">
        <w:rPr>
          <w:rFonts w:cs="David"/>
          <w:sz w:val="24"/>
          <w:szCs w:val="24"/>
          <w:rtl/>
        </w:rPr>
        <w:t>–</w:t>
      </w:r>
      <w:r w:rsidR="00770B1E">
        <w:rPr>
          <w:rFonts w:cs="David" w:hint="cs"/>
          <w:sz w:val="24"/>
          <w:szCs w:val="24"/>
          <w:rtl/>
        </w:rPr>
        <w:t xml:space="preserve"> הן של המחירים והן של רמות המינוף. </w:t>
      </w:r>
      <w:r w:rsidR="00446E94" w:rsidRPr="00446E94">
        <w:rPr>
          <w:rFonts w:cs="David" w:hint="cs"/>
          <w:sz w:val="24"/>
          <w:szCs w:val="24"/>
          <w:rtl/>
        </w:rPr>
        <w:t xml:space="preserve">ופה התמונה שיש לנו בארץ היא די שונה מאשר כמעט בכל משק שאנחנו מכירים. </w:t>
      </w:r>
      <w:r w:rsidR="00C21C39">
        <w:rPr>
          <w:rFonts w:cs="David" w:hint="cs"/>
          <w:sz w:val="24"/>
          <w:szCs w:val="24"/>
          <w:rtl/>
        </w:rPr>
        <w:t xml:space="preserve">נטל החוב הכולל של המשק - סך </w:t>
      </w:r>
      <w:r w:rsidR="00770B1E">
        <w:rPr>
          <w:rFonts w:cs="David" w:hint="cs"/>
          <w:sz w:val="24"/>
          <w:szCs w:val="24"/>
          <w:rtl/>
        </w:rPr>
        <w:t>כ</w:t>
      </w:r>
      <w:r w:rsidR="00C21C39">
        <w:rPr>
          <w:rFonts w:cs="David" w:hint="cs"/>
          <w:sz w:val="24"/>
          <w:szCs w:val="24"/>
          <w:rtl/>
        </w:rPr>
        <w:t xml:space="preserve">ל החוב </w:t>
      </w:r>
      <w:r w:rsidR="00446E94" w:rsidRPr="00446E94">
        <w:rPr>
          <w:rFonts w:cs="David" w:hint="cs"/>
          <w:sz w:val="24"/>
          <w:szCs w:val="24"/>
          <w:rtl/>
        </w:rPr>
        <w:t>של הסקטור הציבורי, המגזר העסקי, ומשקי הבית</w:t>
      </w:r>
      <w:r w:rsidR="00C21C39">
        <w:rPr>
          <w:rFonts w:cs="David" w:hint="cs"/>
          <w:sz w:val="24"/>
          <w:szCs w:val="24"/>
          <w:rtl/>
        </w:rPr>
        <w:t xml:space="preserve"> ביחס לתוצר</w:t>
      </w:r>
      <w:r w:rsidR="00446E94" w:rsidRPr="00446E94">
        <w:rPr>
          <w:rFonts w:cs="David" w:hint="cs"/>
          <w:sz w:val="24"/>
          <w:szCs w:val="24"/>
          <w:rtl/>
        </w:rPr>
        <w:t xml:space="preserve">, </w:t>
      </w:r>
      <w:r w:rsidR="00770B1E">
        <w:rPr>
          <w:rFonts w:cs="David" w:hint="cs"/>
          <w:sz w:val="24"/>
          <w:szCs w:val="24"/>
          <w:rtl/>
        </w:rPr>
        <w:t>יורד לאט-לאט</w:t>
      </w:r>
      <w:r w:rsidR="00446E94" w:rsidRPr="00446E94">
        <w:rPr>
          <w:rFonts w:cs="David" w:hint="cs"/>
          <w:sz w:val="24"/>
          <w:szCs w:val="24"/>
          <w:rtl/>
        </w:rPr>
        <w:t xml:space="preserve"> </w:t>
      </w:r>
      <w:r w:rsidR="00C21C39">
        <w:rPr>
          <w:rFonts w:cs="David" w:hint="cs"/>
          <w:sz w:val="24"/>
          <w:szCs w:val="24"/>
          <w:rtl/>
        </w:rPr>
        <w:t>בשנים האחרונות (שקף 18)</w:t>
      </w:r>
      <w:r w:rsidR="00446E94" w:rsidRPr="00446E94">
        <w:rPr>
          <w:rFonts w:cs="David" w:hint="cs"/>
          <w:sz w:val="24"/>
          <w:szCs w:val="24"/>
          <w:rtl/>
        </w:rPr>
        <w:t xml:space="preserve">. </w:t>
      </w:r>
      <w:r w:rsidR="00C21C39">
        <w:rPr>
          <w:rFonts w:cs="David" w:hint="cs"/>
          <w:sz w:val="24"/>
          <w:szCs w:val="24"/>
          <w:rtl/>
        </w:rPr>
        <w:t xml:space="preserve">הממשלה נוקטת במדיניות ארוכת טווח של הפחתת נטל החוב, וניתן לראות שבין השנים </w:t>
      </w:r>
      <w:r w:rsidR="00446E94" w:rsidRPr="00446E94">
        <w:rPr>
          <w:rFonts w:cs="David" w:hint="cs"/>
          <w:sz w:val="24"/>
          <w:szCs w:val="24"/>
          <w:rtl/>
        </w:rPr>
        <w:t xml:space="preserve">2007 ל-2013, </w:t>
      </w:r>
      <w:r w:rsidR="00C21C39">
        <w:rPr>
          <w:rFonts w:cs="David" w:hint="cs"/>
          <w:sz w:val="24"/>
          <w:szCs w:val="24"/>
          <w:rtl/>
        </w:rPr>
        <w:t>נטל</w:t>
      </w:r>
      <w:r w:rsidR="00446E94" w:rsidRPr="00446E94">
        <w:rPr>
          <w:rFonts w:cs="David" w:hint="cs"/>
          <w:sz w:val="24"/>
          <w:szCs w:val="24"/>
          <w:rtl/>
        </w:rPr>
        <w:t xml:space="preserve"> החוב של הסקטור הציבורי ירד </w:t>
      </w:r>
      <w:r w:rsidR="00C21C39">
        <w:rPr>
          <w:rFonts w:cs="David" w:hint="cs"/>
          <w:sz w:val="24"/>
          <w:szCs w:val="24"/>
          <w:rtl/>
        </w:rPr>
        <w:t>ב</w:t>
      </w:r>
      <w:r w:rsidR="00446E94" w:rsidRPr="00446E94">
        <w:rPr>
          <w:rFonts w:cs="David" w:hint="cs"/>
          <w:sz w:val="24"/>
          <w:szCs w:val="24"/>
          <w:rtl/>
        </w:rPr>
        <w:t>-7.5</w:t>
      </w:r>
      <w:r w:rsidR="00C21C39">
        <w:rPr>
          <w:rFonts w:cs="David" w:hint="cs"/>
          <w:sz w:val="24"/>
          <w:szCs w:val="24"/>
          <w:rtl/>
        </w:rPr>
        <w:t xml:space="preserve"> נקודות אחוז (שקף 19)</w:t>
      </w:r>
      <w:r w:rsidR="00446E94" w:rsidRPr="00446E94">
        <w:rPr>
          <w:rFonts w:cs="David" w:hint="cs"/>
          <w:sz w:val="24"/>
          <w:szCs w:val="24"/>
          <w:rtl/>
        </w:rPr>
        <w:t>. לעומת זאת, ברוב המדינות</w:t>
      </w:r>
      <w:r w:rsidR="00C21C39">
        <w:rPr>
          <w:rFonts w:cs="David" w:hint="cs"/>
          <w:sz w:val="24"/>
          <w:szCs w:val="24"/>
          <w:rtl/>
        </w:rPr>
        <w:t xml:space="preserve"> </w:t>
      </w:r>
      <w:r w:rsidR="00446E94" w:rsidRPr="00446E94">
        <w:rPr>
          <w:rFonts w:cs="David" w:hint="cs"/>
          <w:sz w:val="24"/>
          <w:szCs w:val="24"/>
          <w:rtl/>
        </w:rPr>
        <w:t>המפותחות, אנחנו ראינו גידול מ</w:t>
      </w:r>
      <w:r w:rsidR="00C21C39">
        <w:rPr>
          <w:rFonts w:cs="David" w:hint="cs"/>
          <w:sz w:val="24"/>
          <w:szCs w:val="24"/>
          <w:rtl/>
        </w:rPr>
        <w:t xml:space="preserve">אוד מהיר בחוב של הסקטור הציבורי </w:t>
      </w:r>
      <w:r w:rsidR="00C21C39">
        <w:rPr>
          <w:rFonts w:cs="David"/>
          <w:sz w:val="24"/>
          <w:szCs w:val="24"/>
          <w:rtl/>
        </w:rPr>
        <w:t>–</w:t>
      </w:r>
      <w:r w:rsidR="00C21C39">
        <w:rPr>
          <w:rFonts w:cs="David" w:hint="cs"/>
          <w:sz w:val="24"/>
          <w:szCs w:val="24"/>
          <w:rtl/>
        </w:rPr>
        <w:t xml:space="preserve"> 29 נקודות אחוז באירופה, ו-40 נקודות אחוז בארה"ב. מבחינת הרמה, ישראל נמצאת ברמה של יחס חוב תוצר של 67%, שיפור ניכר לעומת העבר גם מבחינת המיקום היחסי. אם נסתכל על המגזר העסקי באותן שנים (שקף 20), ניתן לראות שבישראל הייתה ירידה של 25 נקודות אחוז ביחס החוב של המגזר העסקי לתוצר, וגם זה מצב מאוד שונה מבכל מקום אחר בעולם. </w:t>
      </w:r>
      <w:r w:rsidR="00446E94" w:rsidRPr="00446E94">
        <w:rPr>
          <w:rFonts w:cs="David" w:hint="cs"/>
          <w:sz w:val="24"/>
          <w:szCs w:val="24"/>
          <w:rtl/>
        </w:rPr>
        <w:t xml:space="preserve">בארה"ב, למרות </w:t>
      </w:r>
      <w:r w:rsidR="00C21C39">
        <w:rPr>
          <w:rFonts w:cs="David" w:hint="cs"/>
          <w:sz w:val="24"/>
          <w:szCs w:val="24"/>
          <w:rtl/>
        </w:rPr>
        <w:t xml:space="preserve">מספר שנים של מחנק אשראי בעקבות המשבר, </w:t>
      </w:r>
      <w:r w:rsidR="00446E94" w:rsidRPr="00446E94">
        <w:rPr>
          <w:rFonts w:cs="David" w:hint="cs"/>
          <w:sz w:val="24"/>
          <w:szCs w:val="24"/>
          <w:rtl/>
        </w:rPr>
        <w:t xml:space="preserve">היה גידול של 11%, </w:t>
      </w:r>
      <w:r w:rsidR="00C21C39">
        <w:rPr>
          <w:rFonts w:cs="David" w:hint="cs"/>
          <w:sz w:val="24"/>
          <w:szCs w:val="24"/>
          <w:rtl/>
        </w:rPr>
        <w:t>ו</w:t>
      </w:r>
      <w:r w:rsidR="00446E94" w:rsidRPr="00446E94">
        <w:rPr>
          <w:rFonts w:cs="David" w:hint="cs"/>
          <w:sz w:val="24"/>
          <w:szCs w:val="24"/>
          <w:rtl/>
        </w:rPr>
        <w:t xml:space="preserve">באירופה גידול של 14%. </w:t>
      </w:r>
      <w:r w:rsidR="00C21C39">
        <w:rPr>
          <w:rFonts w:cs="David" w:hint="cs"/>
          <w:sz w:val="24"/>
          <w:szCs w:val="24"/>
          <w:rtl/>
        </w:rPr>
        <w:t>יש</w:t>
      </w:r>
      <w:r w:rsidR="00770B1E">
        <w:rPr>
          <w:rFonts w:cs="David" w:hint="cs"/>
          <w:sz w:val="24"/>
          <w:szCs w:val="24"/>
          <w:rtl/>
        </w:rPr>
        <w:t xml:space="preserve"> לשי</w:t>
      </w:r>
      <w:r w:rsidR="00C21C39">
        <w:rPr>
          <w:rFonts w:cs="David" w:hint="cs"/>
          <w:sz w:val="24"/>
          <w:szCs w:val="24"/>
          <w:rtl/>
        </w:rPr>
        <w:t xml:space="preserve">ם לב </w:t>
      </w:r>
      <w:r w:rsidR="00770B1E">
        <w:rPr>
          <w:rFonts w:cs="David" w:hint="cs"/>
          <w:sz w:val="24"/>
          <w:szCs w:val="24"/>
          <w:rtl/>
        </w:rPr>
        <w:t xml:space="preserve">לכך </w:t>
      </w:r>
      <w:r w:rsidR="00C21C39">
        <w:rPr>
          <w:rFonts w:cs="David" w:hint="cs"/>
          <w:sz w:val="24"/>
          <w:szCs w:val="24"/>
          <w:rtl/>
        </w:rPr>
        <w:t xml:space="preserve">שבחלק מהמדינות החוב לא מאוד השתנה, והגידול </w:t>
      </w:r>
      <w:r w:rsidR="00770B1E">
        <w:rPr>
          <w:rFonts w:cs="David" w:hint="cs"/>
          <w:sz w:val="24"/>
          <w:szCs w:val="24"/>
          <w:rtl/>
        </w:rPr>
        <w:t>ב</w:t>
      </w:r>
      <w:r w:rsidR="00C21C39">
        <w:rPr>
          <w:rFonts w:cs="David" w:hint="cs"/>
          <w:sz w:val="24"/>
          <w:szCs w:val="24"/>
          <w:rtl/>
        </w:rPr>
        <w:t xml:space="preserve">יחס הוא תוצאה של הצטמצמות התמ"ג. </w:t>
      </w:r>
      <w:r w:rsidR="00253738">
        <w:rPr>
          <w:rFonts w:cs="David" w:hint="cs"/>
          <w:sz w:val="24"/>
          <w:szCs w:val="24"/>
          <w:rtl/>
        </w:rPr>
        <w:t>מבחינת הרמה,</w:t>
      </w:r>
      <w:r w:rsidR="0074733F">
        <w:rPr>
          <w:rFonts w:cs="David" w:hint="cs"/>
          <w:sz w:val="24"/>
          <w:szCs w:val="24"/>
          <w:rtl/>
        </w:rPr>
        <w:t xml:space="preserve"> </w:t>
      </w:r>
      <w:r w:rsidR="00253738">
        <w:rPr>
          <w:rFonts w:cs="David" w:hint="cs"/>
          <w:sz w:val="24"/>
          <w:szCs w:val="24"/>
          <w:rtl/>
        </w:rPr>
        <w:t xml:space="preserve">אנו נמצאים ברמה יחסית נמוכה של יחס החוב העסקי לתוצר, 73%, לעומת כ-85% בארה"ב ו-110% באירופה. גם בקרב משקי הבית </w:t>
      </w:r>
      <w:r w:rsidR="0074733F">
        <w:rPr>
          <w:rFonts w:cs="David" w:hint="cs"/>
          <w:sz w:val="24"/>
          <w:szCs w:val="24"/>
          <w:rtl/>
        </w:rPr>
        <w:t xml:space="preserve">(שקף 21) </w:t>
      </w:r>
      <w:r w:rsidR="00253738">
        <w:rPr>
          <w:rFonts w:cs="David" w:hint="cs"/>
          <w:sz w:val="24"/>
          <w:szCs w:val="24"/>
          <w:rtl/>
        </w:rPr>
        <w:t xml:space="preserve">אנו רואים </w:t>
      </w:r>
      <w:r w:rsidR="00446E94" w:rsidRPr="00446E94">
        <w:rPr>
          <w:rFonts w:cs="David" w:hint="cs"/>
          <w:sz w:val="24"/>
          <w:szCs w:val="24"/>
          <w:rtl/>
        </w:rPr>
        <w:t xml:space="preserve">תמונה מאוד שונה ממה שאנחנו רואים </w:t>
      </w:r>
      <w:r w:rsidR="00253738">
        <w:rPr>
          <w:rFonts w:cs="David" w:hint="cs"/>
          <w:sz w:val="24"/>
          <w:szCs w:val="24"/>
          <w:rtl/>
        </w:rPr>
        <w:t>במדינות אחרות</w:t>
      </w:r>
      <w:r w:rsidR="00446E94" w:rsidRPr="00446E94">
        <w:rPr>
          <w:rFonts w:cs="David" w:hint="cs"/>
          <w:sz w:val="24"/>
          <w:szCs w:val="24"/>
          <w:rtl/>
        </w:rPr>
        <w:t xml:space="preserve">. </w:t>
      </w:r>
      <w:r w:rsidR="0074733F">
        <w:rPr>
          <w:rFonts w:cs="David" w:hint="cs"/>
          <w:sz w:val="24"/>
          <w:szCs w:val="24"/>
          <w:rtl/>
        </w:rPr>
        <w:t xml:space="preserve">בחלק מהמדינות המשבר היה תוצאה של </w:t>
      </w:r>
      <w:r w:rsidR="00446E94" w:rsidRPr="00446E94">
        <w:rPr>
          <w:rFonts w:cs="David" w:hint="cs"/>
          <w:sz w:val="24"/>
          <w:szCs w:val="24"/>
          <w:rtl/>
        </w:rPr>
        <w:t xml:space="preserve"> עודף המינוף של משקי בית, ולכן הם היו צריכים לעבור תהליך </w:t>
      </w:r>
      <w:r w:rsidR="0074733F">
        <w:rPr>
          <w:rFonts w:cs="David" w:hint="cs"/>
          <w:sz w:val="24"/>
          <w:szCs w:val="24"/>
          <w:rtl/>
        </w:rPr>
        <w:t>של</w:t>
      </w:r>
      <w:r w:rsidR="00446E94" w:rsidRPr="00446E94">
        <w:rPr>
          <w:rFonts w:cs="David" w:hint="cs"/>
          <w:sz w:val="24"/>
          <w:szCs w:val="24"/>
          <w:rtl/>
        </w:rPr>
        <w:t xml:space="preserve"> </w:t>
      </w:r>
      <w:r w:rsidR="00446E94" w:rsidRPr="00446E94">
        <w:rPr>
          <w:rFonts w:cs="David"/>
          <w:sz w:val="24"/>
          <w:szCs w:val="24"/>
        </w:rPr>
        <w:t>Deleveraging</w:t>
      </w:r>
      <w:r w:rsidR="0074733F">
        <w:rPr>
          <w:rFonts w:cs="David" w:hint="cs"/>
          <w:sz w:val="24"/>
          <w:szCs w:val="24"/>
          <w:rtl/>
        </w:rPr>
        <w:t xml:space="preserve"> - </w:t>
      </w:r>
      <w:r w:rsidR="00446E94" w:rsidRPr="00446E94">
        <w:rPr>
          <w:rFonts w:cs="David" w:hint="cs"/>
          <w:sz w:val="24"/>
          <w:szCs w:val="24"/>
          <w:rtl/>
        </w:rPr>
        <w:t xml:space="preserve"> זה מתחיל לקרות בארה"ב, עם ירידה של 10%, </w:t>
      </w:r>
      <w:r w:rsidR="0074733F">
        <w:rPr>
          <w:rFonts w:cs="David" w:hint="cs"/>
          <w:sz w:val="24"/>
          <w:szCs w:val="24"/>
          <w:rtl/>
        </w:rPr>
        <w:t xml:space="preserve">וגם </w:t>
      </w:r>
      <w:r w:rsidR="00446E94" w:rsidRPr="00446E94">
        <w:rPr>
          <w:rFonts w:cs="David" w:hint="cs"/>
          <w:sz w:val="24"/>
          <w:szCs w:val="24"/>
          <w:rtl/>
        </w:rPr>
        <w:t>באירלנד, בספרד, אבל יש עדיין מספר מדינות ש</w:t>
      </w:r>
      <w:r w:rsidR="0074733F">
        <w:rPr>
          <w:rFonts w:cs="David" w:hint="cs"/>
          <w:sz w:val="24"/>
          <w:szCs w:val="24"/>
          <w:rtl/>
        </w:rPr>
        <w:t xml:space="preserve">בהן תהליך זה </w:t>
      </w:r>
      <w:r w:rsidR="00446E94" w:rsidRPr="00446E94">
        <w:rPr>
          <w:rFonts w:cs="David" w:hint="cs"/>
          <w:sz w:val="24"/>
          <w:szCs w:val="24"/>
          <w:rtl/>
        </w:rPr>
        <w:t xml:space="preserve"> עדיין לא </w:t>
      </w:r>
      <w:r w:rsidR="0074733F">
        <w:rPr>
          <w:rFonts w:cs="David" w:hint="cs"/>
          <w:sz w:val="24"/>
          <w:szCs w:val="24"/>
          <w:rtl/>
        </w:rPr>
        <w:t>התרחש</w:t>
      </w:r>
      <w:r w:rsidR="00446E94" w:rsidRPr="00446E94">
        <w:rPr>
          <w:rFonts w:cs="David" w:hint="cs"/>
          <w:sz w:val="24"/>
          <w:szCs w:val="24"/>
          <w:rtl/>
        </w:rPr>
        <w:t xml:space="preserve">, ואנחנו צריכים לצפות </w:t>
      </w:r>
      <w:r w:rsidR="0074733F">
        <w:rPr>
          <w:rFonts w:cs="David" w:hint="cs"/>
          <w:sz w:val="24"/>
          <w:szCs w:val="24"/>
          <w:rtl/>
        </w:rPr>
        <w:t>לכך שהוא יתרחש</w:t>
      </w:r>
      <w:r w:rsidR="00770B1E">
        <w:rPr>
          <w:rFonts w:cs="David" w:hint="cs"/>
          <w:sz w:val="24"/>
          <w:szCs w:val="24"/>
          <w:rtl/>
        </w:rPr>
        <w:t xml:space="preserve">. בארץ, לעומת זאת, סך </w:t>
      </w:r>
      <w:r w:rsidR="00446E94" w:rsidRPr="00446E94">
        <w:rPr>
          <w:rFonts w:cs="David" w:hint="cs"/>
          <w:sz w:val="24"/>
          <w:szCs w:val="24"/>
          <w:rtl/>
        </w:rPr>
        <w:t xml:space="preserve">כול החוב של משקי בית כאחוז מהתמ"ג, </w:t>
      </w:r>
      <w:r w:rsidR="0074733F">
        <w:rPr>
          <w:rFonts w:cs="David" w:hint="cs"/>
          <w:sz w:val="24"/>
          <w:szCs w:val="24"/>
          <w:rtl/>
        </w:rPr>
        <w:t>נותר די יציב בתקופה זו, וזה</w:t>
      </w:r>
      <w:r w:rsidR="00446E94" w:rsidRPr="00446E94">
        <w:rPr>
          <w:rFonts w:cs="David" w:hint="cs"/>
          <w:sz w:val="24"/>
          <w:szCs w:val="24"/>
          <w:rtl/>
        </w:rPr>
        <w:t xml:space="preserve"> למרות הגידול המאוד מהיר </w:t>
      </w:r>
      <w:r w:rsidR="0074733F">
        <w:rPr>
          <w:rFonts w:cs="David" w:hint="cs"/>
          <w:sz w:val="24"/>
          <w:szCs w:val="24"/>
          <w:rtl/>
        </w:rPr>
        <w:t>ביתרת המ</w:t>
      </w:r>
      <w:r w:rsidR="00446E94" w:rsidRPr="00446E94">
        <w:rPr>
          <w:rFonts w:cs="David" w:hint="cs"/>
          <w:sz w:val="24"/>
          <w:szCs w:val="24"/>
          <w:rtl/>
        </w:rPr>
        <w:t xml:space="preserve">שכנתאות. </w:t>
      </w:r>
      <w:r w:rsidR="0074733F">
        <w:rPr>
          <w:rFonts w:cs="David" w:hint="cs"/>
          <w:sz w:val="24"/>
          <w:szCs w:val="24"/>
          <w:rtl/>
        </w:rPr>
        <w:t xml:space="preserve">מבחינת הרמה, גם היא </w:t>
      </w:r>
      <w:r w:rsidR="00446E94" w:rsidRPr="00446E94">
        <w:rPr>
          <w:rFonts w:cs="David" w:hint="cs"/>
          <w:sz w:val="24"/>
          <w:szCs w:val="24"/>
          <w:rtl/>
        </w:rPr>
        <w:t>יחסית נמוכה, 39%, לעומת 71%</w:t>
      </w:r>
      <w:r w:rsidR="0074733F">
        <w:rPr>
          <w:rFonts w:cs="David" w:hint="cs"/>
          <w:sz w:val="24"/>
          <w:szCs w:val="24"/>
          <w:rtl/>
        </w:rPr>
        <w:t xml:space="preserve"> באירופה. האמריקאים </w:t>
      </w:r>
      <w:r w:rsidR="00446E94" w:rsidRPr="00446E94">
        <w:rPr>
          <w:rFonts w:cs="David" w:hint="cs"/>
          <w:sz w:val="24"/>
          <w:szCs w:val="24"/>
          <w:rtl/>
        </w:rPr>
        <w:t xml:space="preserve">ידועים כלוקחים אשראי יותר בקלות, </w:t>
      </w:r>
      <w:r w:rsidR="0074733F">
        <w:rPr>
          <w:rFonts w:cs="David" w:hint="cs"/>
          <w:sz w:val="24"/>
          <w:szCs w:val="24"/>
          <w:rtl/>
        </w:rPr>
        <w:t>ושם היחס הוא</w:t>
      </w:r>
      <w:r w:rsidR="00446E94" w:rsidRPr="00446E94">
        <w:rPr>
          <w:rFonts w:cs="David" w:hint="cs"/>
          <w:sz w:val="24"/>
          <w:szCs w:val="24"/>
          <w:rtl/>
        </w:rPr>
        <w:t xml:space="preserve"> 82%, </w:t>
      </w:r>
      <w:r w:rsidR="0074733F">
        <w:rPr>
          <w:rFonts w:cs="David" w:hint="cs"/>
          <w:sz w:val="24"/>
          <w:szCs w:val="24"/>
          <w:rtl/>
        </w:rPr>
        <w:t>כאמור לאחר</w:t>
      </w:r>
      <w:r w:rsidR="00446E94" w:rsidRPr="00446E94">
        <w:rPr>
          <w:rFonts w:cs="David" w:hint="cs"/>
          <w:sz w:val="24"/>
          <w:szCs w:val="24"/>
          <w:rtl/>
        </w:rPr>
        <w:t xml:space="preserve"> ירידה של 10 נקודות אחוז בשנים האחרונות. </w:t>
      </w:r>
    </w:p>
    <w:p w:rsidR="0074733F" w:rsidRDefault="0074733F" w:rsidP="0074733F">
      <w:pPr>
        <w:bidi/>
        <w:spacing w:line="360" w:lineRule="auto"/>
        <w:jc w:val="both"/>
        <w:rPr>
          <w:rFonts w:cs="David"/>
          <w:sz w:val="24"/>
          <w:szCs w:val="24"/>
          <w:rtl/>
        </w:rPr>
      </w:pPr>
    </w:p>
    <w:p w:rsidR="005A352B" w:rsidRDefault="0074733F" w:rsidP="00EB67EB">
      <w:pPr>
        <w:bidi/>
        <w:spacing w:line="360" w:lineRule="auto"/>
        <w:jc w:val="both"/>
        <w:rPr>
          <w:rFonts w:cs="David"/>
          <w:sz w:val="24"/>
          <w:szCs w:val="24"/>
          <w:rtl/>
        </w:rPr>
      </w:pPr>
      <w:r>
        <w:rPr>
          <w:rFonts w:cs="David" w:hint="cs"/>
          <w:sz w:val="24"/>
          <w:szCs w:val="24"/>
          <w:rtl/>
        </w:rPr>
        <w:t>אם לסכם את תמונת האשראי</w:t>
      </w:r>
      <w:r w:rsidR="00AD5C43">
        <w:rPr>
          <w:rFonts w:cs="David" w:hint="cs"/>
          <w:sz w:val="24"/>
          <w:szCs w:val="24"/>
          <w:rtl/>
        </w:rPr>
        <w:t xml:space="preserve"> (שקף 22)</w:t>
      </w:r>
      <w:r w:rsidR="00770B1E">
        <w:rPr>
          <w:rFonts w:cs="David" w:hint="cs"/>
          <w:sz w:val="24"/>
          <w:szCs w:val="24"/>
          <w:rtl/>
        </w:rPr>
        <w:t>, הר</w:t>
      </w:r>
      <w:r>
        <w:rPr>
          <w:rFonts w:cs="David" w:hint="cs"/>
          <w:sz w:val="24"/>
          <w:szCs w:val="24"/>
          <w:rtl/>
        </w:rPr>
        <w:t>י שהאשראי למגזר העסקי מצוי כמעט בקיפאון, והגידול היחיד שראינו הוא באשראי לדיור, שלא הביא לגידול ביחס החוב של משקי הבית</w:t>
      </w:r>
      <w:r w:rsidR="00AD5C43">
        <w:rPr>
          <w:rFonts w:cs="David" w:hint="cs"/>
          <w:sz w:val="24"/>
          <w:szCs w:val="24"/>
          <w:rtl/>
        </w:rPr>
        <w:t xml:space="preserve">, </w:t>
      </w:r>
      <w:r w:rsidR="00770B1E">
        <w:rPr>
          <w:rFonts w:cs="David" w:hint="cs"/>
          <w:sz w:val="24"/>
          <w:szCs w:val="24"/>
          <w:rtl/>
        </w:rPr>
        <w:t>אשר נמצא</w:t>
      </w:r>
      <w:r w:rsidR="00446E94" w:rsidRPr="00446E94">
        <w:rPr>
          <w:rFonts w:cs="David" w:hint="cs"/>
          <w:sz w:val="24"/>
          <w:szCs w:val="24"/>
          <w:rtl/>
        </w:rPr>
        <w:t xml:space="preserve"> עדיין ברמה יחסית נמוכה. </w:t>
      </w:r>
      <w:r w:rsidR="00AD5C43">
        <w:rPr>
          <w:rFonts w:cs="David" w:hint="cs"/>
          <w:sz w:val="24"/>
          <w:szCs w:val="24"/>
          <w:rtl/>
        </w:rPr>
        <w:t xml:space="preserve">הירידה באשראי העסקי (שקף 23) אולי מפצה, במידה </w:t>
      </w:r>
      <w:r w:rsidR="00D66105">
        <w:rPr>
          <w:rFonts w:cs="David" w:hint="cs"/>
          <w:sz w:val="24"/>
          <w:szCs w:val="24"/>
          <w:rtl/>
        </w:rPr>
        <w:t>מסוימת</w:t>
      </w:r>
      <w:r w:rsidR="00AD5C43">
        <w:rPr>
          <w:rFonts w:cs="David" w:hint="cs"/>
          <w:sz w:val="24"/>
          <w:szCs w:val="24"/>
          <w:rtl/>
        </w:rPr>
        <w:t xml:space="preserve">, על הגידול החד יחסית שראינו ערב המשבר, אבל במידה </w:t>
      </w:r>
      <w:r w:rsidR="00D66105">
        <w:rPr>
          <w:rFonts w:cs="David" w:hint="cs"/>
          <w:sz w:val="24"/>
          <w:szCs w:val="24"/>
          <w:rtl/>
        </w:rPr>
        <w:t>מסוימת</w:t>
      </w:r>
      <w:r w:rsidR="00AD5C43">
        <w:rPr>
          <w:rFonts w:cs="David" w:hint="cs"/>
          <w:sz w:val="24"/>
          <w:szCs w:val="24"/>
          <w:rtl/>
        </w:rPr>
        <w:t xml:space="preserve"> זו עדיין </w:t>
      </w:r>
      <w:r w:rsidR="00446E94" w:rsidRPr="00446E94">
        <w:rPr>
          <w:rFonts w:cs="David" w:hint="cs"/>
          <w:sz w:val="24"/>
          <w:szCs w:val="24"/>
          <w:rtl/>
        </w:rPr>
        <w:t xml:space="preserve">תעלומה. משק שממשיך לצמוח צריך אשראי, ואנחנו לא ראינו </w:t>
      </w:r>
      <w:r w:rsidR="00770B1E">
        <w:rPr>
          <w:rFonts w:cs="David" w:hint="cs"/>
          <w:sz w:val="24"/>
          <w:szCs w:val="24"/>
          <w:rtl/>
        </w:rPr>
        <w:t>צמיחה ב</w:t>
      </w:r>
      <w:r w:rsidR="00AD5C43">
        <w:rPr>
          <w:rFonts w:cs="David" w:hint="cs"/>
          <w:sz w:val="24"/>
          <w:szCs w:val="24"/>
          <w:rtl/>
        </w:rPr>
        <w:t>אשראי, לא ממערכת הבנקאות, ולא מהמקורות ה</w:t>
      </w:r>
      <w:r w:rsidR="00446E94" w:rsidRPr="00446E94">
        <w:rPr>
          <w:rFonts w:cs="David" w:hint="cs"/>
          <w:sz w:val="24"/>
          <w:szCs w:val="24"/>
          <w:rtl/>
        </w:rPr>
        <w:t>חוץ בנקאי</w:t>
      </w:r>
      <w:r w:rsidR="00AD5C43">
        <w:rPr>
          <w:rFonts w:cs="David" w:hint="cs"/>
          <w:sz w:val="24"/>
          <w:szCs w:val="24"/>
          <w:rtl/>
        </w:rPr>
        <w:t>ים</w:t>
      </w:r>
      <w:r w:rsidR="00446E94" w:rsidRPr="00446E94">
        <w:rPr>
          <w:rFonts w:cs="David" w:hint="cs"/>
          <w:sz w:val="24"/>
          <w:szCs w:val="24"/>
          <w:rtl/>
        </w:rPr>
        <w:t xml:space="preserve">. </w:t>
      </w:r>
      <w:r w:rsidR="00AD5C43">
        <w:rPr>
          <w:rFonts w:cs="David" w:hint="cs"/>
          <w:sz w:val="24"/>
          <w:szCs w:val="24"/>
          <w:rtl/>
        </w:rPr>
        <w:t>קצב ההנפקות הואט לאחרונה (שקף 24)</w:t>
      </w:r>
      <w:r w:rsidR="00446E94" w:rsidRPr="00446E94">
        <w:rPr>
          <w:rFonts w:cs="David" w:hint="cs"/>
          <w:sz w:val="24"/>
          <w:szCs w:val="24"/>
          <w:rtl/>
        </w:rPr>
        <w:t xml:space="preserve">, </w:t>
      </w:r>
      <w:r w:rsidR="00AD5C43">
        <w:rPr>
          <w:rFonts w:cs="David" w:hint="cs"/>
          <w:sz w:val="24"/>
          <w:szCs w:val="24"/>
          <w:rtl/>
        </w:rPr>
        <w:t xml:space="preserve">כאשר מתוך זה ההנפקות בענף הנדל"ן </w:t>
      </w:r>
      <w:r w:rsidR="00446E94" w:rsidRPr="00446E94">
        <w:rPr>
          <w:rFonts w:cs="David" w:hint="cs"/>
          <w:sz w:val="24"/>
          <w:szCs w:val="24"/>
          <w:rtl/>
        </w:rPr>
        <w:t xml:space="preserve"> גדל</w:t>
      </w:r>
      <w:r w:rsidR="00AD5C43">
        <w:rPr>
          <w:rFonts w:cs="David" w:hint="cs"/>
          <w:sz w:val="24"/>
          <w:szCs w:val="24"/>
          <w:rtl/>
        </w:rPr>
        <w:t>ו</w:t>
      </w:r>
      <w:r w:rsidR="00446E94" w:rsidRPr="00446E94">
        <w:rPr>
          <w:rFonts w:cs="David" w:hint="cs"/>
          <w:sz w:val="24"/>
          <w:szCs w:val="24"/>
          <w:rtl/>
        </w:rPr>
        <w:t xml:space="preserve"> בצורה משמעותית השנה, </w:t>
      </w:r>
      <w:r w:rsidR="00AD5C43">
        <w:rPr>
          <w:rFonts w:cs="David" w:hint="cs"/>
          <w:sz w:val="24"/>
          <w:szCs w:val="24"/>
          <w:rtl/>
        </w:rPr>
        <w:t>ו</w:t>
      </w:r>
      <w:r w:rsidR="00446E94" w:rsidRPr="00446E94">
        <w:rPr>
          <w:rFonts w:cs="David" w:hint="cs"/>
          <w:sz w:val="24"/>
          <w:szCs w:val="24"/>
          <w:rtl/>
        </w:rPr>
        <w:t xml:space="preserve">זה משהו שכמובן אנחנו ממשיכים להסתכל עליו, אם כי איכות האשראי, לפי דירוגים, </w:t>
      </w:r>
      <w:r w:rsidR="00AD5C43">
        <w:rPr>
          <w:rFonts w:cs="David" w:hint="cs"/>
          <w:sz w:val="24"/>
          <w:szCs w:val="24"/>
          <w:rtl/>
        </w:rPr>
        <w:t>השתפרה</w:t>
      </w:r>
      <w:r w:rsidR="00446E94" w:rsidRPr="00446E94">
        <w:rPr>
          <w:rFonts w:cs="David" w:hint="cs"/>
          <w:sz w:val="24"/>
          <w:szCs w:val="24"/>
          <w:rtl/>
        </w:rPr>
        <w:t xml:space="preserve"> השנה. </w:t>
      </w:r>
      <w:r w:rsidR="00AD5C43">
        <w:rPr>
          <w:rFonts w:cs="David" w:hint="cs"/>
          <w:sz w:val="24"/>
          <w:szCs w:val="24"/>
          <w:rtl/>
        </w:rPr>
        <w:t xml:space="preserve">אם כך, הסוגיה שאנו צריכים לחשוב עליה היא שמצד אחד המשק צומח, ומצד שני אין גידול באשראי העסקי. ננסה להסתכל על מחירי האשראי, ולצורך כך נבחן את </w:t>
      </w:r>
      <w:r w:rsidR="00446E94" w:rsidRPr="00446E94">
        <w:rPr>
          <w:rFonts w:cs="David" w:hint="cs"/>
          <w:sz w:val="24"/>
          <w:szCs w:val="24"/>
          <w:rtl/>
        </w:rPr>
        <w:t xml:space="preserve">מרווחי </w:t>
      </w:r>
      <w:r w:rsidR="00D66105" w:rsidRPr="00446E94">
        <w:rPr>
          <w:rFonts w:cs="David" w:hint="cs"/>
          <w:sz w:val="24"/>
          <w:szCs w:val="24"/>
          <w:rtl/>
        </w:rPr>
        <w:t>התל בונ</w:t>
      </w:r>
      <w:r w:rsidR="00D66105" w:rsidRPr="00446E94">
        <w:rPr>
          <w:rFonts w:cs="David" w:hint="eastAsia"/>
          <w:sz w:val="24"/>
          <w:szCs w:val="24"/>
          <w:rtl/>
        </w:rPr>
        <w:t>ד</w:t>
      </w:r>
      <w:r w:rsidR="00AD5C43">
        <w:rPr>
          <w:rFonts w:cs="David" w:hint="cs"/>
          <w:sz w:val="24"/>
          <w:szCs w:val="24"/>
          <w:rtl/>
        </w:rPr>
        <w:t xml:space="preserve"> (שקף 26). </w:t>
      </w:r>
      <w:r w:rsidR="005A352B">
        <w:rPr>
          <w:rFonts w:cs="David" w:hint="cs"/>
          <w:sz w:val="24"/>
          <w:szCs w:val="24"/>
          <w:rtl/>
        </w:rPr>
        <w:t>אם היעדר הגידול באשראי היה תוצאה של מחסור בהיצע, היינו מצפים לראות עלייה במחירי האשראי. לעומת זאת, אנו רואים ירידה במרווחים, שמעי</w:t>
      </w:r>
      <w:r w:rsidR="00770B1E">
        <w:rPr>
          <w:rFonts w:cs="David" w:hint="cs"/>
          <w:sz w:val="24"/>
          <w:szCs w:val="24"/>
          <w:rtl/>
        </w:rPr>
        <w:t>דה על כך שהסיטואציה היא של היעד</w:t>
      </w:r>
      <w:r w:rsidR="005A352B">
        <w:rPr>
          <w:rFonts w:cs="David" w:hint="cs"/>
          <w:sz w:val="24"/>
          <w:szCs w:val="24"/>
          <w:rtl/>
        </w:rPr>
        <w:t xml:space="preserve">ר ביקוש לאשראי. </w:t>
      </w:r>
      <w:r w:rsidR="00446E94" w:rsidRPr="00446E94">
        <w:rPr>
          <w:rFonts w:cs="David" w:hint="cs"/>
          <w:sz w:val="24"/>
          <w:szCs w:val="24"/>
          <w:rtl/>
        </w:rPr>
        <w:t xml:space="preserve">תופעה </w:t>
      </w:r>
      <w:r w:rsidR="005A352B">
        <w:rPr>
          <w:rFonts w:cs="David" w:hint="cs"/>
          <w:sz w:val="24"/>
          <w:szCs w:val="24"/>
          <w:rtl/>
        </w:rPr>
        <w:t xml:space="preserve">מעניינת נוספת </w:t>
      </w:r>
      <w:r w:rsidR="005A352B">
        <w:rPr>
          <w:rFonts w:cs="David" w:hint="cs"/>
          <w:sz w:val="24"/>
          <w:szCs w:val="24"/>
          <w:rtl/>
        </w:rPr>
        <w:lastRenderedPageBreak/>
        <w:t xml:space="preserve">היא המרווח בין הריבית הקצרה לריבית הארוכה (שקף 27), שבישראל הוא גבוה יחסית לאורך זמן. </w:t>
      </w:r>
      <w:r w:rsidR="00446E94" w:rsidRPr="00446E94">
        <w:rPr>
          <w:rFonts w:cs="David" w:hint="cs"/>
          <w:sz w:val="24"/>
          <w:szCs w:val="24"/>
          <w:rtl/>
        </w:rPr>
        <w:t xml:space="preserve">בכל תקופה היה </w:t>
      </w:r>
      <w:r w:rsidR="005A352B">
        <w:rPr>
          <w:rFonts w:cs="David" w:hint="cs"/>
          <w:sz w:val="24"/>
          <w:szCs w:val="24"/>
          <w:rtl/>
        </w:rPr>
        <w:t xml:space="preserve">ככל הנראה </w:t>
      </w:r>
      <w:r w:rsidR="00446E94" w:rsidRPr="00446E94">
        <w:rPr>
          <w:rFonts w:cs="David" w:hint="cs"/>
          <w:sz w:val="24"/>
          <w:szCs w:val="24"/>
          <w:rtl/>
        </w:rPr>
        <w:t>הסבר אחר</w:t>
      </w:r>
      <w:r w:rsidR="005A352B">
        <w:rPr>
          <w:rFonts w:cs="David" w:hint="cs"/>
          <w:sz w:val="24"/>
          <w:szCs w:val="24"/>
          <w:rtl/>
        </w:rPr>
        <w:t xml:space="preserve"> למרווח הגבוה יחסית בישראל: ב</w:t>
      </w:r>
      <w:r w:rsidR="00446E94" w:rsidRPr="00446E94">
        <w:rPr>
          <w:rFonts w:cs="David" w:hint="cs"/>
          <w:sz w:val="24"/>
          <w:szCs w:val="24"/>
          <w:rtl/>
        </w:rPr>
        <w:t xml:space="preserve">שנת 2000, </w:t>
      </w:r>
      <w:r w:rsidR="005A352B">
        <w:rPr>
          <w:rFonts w:cs="David" w:hint="cs"/>
          <w:sz w:val="24"/>
          <w:szCs w:val="24"/>
          <w:rtl/>
        </w:rPr>
        <w:t>התקופה הייתה של תחילת ההנפקות הגדולות של השח</w:t>
      </w:r>
      <w:r w:rsidR="00446E94" w:rsidRPr="00446E94">
        <w:rPr>
          <w:rFonts w:cs="David" w:hint="cs"/>
          <w:sz w:val="24"/>
          <w:szCs w:val="24"/>
          <w:rtl/>
        </w:rPr>
        <w:t xml:space="preserve">ר ל-10 שנים, </w:t>
      </w:r>
      <w:r w:rsidR="005A352B">
        <w:rPr>
          <w:rFonts w:cs="David" w:hint="cs"/>
          <w:sz w:val="24"/>
          <w:szCs w:val="24"/>
          <w:rtl/>
        </w:rPr>
        <w:t>ו</w:t>
      </w:r>
      <w:r w:rsidR="00446E94" w:rsidRPr="00446E94">
        <w:rPr>
          <w:rFonts w:cs="David" w:hint="cs"/>
          <w:sz w:val="24"/>
          <w:szCs w:val="24"/>
          <w:rtl/>
        </w:rPr>
        <w:t xml:space="preserve">עדיין </w:t>
      </w:r>
      <w:r w:rsidR="005A352B">
        <w:rPr>
          <w:rFonts w:cs="David" w:hint="cs"/>
          <w:sz w:val="24"/>
          <w:szCs w:val="24"/>
          <w:rtl/>
        </w:rPr>
        <w:t xml:space="preserve">היו חששות </w:t>
      </w:r>
      <w:r w:rsidR="00446E94" w:rsidRPr="00446E94">
        <w:rPr>
          <w:rFonts w:cs="David" w:hint="cs"/>
          <w:sz w:val="24"/>
          <w:szCs w:val="24"/>
          <w:rtl/>
        </w:rPr>
        <w:t xml:space="preserve">מאינפלציה, </w:t>
      </w:r>
      <w:r w:rsidR="005A352B">
        <w:rPr>
          <w:rFonts w:cs="David" w:hint="cs"/>
          <w:sz w:val="24"/>
          <w:szCs w:val="24"/>
          <w:rtl/>
        </w:rPr>
        <w:t xml:space="preserve">מה שיכל להביא למרווח </w:t>
      </w:r>
      <w:r w:rsidR="00446E94" w:rsidRPr="00446E94">
        <w:rPr>
          <w:rFonts w:cs="David" w:hint="cs"/>
          <w:sz w:val="24"/>
          <w:szCs w:val="24"/>
          <w:rtl/>
        </w:rPr>
        <w:t xml:space="preserve">גבוה יותר. </w:t>
      </w:r>
      <w:r w:rsidR="005A352B">
        <w:rPr>
          <w:rFonts w:cs="David" w:hint="cs"/>
          <w:sz w:val="24"/>
          <w:szCs w:val="24"/>
          <w:rtl/>
        </w:rPr>
        <w:t xml:space="preserve">לאחר מכן, בשנים </w:t>
      </w:r>
      <w:r w:rsidR="00446E94" w:rsidRPr="00446E94">
        <w:rPr>
          <w:rFonts w:cs="David" w:hint="cs"/>
          <w:sz w:val="24"/>
          <w:szCs w:val="24"/>
          <w:rtl/>
        </w:rPr>
        <w:t xml:space="preserve">2006-2007, הייתה גאות יוצאת דופן בחו"ל, ופה הרבה פחות, ולכן אולי המרווחים היו יותר גבוהים </w:t>
      </w:r>
      <w:r w:rsidR="005A352B">
        <w:rPr>
          <w:rFonts w:cs="David" w:hint="cs"/>
          <w:sz w:val="24"/>
          <w:szCs w:val="24"/>
          <w:rtl/>
        </w:rPr>
        <w:t>בישראל</w:t>
      </w:r>
      <w:r w:rsidR="00446E94" w:rsidRPr="00446E94">
        <w:rPr>
          <w:rFonts w:cs="David" w:hint="cs"/>
          <w:sz w:val="24"/>
          <w:szCs w:val="24"/>
          <w:rtl/>
        </w:rPr>
        <w:t xml:space="preserve">. </w:t>
      </w:r>
      <w:r w:rsidR="005A352B">
        <w:rPr>
          <w:rFonts w:cs="David" w:hint="cs"/>
          <w:sz w:val="24"/>
          <w:szCs w:val="24"/>
          <w:rtl/>
        </w:rPr>
        <w:t xml:space="preserve">גם אם ההסבר שונה בכל תקופה, הוא ככל הנראה משקף פרמיה גבוהה יותר עבור הטווח הארוך בישראל, כלומר, למרות הירידה בריבית </w:t>
      </w:r>
      <w:bookmarkStart w:id="0" w:name="_GoBack"/>
      <w:r w:rsidR="005A352B">
        <w:rPr>
          <w:rFonts w:cs="David" w:hint="cs"/>
          <w:sz w:val="24"/>
          <w:szCs w:val="24"/>
          <w:rtl/>
        </w:rPr>
        <w:t xml:space="preserve">המוניטרית, </w:t>
      </w:r>
      <w:r w:rsidR="00446E94" w:rsidRPr="00EB67EB">
        <w:rPr>
          <w:rFonts w:cs="David" w:hint="cs"/>
          <w:sz w:val="24"/>
          <w:szCs w:val="24"/>
          <w:rtl/>
        </w:rPr>
        <w:t xml:space="preserve">הסיכון לטווח </w:t>
      </w:r>
      <w:r w:rsidR="00EB67EB" w:rsidRPr="00EB67EB">
        <w:rPr>
          <w:rFonts w:cs="David" w:hint="cs"/>
          <w:sz w:val="24"/>
          <w:szCs w:val="24"/>
          <w:rtl/>
        </w:rPr>
        <w:t>ארוך בארץ הוא כנראה גבוה יותר מ</w:t>
      </w:r>
      <w:r w:rsidR="00446E94" w:rsidRPr="00EB67EB">
        <w:rPr>
          <w:rFonts w:cs="David" w:hint="cs"/>
          <w:sz w:val="24"/>
          <w:szCs w:val="24"/>
          <w:rtl/>
        </w:rPr>
        <w:t xml:space="preserve">אשר </w:t>
      </w:r>
      <w:r w:rsidR="00EB67EB" w:rsidRPr="00EB67EB">
        <w:rPr>
          <w:rFonts w:cs="David" w:hint="cs"/>
          <w:sz w:val="24"/>
          <w:szCs w:val="24"/>
          <w:rtl/>
        </w:rPr>
        <w:t>ב</w:t>
      </w:r>
      <w:r w:rsidR="00446E94" w:rsidRPr="00EB67EB">
        <w:rPr>
          <w:rFonts w:cs="David" w:hint="cs"/>
          <w:sz w:val="24"/>
          <w:szCs w:val="24"/>
          <w:rtl/>
        </w:rPr>
        <w:t>עולם.</w:t>
      </w:r>
      <w:r w:rsidR="00446E94" w:rsidRPr="00446E94">
        <w:rPr>
          <w:rFonts w:cs="David" w:hint="cs"/>
          <w:sz w:val="24"/>
          <w:szCs w:val="24"/>
          <w:rtl/>
        </w:rPr>
        <w:t xml:space="preserve"> בשוק המניות יש עלייה במחירים</w:t>
      </w:r>
      <w:bookmarkEnd w:id="0"/>
      <w:r w:rsidR="00446E94" w:rsidRPr="00446E94">
        <w:rPr>
          <w:rFonts w:cs="David" w:hint="cs"/>
          <w:sz w:val="24"/>
          <w:szCs w:val="24"/>
          <w:rtl/>
        </w:rPr>
        <w:t xml:space="preserve">, </w:t>
      </w:r>
      <w:r w:rsidR="005A352B">
        <w:rPr>
          <w:rFonts w:cs="David" w:hint="cs"/>
          <w:sz w:val="24"/>
          <w:szCs w:val="24"/>
          <w:rtl/>
        </w:rPr>
        <w:t xml:space="preserve">לא שונה ממה שרואים במדינות אחרות. </w:t>
      </w:r>
    </w:p>
    <w:p w:rsidR="005A352B" w:rsidRPr="00EB67EB" w:rsidRDefault="005A352B" w:rsidP="005A352B">
      <w:pPr>
        <w:bidi/>
        <w:spacing w:line="360" w:lineRule="auto"/>
        <w:jc w:val="both"/>
        <w:rPr>
          <w:rFonts w:cs="David"/>
          <w:sz w:val="24"/>
          <w:szCs w:val="24"/>
          <w:rtl/>
        </w:rPr>
      </w:pPr>
    </w:p>
    <w:p w:rsidR="00C04A6B" w:rsidRDefault="005143C3" w:rsidP="00A702A3">
      <w:pPr>
        <w:bidi/>
        <w:spacing w:line="360" w:lineRule="auto"/>
        <w:jc w:val="both"/>
        <w:rPr>
          <w:sz w:val="24"/>
          <w:rtl/>
        </w:rPr>
      </w:pPr>
      <w:r>
        <w:rPr>
          <w:rFonts w:cs="David" w:hint="cs"/>
          <w:sz w:val="24"/>
          <w:szCs w:val="24"/>
          <w:rtl/>
        </w:rPr>
        <w:t>לסיכום, כשאנו מסתכלים על שלושת היעדים של בנק ישראל, האינפלציה הנמוכה היא כנראה בחלקה ייבוא של אינפלציה נמוכה מחו"ל. תמונת הפעילות הריאלית אינה ברורה, כאשר חלק מהאינדיקטורים שליליים וחלק חיוביים</w:t>
      </w:r>
      <w:r w:rsidR="00A702A3">
        <w:rPr>
          <w:rFonts w:cs="David" w:hint="cs"/>
          <w:sz w:val="24"/>
          <w:szCs w:val="24"/>
          <w:rtl/>
        </w:rPr>
        <w:t>, בייחוד ברביע הראשון</w:t>
      </w:r>
      <w:r>
        <w:rPr>
          <w:rFonts w:cs="David" w:hint="cs"/>
          <w:sz w:val="24"/>
          <w:szCs w:val="24"/>
          <w:rtl/>
        </w:rPr>
        <w:t xml:space="preserve">. </w:t>
      </w:r>
      <w:r w:rsidR="00A702A3">
        <w:rPr>
          <w:rFonts w:cs="David" w:hint="cs"/>
          <w:sz w:val="24"/>
          <w:szCs w:val="24"/>
          <w:rtl/>
        </w:rPr>
        <w:t xml:space="preserve">מבחינת המינוף, יש רמות גבוהות של אשראי לדיור, אולם אנו לא רואים רמות מאוד גבוהות של מינוף בכלל המשק שעשויות להביא למסלול מסוכן. בסיכום </w:t>
      </w:r>
      <w:r w:rsidR="00770B1E">
        <w:rPr>
          <w:rFonts w:cs="David" w:hint="cs"/>
          <w:sz w:val="24"/>
          <w:szCs w:val="24"/>
          <w:rtl/>
        </w:rPr>
        <w:t xml:space="preserve">כל המרכיבים האלו, הוועדה </w:t>
      </w:r>
      <w:r w:rsidR="00A702A3">
        <w:rPr>
          <w:rFonts w:cs="David" w:hint="cs"/>
          <w:sz w:val="24"/>
          <w:szCs w:val="24"/>
          <w:rtl/>
        </w:rPr>
        <w:t xml:space="preserve">המוניטרית השאירה החודש את הריבית ללא שינוי. </w:t>
      </w:r>
    </w:p>
    <w:p w:rsidR="00446E94" w:rsidRPr="007E18EE" w:rsidRDefault="00446E94" w:rsidP="00446E94">
      <w:pPr>
        <w:pStyle w:val="a9"/>
        <w:spacing w:before="240" w:after="0" w:line="240" w:lineRule="auto"/>
        <w:ind w:left="0" w:right="-180" w:firstLine="0"/>
        <w:rPr>
          <w:sz w:val="24"/>
        </w:rPr>
      </w:pPr>
    </w:p>
    <w:sectPr w:rsidR="00446E94" w:rsidRPr="007E18EE" w:rsidSect="00D66105">
      <w:footerReference w:type="default" r:id="rId10"/>
      <w:pgSz w:w="11906" w:h="16838"/>
      <w:pgMar w:top="964" w:right="1797" w:bottom="964" w:left="1797" w:header="709"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D87" w:rsidRDefault="00131D87" w:rsidP="00C04A6B">
      <w:r>
        <w:separator/>
      </w:r>
    </w:p>
  </w:endnote>
  <w:endnote w:type="continuationSeparator" w:id="0">
    <w:p w:rsidR="00131D87" w:rsidRDefault="00131D87" w:rsidP="00C0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riam">
    <w:panose1 w:val="00000000000000000000"/>
    <w:charset w:val="B1"/>
    <w:family w:val="swiss"/>
    <w:pitch w:val="variable"/>
    <w:sig w:usb0="00000801" w:usb1="00000000" w:usb2="00000000" w:usb3="00000000" w:csb0="00000020" w:csb1="00000000"/>
  </w:font>
  <w:font w:name="David">
    <w:panose1 w:val="00000000000000000000"/>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David"/>
        <w:sz w:val="18"/>
        <w:szCs w:val="18"/>
        <w:rtl/>
      </w:rPr>
      <w:id w:val="-362053959"/>
      <w:docPartObj>
        <w:docPartGallery w:val="Page Numbers (Bottom of Page)"/>
        <w:docPartUnique/>
      </w:docPartObj>
    </w:sdtPr>
    <w:sdtEndPr>
      <w:rPr>
        <w:cs/>
      </w:rPr>
    </w:sdtEndPr>
    <w:sdtContent>
      <w:sdt>
        <w:sdtPr>
          <w:rPr>
            <w:rFonts w:cs="David"/>
            <w:sz w:val="18"/>
            <w:szCs w:val="18"/>
            <w:rtl/>
          </w:rPr>
          <w:id w:val="860082579"/>
          <w:docPartObj>
            <w:docPartGallery w:val="Page Numbers (Top of Page)"/>
            <w:docPartUnique/>
          </w:docPartObj>
        </w:sdtPr>
        <w:sdtEndPr/>
        <w:sdtContent>
          <w:p w:rsidR="00446E94" w:rsidRPr="00446E94" w:rsidRDefault="00446E94" w:rsidP="00446E94">
            <w:pPr>
              <w:bidi/>
              <w:spacing w:line="360" w:lineRule="auto"/>
              <w:rPr>
                <w:rFonts w:cs="David"/>
                <w:sz w:val="18"/>
                <w:szCs w:val="18"/>
                <w:rtl/>
                <w:cs/>
              </w:rPr>
            </w:pPr>
            <w:r>
              <w:rPr>
                <w:rFonts w:cs="David" w:hint="cs"/>
                <w:sz w:val="18"/>
                <w:szCs w:val="18"/>
                <w:rtl/>
                <w:cs/>
                <w:lang w:val="he-IL"/>
              </w:rPr>
              <w:t xml:space="preserve">בנק ישראל - </w:t>
            </w:r>
            <w:r w:rsidRPr="00446E94">
              <w:rPr>
                <w:rFonts w:cs="David" w:hint="cs"/>
                <w:sz w:val="18"/>
                <w:szCs w:val="18"/>
                <w:rtl/>
                <w:lang w:val="he-IL"/>
              </w:rPr>
              <w:t>דברי המשנה לנגידה, הד"ר נדין בודו טרכטנברג, בוועידת שוק ההון "גלובס"</w:t>
            </w:r>
            <w:r>
              <w:rPr>
                <w:rFonts w:cs="David" w:hint="cs"/>
                <w:sz w:val="18"/>
                <w:szCs w:val="18"/>
                <w:rtl/>
                <w:cs/>
                <w:lang w:val="he-IL"/>
              </w:rPr>
              <w:tab/>
            </w:r>
            <w:r>
              <w:rPr>
                <w:rFonts w:cs="David" w:hint="cs"/>
                <w:sz w:val="18"/>
                <w:szCs w:val="18"/>
                <w:rtl/>
                <w:cs/>
                <w:lang w:val="he-IL"/>
              </w:rPr>
              <w:tab/>
            </w:r>
            <w:r>
              <w:rPr>
                <w:rFonts w:cs="David" w:hint="cs"/>
                <w:sz w:val="18"/>
                <w:szCs w:val="18"/>
                <w:rtl/>
                <w:cs/>
                <w:lang w:val="he-IL"/>
              </w:rPr>
              <w:tab/>
            </w:r>
            <w:r w:rsidRPr="00446E94">
              <w:rPr>
                <w:rFonts w:cs="David"/>
                <w:sz w:val="18"/>
                <w:szCs w:val="18"/>
                <w:rtl/>
                <w:cs/>
                <w:lang w:val="he-IL"/>
              </w:rPr>
              <w:t xml:space="preserve">עמוד </w:t>
            </w:r>
            <w:r w:rsidRPr="00446E94">
              <w:rPr>
                <w:rFonts w:cs="David"/>
                <w:b/>
                <w:bCs/>
                <w:sz w:val="18"/>
                <w:szCs w:val="18"/>
              </w:rPr>
              <w:fldChar w:fldCharType="begin"/>
            </w:r>
            <w:r w:rsidRPr="00446E94">
              <w:rPr>
                <w:rFonts w:cs="David"/>
                <w:b/>
                <w:bCs/>
                <w:sz w:val="18"/>
                <w:szCs w:val="18"/>
                <w:rtl/>
                <w:cs/>
              </w:rPr>
              <w:instrText>PAGE</w:instrText>
            </w:r>
            <w:r w:rsidRPr="00446E94">
              <w:rPr>
                <w:rFonts w:cs="David"/>
                <w:b/>
                <w:bCs/>
                <w:sz w:val="18"/>
                <w:szCs w:val="18"/>
              </w:rPr>
              <w:fldChar w:fldCharType="separate"/>
            </w:r>
            <w:r w:rsidR="007F1488">
              <w:rPr>
                <w:rFonts w:cs="David"/>
                <w:b/>
                <w:bCs/>
                <w:noProof/>
                <w:sz w:val="18"/>
                <w:szCs w:val="18"/>
                <w:rtl/>
              </w:rPr>
              <w:t>4</w:t>
            </w:r>
            <w:r w:rsidRPr="00446E94">
              <w:rPr>
                <w:rFonts w:cs="David"/>
                <w:b/>
                <w:bCs/>
                <w:sz w:val="18"/>
                <w:szCs w:val="18"/>
              </w:rPr>
              <w:fldChar w:fldCharType="end"/>
            </w:r>
            <w:r w:rsidRPr="00446E94">
              <w:rPr>
                <w:rFonts w:cs="David"/>
                <w:sz w:val="18"/>
                <w:szCs w:val="18"/>
                <w:rtl/>
                <w:cs/>
                <w:lang w:val="he-IL"/>
              </w:rPr>
              <w:t xml:space="preserve"> מתוך </w:t>
            </w:r>
            <w:r w:rsidRPr="00446E94">
              <w:rPr>
                <w:rFonts w:cs="David"/>
                <w:b/>
                <w:bCs/>
                <w:sz w:val="18"/>
                <w:szCs w:val="18"/>
              </w:rPr>
              <w:fldChar w:fldCharType="begin"/>
            </w:r>
            <w:r w:rsidRPr="00446E94">
              <w:rPr>
                <w:rFonts w:cs="David"/>
                <w:b/>
                <w:bCs/>
                <w:sz w:val="18"/>
                <w:szCs w:val="18"/>
                <w:rtl/>
                <w:cs/>
              </w:rPr>
              <w:instrText>NUMPAGES</w:instrText>
            </w:r>
            <w:r w:rsidRPr="00446E94">
              <w:rPr>
                <w:rFonts w:cs="David"/>
                <w:b/>
                <w:bCs/>
                <w:sz w:val="18"/>
                <w:szCs w:val="18"/>
              </w:rPr>
              <w:fldChar w:fldCharType="separate"/>
            </w:r>
            <w:r w:rsidR="007F1488">
              <w:rPr>
                <w:rFonts w:cs="David"/>
                <w:b/>
                <w:bCs/>
                <w:noProof/>
                <w:sz w:val="18"/>
                <w:szCs w:val="18"/>
                <w:rtl/>
              </w:rPr>
              <w:t>4</w:t>
            </w:r>
            <w:r w:rsidRPr="00446E94">
              <w:rPr>
                <w:rFonts w:cs="David"/>
                <w:b/>
                <w:bCs/>
                <w:sz w:val="18"/>
                <w:szCs w:val="18"/>
              </w:rPr>
              <w:fldChar w:fldCharType="end"/>
            </w:r>
          </w:p>
        </w:sdtContent>
      </w:sdt>
    </w:sdtContent>
  </w:sdt>
  <w:p w:rsidR="00A15F57" w:rsidRDefault="00A15F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D87" w:rsidRDefault="00131D87" w:rsidP="00C04A6B">
      <w:r>
        <w:separator/>
      </w:r>
    </w:p>
  </w:footnote>
  <w:footnote w:type="continuationSeparator" w:id="0">
    <w:p w:rsidR="00131D87" w:rsidRDefault="00131D87" w:rsidP="00C04A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C14AE"/>
    <w:multiLevelType w:val="hybridMultilevel"/>
    <w:tmpl w:val="9398C2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923"/>
    <w:rsid w:val="00011EE4"/>
    <w:rsid w:val="00016D86"/>
    <w:rsid w:val="00081BCE"/>
    <w:rsid w:val="00104C27"/>
    <w:rsid w:val="00115A82"/>
    <w:rsid w:val="00131D87"/>
    <w:rsid w:val="00177686"/>
    <w:rsid w:val="00180E8A"/>
    <w:rsid w:val="001B5E0C"/>
    <w:rsid w:val="001D7646"/>
    <w:rsid w:val="001E5A00"/>
    <w:rsid w:val="002438E2"/>
    <w:rsid w:val="00253738"/>
    <w:rsid w:val="002630B7"/>
    <w:rsid w:val="002B3FB0"/>
    <w:rsid w:val="002D510A"/>
    <w:rsid w:val="0031161D"/>
    <w:rsid w:val="003441F0"/>
    <w:rsid w:val="003537B9"/>
    <w:rsid w:val="003810D6"/>
    <w:rsid w:val="003901E0"/>
    <w:rsid w:val="003A4EDC"/>
    <w:rsid w:val="003B5DE7"/>
    <w:rsid w:val="003D651A"/>
    <w:rsid w:val="0041690A"/>
    <w:rsid w:val="00420F93"/>
    <w:rsid w:val="00421F80"/>
    <w:rsid w:val="00441E07"/>
    <w:rsid w:val="00446E94"/>
    <w:rsid w:val="0044713E"/>
    <w:rsid w:val="004625EB"/>
    <w:rsid w:val="004A5826"/>
    <w:rsid w:val="004B11CB"/>
    <w:rsid w:val="004B5D8D"/>
    <w:rsid w:val="004E23AC"/>
    <w:rsid w:val="004F06E0"/>
    <w:rsid w:val="00502068"/>
    <w:rsid w:val="005143C3"/>
    <w:rsid w:val="00515549"/>
    <w:rsid w:val="00517BCD"/>
    <w:rsid w:val="00520BB4"/>
    <w:rsid w:val="005A352B"/>
    <w:rsid w:val="00614095"/>
    <w:rsid w:val="00616C61"/>
    <w:rsid w:val="00623B41"/>
    <w:rsid w:val="0064287F"/>
    <w:rsid w:val="00646196"/>
    <w:rsid w:val="00651CB7"/>
    <w:rsid w:val="00661ADC"/>
    <w:rsid w:val="006C01FB"/>
    <w:rsid w:val="006C2B75"/>
    <w:rsid w:val="00725A3C"/>
    <w:rsid w:val="00730E06"/>
    <w:rsid w:val="0074733F"/>
    <w:rsid w:val="007534E9"/>
    <w:rsid w:val="00762D5A"/>
    <w:rsid w:val="00770B1E"/>
    <w:rsid w:val="007E18EE"/>
    <w:rsid w:val="007F013B"/>
    <w:rsid w:val="007F1488"/>
    <w:rsid w:val="00826810"/>
    <w:rsid w:val="00837763"/>
    <w:rsid w:val="00852D44"/>
    <w:rsid w:val="0086330B"/>
    <w:rsid w:val="00881EF7"/>
    <w:rsid w:val="008928BC"/>
    <w:rsid w:val="008B5242"/>
    <w:rsid w:val="008B55E9"/>
    <w:rsid w:val="008B5665"/>
    <w:rsid w:val="008D1016"/>
    <w:rsid w:val="008D6F39"/>
    <w:rsid w:val="00923E37"/>
    <w:rsid w:val="00961EFC"/>
    <w:rsid w:val="00972F89"/>
    <w:rsid w:val="009818C2"/>
    <w:rsid w:val="0098585C"/>
    <w:rsid w:val="009B71E4"/>
    <w:rsid w:val="009C16BD"/>
    <w:rsid w:val="009F3D4F"/>
    <w:rsid w:val="00A13688"/>
    <w:rsid w:val="00A15F57"/>
    <w:rsid w:val="00A52466"/>
    <w:rsid w:val="00A57161"/>
    <w:rsid w:val="00A702A3"/>
    <w:rsid w:val="00AA51B0"/>
    <w:rsid w:val="00AA7ED7"/>
    <w:rsid w:val="00AB409F"/>
    <w:rsid w:val="00AC2075"/>
    <w:rsid w:val="00AD5C43"/>
    <w:rsid w:val="00AD759C"/>
    <w:rsid w:val="00AE591E"/>
    <w:rsid w:val="00B058F3"/>
    <w:rsid w:val="00B2503D"/>
    <w:rsid w:val="00B45A8A"/>
    <w:rsid w:val="00B77C1D"/>
    <w:rsid w:val="00B84BD7"/>
    <w:rsid w:val="00BC41DB"/>
    <w:rsid w:val="00BC5A6D"/>
    <w:rsid w:val="00BD5207"/>
    <w:rsid w:val="00BE235C"/>
    <w:rsid w:val="00BE49A2"/>
    <w:rsid w:val="00C04A6B"/>
    <w:rsid w:val="00C21C39"/>
    <w:rsid w:val="00C22C24"/>
    <w:rsid w:val="00C25C1C"/>
    <w:rsid w:val="00C45C9C"/>
    <w:rsid w:val="00C656C3"/>
    <w:rsid w:val="00C84B20"/>
    <w:rsid w:val="00CB1B2B"/>
    <w:rsid w:val="00CB5842"/>
    <w:rsid w:val="00D15A8B"/>
    <w:rsid w:val="00D3721C"/>
    <w:rsid w:val="00D66105"/>
    <w:rsid w:val="00D81EC3"/>
    <w:rsid w:val="00D87DC1"/>
    <w:rsid w:val="00D969AD"/>
    <w:rsid w:val="00DD5923"/>
    <w:rsid w:val="00E01916"/>
    <w:rsid w:val="00E72A42"/>
    <w:rsid w:val="00E83A9A"/>
    <w:rsid w:val="00E85E11"/>
    <w:rsid w:val="00EA052D"/>
    <w:rsid w:val="00EB67EB"/>
    <w:rsid w:val="00EC59D5"/>
    <w:rsid w:val="00ED153D"/>
    <w:rsid w:val="00ED5B1D"/>
    <w:rsid w:val="00EF5DC9"/>
    <w:rsid w:val="00F36470"/>
    <w:rsid w:val="00F75061"/>
    <w:rsid w:val="00F96916"/>
    <w:rsid w:val="00FD4DC2"/>
    <w:rsid w:val="00FE034E"/>
    <w:rsid w:val="00FF32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23"/>
    <w:pPr>
      <w:spacing w:after="0" w:line="240" w:lineRule="auto"/>
    </w:pPr>
    <w:rPr>
      <w:rFonts w:ascii="Times New Roman" w:eastAsia="Times New Roman" w:hAnsi="Times New Roman" w:cs="Miriam"/>
      <w:sz w:val="20"/>
      <w:szCs w:val="20"/>
      <w:lang w:eastAsia="he-IL"/>
    </w:rPr>
  </w:style>
  <w:style w:type="paragraph" w:styleId="4">
    <w:name w:val="heading 4"/>
    <w:basedOn w:val="a"/>
    <w:next w:val="a"/>
    <w:link w:val="40"/>
    <w:qFormat/>
    <w:rsid w:val="00520BB4"/>
    <w:pPr>
      <w:keepNext/>
      <w:jc w:val="center"/>
      <w:outlineLvl w:val="3"/>
    </w:pPr>
    <w:rPr>
      <w:rFonts w:cs="David"/>
      <w:b/>
      <w:bCs/>
      <w:color w:val="000000"/>
      <w:spacing w:val="-4"/>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923"/>
    <w:rPr>
      <w:rFonts w:ascii="Tahoma" w:hAnsi="Tahoma" w:cs="Tahoma"/>
      <w:sz w:val="16"/>
      <w:szCs w:val="16"/>
    </w:rPr>
  </w:style>
  <w:style w:type="character" w:customStyle="1" w:styleId="a4">
    <w:name w:val="טקסט בלונים תו"/>
    <w:basedOn w:val="a0"/>
    <w:link w:val="a3"/>
    <w:uiPriority w:val="99"/>
    <w:semiHidden/>
    <w:rsid w:val="00DD5923"/>
    <w:rPr>
      <w:rFonts w:ascii="Tahoma" w:eastAsia="Times New Roman" w:hAnsi="Tahoma" w:cs="Tahoma"/>
      <w:sz w:val="16"/>
      <w:szCs w:val="16"/>
      <w:lang w:eastAsia="he-IL"/>
    </w:rPr>
  </w:style>
  <w:style w:type="paragraph" w:styleId="a5">
    <w:name w:val="header"/>
    <w:basedOn w:val="a"/>
    <w:link w:val="a6"/>
    <w:uiPriority w:val="99"/>
    <w:unhideWhenUsed/>
    <w:rsid w:val="00C04A6B"/>
    <w:pPr>
      <w:tabs>
        <w:tab w:val="center" w:pos="4153"/>
        <w:tab w:val="right" w:pos="8306"/>
      </w:tabs>
    </w:pPr>
  </w:style>
  <w:style w:type="character" w:customStyle="1" w:styleId="a6">
    <w:name w:val="כותרת עליונה תו"/>
    <w:basedOn w:val="a0"/>
    <w:link w:val="a5"/>
    <w:uiPriority w:val="99"/>
    <w:rsid w:val="00C04A6B"/>
    <w:rPr>
      <w:rFonts w:ascii="Times New Roman" w:eastAsia="Times New Roman" w:hAnsi="Times New Roman" w:cs="Miriam"/>
      <w:sz w:val="20"/>
      <w:szCs w:val="20"/>
      <w:lang w:eastAsia="he-IL"/>
    </w:rPr>
  </w:style>
  <w:style w:type="paragraph" w:styleId="a7">
    <w:name w:val="footer"/>
    <w:basedOn w:val="a"/>
    <w:link w:val="a8"/>
    <w:uiPriority w:val="99"/>
    <w:unhideWhenUsed/>
    <w:rsid w:val="00C04A6B"/>
    <w:pPr>
      <w:tabs>
        <w:tab w:val="center" w:pos="4153"/>
        <w:tab w:val="right" w:pos="8306"/>
      </w:tabs>
    </w:pPr>
  </w:style>
  <w:style w:type="character" w:customStyle="1" w:styleId="a8">
    <w:name w:val="כותרת תחתונה תו"/>
    <w:basedOn w:val="a0"/>
    <w:link w:val="a7"/>
    <w:uiPriority w:val="99"/>
    <w:rsid w:val="00C04A6B"/>
    <w:rPr>
      <w:rFonts w:ascii="Times New Roman" w:eastAsia="Times New Roman" w:hAnsi="Times New Roman" w:cs="Miriam"/>
      <w:sz w:val="20"/>
      <w:szCs w:val="20"/>
      <w:lang w:eastAsia="he-IL"/>
    </w:rPr>
  </w:style>
  <w:style w:type="character" w:customStyle="1" w:styleId="40">
    <w:name w:val="כותרת 4 תו"/>
    <w:basedOn w:val="a0"/>
    <w:link w:val="4"/>
    <w:rsid w:val="00520BB4"/>
    <w:rPr>
      <w:rFonts w:ascii="Times New Roman" w:eastAsia="Times New Roman" w:hAnsi="Times New Roman" w:cs="David"/>
      <w:b/>
      <w:bCs/>
      <w:color w:val="000000"/>
      <w:spacing w:val="-4"/>
      <w:sz w:val="28"/>
      <w:szCs w:val="28"/>
      <w:u w:val="single"/>
      <w:lang w:eastAsia="he-IL"/>
    </w:rPr>
  </w:style>
  <w:style w:type="paragraph" w:styleId="a9">
    <w:name w:val="Block Text"/>
    <w:basedOn w:val="a"/>
    <w:rsid w:val="00520BB4"/>
    <w:pPr>
      <w:bidi/>
      <w:spacing w:after="120" w:line="480" w:lineRule="auto"/>
      <w:ind w:left="-57" w:hanging="1"/>
      <w:jc w:val="both"/>
    </w:pPr>
    <w:rPr>
      <w:rFonts w:cs="David"/>
      <w:sz w:val="22"/>
      <w:szCs w:val="24"/>
    </w:rPr>
  </w:style>
  <w:style w:type="character" w:styleId="Hyperlink">
    <w:name w:val="Hyperlink"/>
    <w:rsid w:val="00520BB4"/>
    <w:rPr>
      <w:color w:val="0000FF"/>
      <w:u w:val="single"/>
    </w:rPr>
  </w:style>
  <w:style w:type="paragraph" w:styleId="aa">
    <w:name w:val="Plain Text"/>
    <w:basedOn w:val="a"/>
    <w:link w:val="ab"/>
    <w:uiPriority w:val="99"/>
    <w:semiHidden/>
    <w:unhideWhenUsed/>
    <w:rsid w:val="00446E94"/>
    <w:pPr>
      <w:bidi/>
    </w:pPr>
    <w:rPr>
      <w:rFonts w:ascii="Tahoma" w:eastAsiaTheme="minorHAnsi" w:hAnsi="Tahoma" w:cs="Tahoma"/>
      <w:lang w:eastAsia="en-US"/>
    </w:rPr>
  </w:style>
  <w:style w:type="character" w:customStyle="1" w:styleId="ab">
    <w:name w:val="טקסט רגיל תו"/>
    <w:basedOn w:val="a0"/>
    <w:link w:val="aa"/>
    <w:uiPriority w:val="99"/>
    <w:semiHidden/>
    <w:rsid w:val="00446E94"/>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23"/>
    <w:pPr>
      <w:spacing w:after="0" w:line="240" w:lineRule="auto"/>
    </w:pPr>
    <w:rPr>
      <w:rFonts w:ascii="Times New Roman" w:eastAsia="Times New Roman" w:hAnsi="Times New Roman" w:cs="Miriam"/>
      <w:sz w:val="20"/>
      <w:szCs w:val="20"/>
      <w:lang w:eastAsia="he-IL"/>
    </w:rPr>
  </w:style>
  <w:style w:type="paragraph" w:styleId="4">
    <w:name w:val="heading 4"/>
    <w:basedOn w:val="a"/>
    <w:next w:val="a"/>
    <w:link w:val="40"/>
    <w:qFormat/>
    <w:rsid w:val="00520BB4"/>
    <w:pPr>
      <w:keepNext/>
      <w:jc w:val="center"/>
      <w:outlineLvl w:val="3"/>
    </w:pPr>
    <w:rPr>
      <w:rFonts w:cs="David"/>
      <w:b/>
      <w:bCs/>
      <w:color w:val="000000"/>
      <w:spacing w:val="-4"/>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923"/>
    <w:rPr>
      <w:rFonts w:ascii="Tahoma" w:hAnsi="Tahoma" w:cs="Tahoma"/>
      <w:sz w:val="16"/>
      <w:szCs w:val="16"/>
    </w:rPr>
  </w:style>
  <w:style w:type="character" w:customStyle="1" w:styleId="a4">
    <w:name w:val="טקסט בלונים תו"/>
    <w:basedOn w:val="a0"/>
    <w:link w:val="a3"/>
    <w:uiPriority w:val="99"/>
    <w:semiHidden/>
    <w:rsid w:val="00DD5923"/>
    <w:rPr>
      <w:rFonts w:ascii="Tahoma" w:eastAsia="Times New Roman" w:hAnsi="Tahoma" w:cs="Tahoma"/>
      <w:sz w:val="16"/>
      <w:szCs w:val="16"/>
      <w:lang w:eastAsia="he-IL"/>
    </w:rPr>
  </w:style>
  <w:style w:type="paragraph" w:styleId="a5">
    <w:name w:val="header"/>
    <w:basedOn w:val="a"/>
    <w:link w:val="a6"/>
    <w:uiPriority w:val="99"/>
    <w:unhideWhenUsed/>
    <w:rsid w:val="00C04A6B"/>
    <w:pPr>
      <w:tabs>
        <w:tab w:val="center" w:pos="4153"/>
        <w:tab w:val="right" w:pos="8306"/>
      </w:tabs>
    </w:pPr>
  </w:style>
  <w:style w:type="character" w:customStyle="1" w:styleId="a6">
    <w:name w:val="כותרת עליונה תו"/>
    <w:basedOn w:val="a0"/>
    <w:link w:val="a5"/>
    <w:uiPriority w:val="99"/>
    <w:rsid w:val="00C04A6B"/>
    <w:rPr>
      <w:rFonts w:ascii="Times New Roman" w:eastAsia="Times New Roman" w:hAnsi="Times New Roman" w:cs="Miriam"/>
      <w:sz w:val="20"/>
      <w:szCs w:val="20"/>
      <w:lang w:eastAsia="he-IL"/>
    </w:rPr>
  </w:style>
  <w:style w:type="paragraph" w:styleId="a7">
    <w:name w:val="footer"/>
    <w:basedOn w:val="a"/>
    <w:link w:val="a8"/>
    <w:uiPriority w:val="99"/>
    <w:unhideWhenUsed/>
    <w:rsid w:val="00C04A6B"/>
    <w:pPr>
      <w:tabs>
        <w:tab w:val="center" w:pos="4153"/>
        <w:tab w:val="right" w:pos="8306"/>
      </w:tabs>
    </w:pPr>
  </w:style>
  <w:style w:type="character" w:customStyle="1" w:styleId="a8">
    <w:name w:val="כותרת תחתונה תו"/>
    <w:basedOn w:val="a0"/>
    <w:link w:val="a7"/>
    <w:uiPriority w:val="99"/>
    <w:rsid w:val="00C04A6B"/>
    <w:rPr>
      <w:rFonts w:ascii="Times New Roman" w:eastAsia="Times New Roman" w:hAnsi="Times New Roman" w:cs="Miriam"/>
      <w:sz w:val="20"/>
      <w:szCs w:val="20"/>
      <w:lang w:eastAsia="he-IL"/>
    </w:rPr>
  </w:style>
  <w:style w:type="character" w:customStyle="1" w:styleId="40">
    <w:name w:val="כותרת 4 תו"/>
    <w:basedOn w:val="a0"/>
    <w:link w:val="4"/>
    <w:rsid w:val="00520BB4"/>
    <w:rPr>
      <w:rFonts w:ascii="Times New Roman" w:eastAsia="Times New Roman" w:hAnsi="Times New Roman" w:cs="David"/>
      <w:b/>
      <w:bCs/>
      <w:color w:val="000000"/>
      <w:spacing w:val="-4"/>
      <w:sz w:val="28"/>
      <w:szCs w:val="28"/>
      <w:u w:val="single"/>
      <w:lang w:eastAsia="he-IL"/>
    </w:rPr>
  </w:style>
  <w:style w:type="paragraph" w:styleId="a9">
    <w:name w:val="Block Text"/>
    <w:basedOn w:val="a"/>
    <w:rsid w:val="00520BB4"/>
    <w:pPr>
      <w:bidi/>
      <w:spacing w:after="120" w:line="480" w:lineRule="auto"/>
      <w:ind w:left="-57" w:hanging="1"/>
      <w:jc w:val="both"/>
    </w:pPr>
    <w:rPr>
      <w:rFonts w:cs="David"/>
      <w:sz w:val="22"/>
      <w:szCs w:val="24"/>
    </w:rPr>
  </w:style>
  <w:style w:type="character" w:styleId="Hyperlink">
    <w:name w:val="Hyperlink"/>
    <w:rsid w:val="00520BB4"/>
    <w:rPr>
      <w:color w:val="0000FF"/>
      <w:u w:val="single"/>
    </w:rPr>
  </w:style>
  <w:style w:type="paragraph" w:styleId="aa">
    <w:name w:val="Plain Text"/>
    <w:basedOn w:val="a"/>
    <w:link w:val="ab"/>
    <w:uiPriority w:val="99"/>
    <w:semiHidden/>
    <w:unhideWhenUsed/>
    <w:rsid w:val="00446E94"/>
    <w:pPr>
      <w:bidi/>
    </w:pPr>
    <w:rPr>
      <w:rFonts w:ascii="Tahoma" w:eastAsiaTheme="minorHAnsi" w:hAnsi="Tahoma" w:cs="Tahoma"/>
      <w:lang w:eastAsia="en-US"/>
    </w:rPr>
  </w:style>
  <w:style w:type="character" w:customStyle="1" w:styleId="ab">
    <w:name w:val="טקסט רגיל תו"/>
    <w:basedOn w:val="a0"/>
    <w:link w:val="aa"/>
    <w:uiPriority w:val="99"/>
    <w:semiHidden/>
    <w:rsid w:val="00446E94"/>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6573">
      <w:bodyDiv w:val="1"/>
      <w:marLeft w:val="0"/>
      <w:marRight w:val="0"/>
      <w:marTop w:val="0"/>
      <w:marBottom w:val="0"/>
      <w:divBdr>
        <w:top w:val="none" w:sz="0" w:space="0" w:color="auto"/>
        <w:left w:val="none" w:sz="0" w:space="0" w:color="auto"/>
        <w:bottom w:val="none" w:sz="0" w:space="0" w:color="auto"/>
        <w:right w:val="none" w:sz="0" w:space="0" w:color="auto"/>
      </w:divBdr>
    </w:div>
    <w:div w:id="14726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D1F996F92905D6438B7766F97F9430E5" ma:contentTypeVersion="2" ma:contentTypeDescription="צור מסמך חדש." ma:contentTypeScope="" ma:versionID="6036f03bd8a12d29b784f5a794bb38bd">
  <xsd:schema xmlns:xsd="http://www.w3.org/2001/XMLSchema" xmlns:xs="http://www.w3.org/2001/XMLSchema" xmlns:p="http://schemas.microsoft.com/office/2006/metadata/properties" xmlns:ns1="http://schemas.microsoft.com/sharepoint/v3" targetNamespace="http://schemas.microsoft.com/office/2006/metadata/properties" ma:root="true" ma:fieldsID="9b04f75fadc857042686ee9e53c11a31"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eWaveListOrder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0E579A-CF39-4B05-9AF7-F64FBA2B5202}"/>
</file>

<file path=customXml/itemProps2.xml><?xml version="1.0" encoding="utf-8"?>
<ds:datastoreItem xmlns:ds="http://schemas.openxmlformats.org/officeDocument/2006/customXml" ds:itemID="{9C14DA36-C941-4C80-A6DC-55EF14D8F6D7}"/>
</file>

<file path=customXml/itemProps3.xml><?xml version="1.0" encoding="utf-8"?>
<ds:datastoreItem xmlns:ds="http://schemas.openxmlformats.org/officeDocument/2006/customXml" ds:itemID="{845D053C-6886-4438-9E6B-73867D2476F0}"/>
</file>

<file path=customXml/itemProps4.xml><?xml version="1.0" encoding="utf-8"?>
<ds:datastoreItem xmlns:ds="http://schemas.openxmlformats.org/officeDocument/2006/customXml" ds:itemID="{25809D4D-E66B-4529-9253-83905CD99664}"/>
</file>

<file path=docProps/app.xml><?xml version="1.0" encoding="utf-8"?>
<Properties xmlns="http://schemas.openxmlformats.org/officeDocument/2006/extended-properties" xmlns:vt="http://schemas.openxmlformats.org/officeDocument/2006/docPropsVTypes">
  <Template>Normal.dotm</Template>
  <TotalTime>0</TotalTime>
  <Pages>4</Pages>
  <Words>1649</Words>
  <Characters>8245</Characters>
  <Application>Microsoft Office Word</Application>
  <DocSecurity>0</DocSecurity>
  <Lines>68</Lines>
  <Paragraphs>19</Paragraphs>
  <ScaleCrop>false</ScaleCrop>
  <HeadingPairs>
    <vt:vector size="2" baseType="variant">
      <vt:variant>
        <vt:lpstr>שם</vt:lpstr>
      </vt:variant>
      <vt:variant>
        <vt:i4>1</vt:i4>
      </vt:variant>
    </vt:vector>
  </HeadingPairs>
  <TitlesOfParts>
    <vt:vector size="1" baseType="lpstr">
      <vt:lpstr/>
    </vt:vector>
  </TitlesOfParts>
  <LinksUpToDate>false</LinksUpToDate>
  <CharactersWithSpaces>9875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2014-06-09T08:04:00Z</dcterms:created>
  <dcterms:modified xsi:type="dcterms:W3CDTF">2014-06-09T08:04:00Z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0x010100D1F996F92905D6438B7766F97F9430E5</vt:lpwstr>
  </property>
</Properties>
</file>