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110DD9" w:rsidRDefault="007055DF" w:rsidP="007055DF">
      <w:pPr>
        <w:bidi w:val="0"/>
        <w:rPr>
          <w:rFonts w:asciiTheme="minorHAnsi" w:hAnsiTheme="minorHAnsi" w:cstheme="minorHAnsi"/>
        </w:rPr>
      </w:pPr>
    </w:p>
    <w:p w:rsidR="00CB5D78" w:rsidRPr="00110DD9" w:rsidRDefault="00E943C2" w:rsidP="0001741F">
      <w:pPr>
        <w:bidi w:val="0"/>
        <w:jc w:val="right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>August 25</w:t>
      </w:r>
      <w:r w:rsidR="009C3A84" w:rsidRPr="00110DD9">
        <w:rPr>
          <w:rFonts w:asciiTheme="minorHAnsi" w:hAnsiTheme="minorHAnsi" w:cstheme="minorHAnsi"/>
        </w:rPr>
        <w:t>, 2025</w:t>
      </w:r>
    </w:p>
    <w:p w:rsidR="00883627" w:rsidRPr="00110DD9" w:rsidRDefault="00883627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CB5D78" w:rsidRPr="00110DD9" w:rsidRDefault="00AF4E89" w:rsidP="007055DF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110DD9">
        <w:rPr>
          <w:rFonts w:asciiTheme="minorHAnsi" w:hAnsiTheme="minorHAnsi" w:cstheme="minorHAnsi"/>
          <w:sz w:val="24"/>
          <w:szCs w:val="24"/>
        </w:rPr>
        <w:t>Press Release</w:t>
      </w:r>
    </w:p>
    <w:p w:rsidR="0094738B" w:rsidRPr="00110DD9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94738B" w:rsidRPr="00110DD9" w:rsidRDefault="00AF4E89" w:rsidP="00C06D47">
      <w:pPr>
        <w:pStyle w:val="PressReleaseTitle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 xml:space="preserve">The </w:t>
      </w:r>
      <w:r w:rsidR="00402056" w:rsidRPr="00110DD9">
        <w:rPr>
          <w:rFonts w:asciiTheme="minorHAnsi" w:hAnsiTheme="minorHAnsi" w:cstheme="minorHAnsi"/>
        </w:rPr>
        <w:t xml:space="preserve">Composite State of the Economy Index </w:t>
      </w:r>
      <w:r w:rsidR="0001741F" w:rsidRPr="00110DD9">
        <w:rPr>
          <w:rFonts w:asciiTheme="minorHAnsi" w:hAnsiTheme="minorHAnsi" w:cstheme="minorHAnsi"/>
        </w:rPr>
        <w:t>declin</w:t>
      </w:r>
      <w:r w:rsidR="00D915EE" w:rsidRPr="00110DD9">
        <w:rPr>
          <w:rFonts w:asciiTheme="minorHAnsi" w:hAnsiTheme="minorHAnsi" w:cstheme="minorHAnsi"/>
        </w:rPr>
        <w:t>ed</w:t>
      </w:r>
      <w:r w:rsidR="009C3A84" w:rsidRPr="00110DD9">
        <w:rPr>
          <w:rFonts w:asciiTheme="minorHAnsi" w:hAnsiTheme="minorHAnsi" w:cstheme="minorHAnsi"/>
        </w:rPr>
        <w:t xml:space="preserve"> in </w:t>
      </w:r>
      <w:r w:rsidR="0001741F" w:rsidRPr="00110DD9">
        <w:rPr>
          <w:rFonts w:asciiTheme="minorHAnsi" w:hAnsiTheme="minorHAnsi" w:cstheme="minorHAnsi"/>
        </w:rPr>
        <w:t>Ju</w:t>
      </w:r>
      <w:r w:rsidR="00E943C2" w:rsidRPr="00110DD9">
        <w:rPr>
          <w:rFonts w:asciiTheme="minorHAnsi" w:hAnsiTheme="minorHAnsi" w:cstheme="minorHAnsi"/>
        </w:rPr>
        <w:t>ly</w:t>
      </w:r>
      <w:r w:rsidR="003178F8" w:rsidRPr="00110DD9">
        <w:rPr>
          <w:rFonts w:asciiTheme="minorHAnsi" w:hAnsiTheme="minorHAnsi" w:cstheme="minorHAnsi"/>
        </w:rPr>
        <w:t xml:space="preserve"> by 0.</w:t>
      </w:r>
      <w:r w:rsidR="00C06D47" w:rsidRPr="00110DD9">
        <w:rPr>
          <w:rFonts w:asciiTheme="minorHAnsi" w:hAnsiTheme="minorHAnsi" w:cstheme="minorHAnsi"/>
        </w:rPr>
        <w:t xml:space="preserve">64 </w:t>
      </w:r>
      <w:r w:rsidR="003178F8" w:rsidRPr="00110DD9">
        <w:rPr>
          <w:rFonts w:asciiTheme="minorHAnsi" w:hAnsiTheme="minorHAnsi" w:cstheme="minorHAnsi"/>
        </w:rPr>
        <w:t>percent</w:t>
      </w:r>
    </w:p>
    <w:p w:rsidR="00E943C2" w:rsidRPr="00110DD9" w:rsidRDefault="00E943C2" w:rsidP="00E943C2">
      <w:pPr>
        <w:pStyle w:val="PressReleaseTitle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>This is the final publication of the Composite State of the Economy Index in its current format.</w:t>
      </w:r>
    </w:p>
    <w:p w:rsidR="0094738B" w:rsidRPr="00110DD9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A972B9" w:rsidRPr="00110DD9" w:rsidRDefault="00AF4E89" w:rsidP="00C06D47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bookmarkStart w:id="0" w:name="_GoBack"/>
      <w:r w:rsidRPr="00110DD9">
        <w:rPr>
          <w:rFonts w:asciiTheme="minorHAnsi" w:hAnsiTheme="minorHAnsi" w:cstheme="minorHAnsi"/>
        </w:rPr>
        <w:t>T</w:t>
      </w:r>
      <w:r w:rsidR="00344C9C" w:rsidRPr="00110DD9">
        <w:rPr>
          <w:rFonts w:asciiTheme="minorHAnsi" w:hAnsiTheme="minorHAnsi" w:cstheme="minorHAnsi"/>
        </w:rPr>
        <w:t xml:space="preserve">he Composite State of the Economy Index </w:t>
      </w:r>
      <w:r w:rsidR="0001741F" w:rsidRPr="00110DD9">
        <w:rPr>
          <w:rFonts w:asciiTheme="minorHAnsi" w:hAnsiTheme="minorHAnsi" w:cstheme="minorHAnsi"/>
        </w:rPr>
        <w:t>declined</w:t>
      </w:r>
      <w:r w:rsidR="004918AE" w:rsidRPr="00110DD9">
        <w:rPr>
          <w:rFonts w:asciiTheme="minorHAnsi" w:hAnsiTheme="minorHAnsi" w:cstheme="minorHAnsi"/>
        </w:rPr>
        <w:t xml:space="preserve"> </w:t>
      </w:r>
      <w:r w:rsidR="00B0501F" w:rsidRPr="00110DD9">
        <w:rPr>
          <w:rFonts w:asciiTheme="minorHAnsi" w:hAnsiTheme="minorHAnsi" w:cstheme="minorHAnsi"/>
        </w:rPr>
        <w:t xml:space="preserve">in </w:t>
      </w:r>
      <w:r w:rsidR="0001741F" w:rsidRPr="00110DD9">
        <w:rPr>
          <w:rFonts w:asciiTheme="minorHAnsi" w:hAnsiTheme="minorHAnsi" w:cstheme="minorHAnsi"/>
        </w:rPr>
        <w:t>Ju</w:t>
      </w:r>
      <w:r w:rsidR="00E943C2" w:rsidRPr="00110DD9">
        <w:rPr>
          <w:rFonts w:asciiTheme="minorHAnsi" w:hAnsiTheme="minorHAnsi" w:cstheme="minorHAnsi"/>
        </w:rPr>
        <w:t>ly</w:t>
      </w:r>
      <w:r w:rsidR="00B20C59" w:rsidRPr="00110DD9">
        <w:rPr>
          <w:rFonts w:asciiTheme="minorHAnsi" w:hAnsiTheme="minorHAnsi" w:cstheme="minorHAnsi"/>
        </w:rPr>
        <w:t xml:space="preserve"> </w:t>
      </w:r>
      <w:r w:rsidR="003178F8" w:rsidRPr="00110DD9">
        <w:rPr>
          <w:rFonts w:asciiTheme="minorHAnsi" w:hAnsiTheme="minorHAnsi" w:cstheme="minorHAnsi"/>
        </w:rPr>
        <w:t>by</w:t>
      </w:r>
      <w:r w:rsidR="00B20C59" w:rsidRPr="00110DD9">
        <w:rPr>
          <w:rFonts w:asciiTheme="minorHAnsi" w:hAnsiTheme="minorHAnsi" w:cstheme="minorHAnsi"/>
        </w:rPr>
        <w:t xml:space="preserve"> 0.</w:t>
      </w:r>
      <w:r w:rsidR="00C06D47" w:rsidRPr="00110DD9">
        <w:rPr>
          <w:rFonts w:asciiTheme="minorHAnsi" w:hAnsiTheme="minorHAnsi" w:cstheme="minorHAnsi"/>
        </w:rPr>
        <w:t xml:space="preserve">64 </w:t>
      </w:r>
      <w:r w:rsidR="00B20C59" w:rsidRPr="00110DD9">
        <w:rPr>
          <w:rFonts w:asciiTheme="minorHAnsi" w:hAnsiTheme="minorHAnsi" w:cstheme="minorHAnsi"/>
        </w:rPr>
        <w:t>percent</w:t>
      </w:r>
      <w:r w:rsidR="0095531E" w:rsidRPr="00110DD9">
        <w:rPr>
          <w:rFonts w:asciiTheme="minorHAnsi" w:hAnsiTheme="minorHAnsi" w:cstheme="minorHAnsi"/>
        </w:rPr>
        <w:t xml:space="preserve">. This decline </w:t>
      </w:r>
      <w:r w:rsidR="00D804F4" w:rsidRPr="00110DD9">
        <w:rPr>
          <w:rFonts w:asciiTheme="minorHAnsi" w:hAnsiTheme="minorHAnsi" w:cstheme="minorHAnsi"/>
        </w:rPr>
        <w:t xml:space="preserve">still </w:t>
      </w:r>
      <w:r w:rsidR="0095531E" w:rsidRPr="00110DD9">
        <w:rPr>
          <w:rFonts w:asciiTheme="minorHAnsi" w:hAnsiTheme="minorHAnsi" w:cstheme="minorHAnsi"/>
        </w:rPr>
        <w:t xml:space="preserve">reflects </w:t>
      </w:r>
      <w:r w:rsidR="00D804F4" w:rsidRPr="00110DD9">
        <w:rPr>
          <w:rFonts w:asciiTheme="minorHAnsi" w:hAnsiTheme="minorHAnsi" w:cstheme="minorHAnsi"/>
        </w:rPr>
        <w:t>Operation Rising Lion</w:t>
      </w:r>
      <w:r w:rsidR="00EE1976" w:rsidRPr="00110DD9">
        <w:rPr>
          <w:rFonts w:asciiTheme="minorHAnsi" w:hAnsiTheme="minorHAnsi" w:cstheme="minorHAnsi"/>
        </w:rPr>
        <w:t>’s impacts</w:t>
      </w:r>
      <w:r w:rsidR="00D804F4" w:rsidRPr="00110DD9">
        <w:rPr>
          <w:rFonts w:asciiTheme="minorHAnsi" w:hAnsiTheme="minorHAnsi" w:cstheme="minorHAnsi"/>
        </w:rPr>
        <w:t xml:space="preserve"> on </w:t>
      </w:r>
      <w:r w:rsidR="00E943C2" w:rsidRPr="00110DD9">
        <w:rPr>
          <w:rFonts w:asciiTheme="minorHAnsi" w:hAnsiTheme="minorHAnsi" w:cstheme="minorHAnsi"/>
        </w:rPr>
        <w:t xml:space="preserve">the </w:t>
      </w:r>
      <w:r w:rsidR="00D804F4" w:rsidRPr="00110DD9">
        <w:rPr>
          <w:rFonts w:asciiTheme="minorHAnsi" w:hAnsiTheme="minorHAnsi" w:cstheme="minorHAnsi"/>
        </w:rPr>
        <w:t xml:space="preserve">components </w:t>
      </w:r>
      <w:r w:rsidR="00E943C2" w:rsidRPr="00110DD9">
        <w:rPr>
          <w:rFonts w:asciiTheme="minorHAnsi" w:hAnsiTheme="minorHAnsi" w:cstheme="minorHAnsi"/>
        </w:rPr>
        <w:t xml:space="preserve">comprising the Index </w:t>
      </w:r>
      <w:r w:rsidR="00D804F4" w:rsidRPr="00110DD9">
        <w:rPr>
          <w:rFonts w:asciiTheme="minorHAnsi" w:hAnsiTheme="minorHAnsi" w:cstheme="minorHAnsi"/>
        </w:rPr>
        <w:t xml:space="preserve">from June. </w:t>
      </w:r>
      <w:r w:rsidR="00781F6F" w:rsidRPr="00110DD9">
        <w:rPr>
          <w:rFonts w:asciiTheme="minorHAnsi" w:hAnsiTheme="minorHAnsi" w:cstheme="minorHAnsi"/>
        </w:rPr>
        <w:t>In contrast</w:t>
      </w:r>
      <w:r w:rsidR="00D804F4" w:rsidRPr="00110DD9">
        <w:rPr>
          <w:rFonts w:asciiTheme="minorHAnsi" w:hAnsiTheme="minorHAnsi" w:cstheme="minorHAnsi"/>
        </w:rPr>
        <w:t xml:space="preserve">, the Index </w:t>
      </w:r>
      <w:r w:rsidR="00E943C2" w:rsidRPr="00110DD9">
        <w:rPr>
          <w:rFonts w:asciiTheme="minorHAnsi" w:hAnsiTheme="minorHAnsi" w:cstheme="minorHAnsi"/>
        </w:rPr>
        <w:t xml:space="preserve">components that </w:t>
      </w:r>
      <w:r w:rsidR="00EE1976" w:rsidRPr="00110DD9">
        <w:rPr>
          <w:rFonts w:asciiTheme="minorHAnsi" w:hAnsiTheme="minorHAnsi" w:cstheme="minorHAnsi"/>
        </w:rPr>
        <w:t xml:space="preserve">have been </w:t>
      </w:r>
      <w:r w:rsidR="00E943C2" w:rsidRPr="00110DD9">
        <w:rPr>
          <w:rFonts w:asciiTheme="minorHAnsi" w:hAnsiTheme="minorHAnsi" w:cstheme="minorHAnsi"/>
        </w:rPr>
        <w:t xml:space="preserve">reported thus far for July </w:t>
      </w:r>
      <w:r w:rsidR="00EE1976" w:rsidRPr="00110DD9">
        <w:rPr>
          <w:rFonts w:asciiTheme="minorHAnsi" w:hAnsiTheme="minorHAnsi" w:cstheme="minorHAnsi"/>
        </w:rPr>
        <w:t xml:space="preserve">have </w:t>
      </w:r>
      <w:r w:rsidR="00E943C2" w:rsidRPr="00110DD9">
        <w:rPr>
          <w:rFonts w:asciiTheme="minorHAnsi" w:hAnsiTheme="minorHAnsi" w:cstheme="minorHAnsi"/>
        </w:rPr>
        <w:t xml:space="preserve">increased, reflecting </w:t>
      </w:r>
      <w:r w:rsidR="00F77FC0" w:rsidRPr="00110DD9">
        <w:rPr>
          <w:rFonts w:asciiTheme="minorHAnsi" w:hAnsiTheme="minorHAnsi" w:cstheme="minorHAnsi"/>
        </w:rPr>
        <w:t xml:space="preserve">an </w:t>
      </w:r>
      <w:r w:rsidR="00EE1976" w:rsidRPr="00110DD9">
        <w:rPr>
          <w:rFonts w:asciiTheme="minorHAnsi" w:hAnsiTheme="minorHAnsi" w:cstheme="minorHAnsi"/>
        </w:rPr>
        <w:t xml:space="preserve">improvement </w:t>
      </w:r>
      <w:r w:rsidR="00E943C2" w:rsidRPr="00110DD9">
        <w:rPr>
          <w:rFonts w:asciiTheme="minorHAnsi" w:hAnsiTheme="minorHAnsi" w:cstheme="minorHAnsi"/>
        </w:rPr>
        <w:t>in economic activity following the military operation.</w:t>
      </w:r>
    </w:p>
    <w:p w:rsidR="00AC633B" w:rsidRPr="00110DD9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D4A6F" w:rsidRPr="00110DD9" w:rsidRDefault="005A4626" w:rsidP="008317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 xml:space="preserve">Table 1 presents the </w:t>
      </w:r>
      <w:r w:rsidR="00742B3C" w:rsidRPr="00110DD9">
        <w:rPr>
          <w:rFonts w:asciiTheme="minorHAnsi" w:hAnsiTheme="minorHAnsi" w:cstheme="minorHAnsi"/>
        </w:rPr>
        <w:t xml:space="preserve">retroactive </w:t>
      </w:r>
      <w:r w:rsidRPr="00110DD9">
        <w:rPr>
          <w:rFonts w:asciiTheme="minorHAnsi" w:hAnsiTheme="minorHAnsi" w:cstheme="minorHAnsi"/>
        </w:rPr>
        <w:t>revisions to the Index for previous months.</w:t>
      </w:r>
      <w:r w:rsidR="00BE5E61" w:rsidRPr="00110DD9">
        <w:rPr>
          <w:rFonts w:asciiTheme="minorHAnsi" w:hAnsiTheme="minorHAnsi" w:cstheme="minorHAnsi"/>
        </w:rPr>
        <w:t xml:space="preserve"> </w:t>
      </w:r>
      <w:r w:rsidR="00AF4E89" w:rsidRPr="00110DD9">
        <w:rPr>
          <w:rFonts w:asciiTheme="minorHAnsi" w:hAnsiTheme="minorHAnsi" w:cstheme="minorHAnsi"/>
        </w:rPr>
        <w:t>T</w:t>
      </w:r>
      <w:r w:rsidR="00402056" w:rsidRPr="00110DD9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110DD9">
        <w:rPr>
          <w:rFonts w:asciiTheme="minorHAnsi" w:hAnsiTheme="minorHAnsi" w:cstheme="minorHAnsi"/>
        </w:rPr>
        <w:t xml:space="preserve"> </w:t>
      </w:r>
    </w:p>
    <w:p w:rsidR="00A11CE8" w:rsidRPr="00110DD9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D804F4" w:rsidRPr="00110DD9" w:rsidRDefault="00E943C2" w:rsidP="00781F6F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  <w:b/>
          <w:bCs/>
        </w:rPr>
        <w:t>This is the final publication of the Composite State of the Economy Index in its current format.</w:t>
      </w:r>
      <w:r w:rsidR="00933C1D" w:rsidRPr="00110DD9">
        <w:rPr>
          <w:rFonts w:asciiTheme="minorHAnsi" w:hAnsiTheme="minorHAnsi" w:cstheme="minorHAnsi"/>
          <w:b/>
          <w:bCs/>
        </w:rPr>
        <w:t xml:space="preserve"> </w:t>
      </w:r>
      <w:r w:rsidRPr="00110DD9">
        <w:rPr>
          <w:rFonts w:asciiTheme="minorHAnsi" w:hAnsiTheme="minorHAnsi" w:cstheme="minorHAnsi"/>
          <w:b/>
          <w:bCs/>
        </w:rPr>
        <w:t>Starting next month, the Bank of Israel will instead publish a new index—the Monthly Index of Economic Activity.</w:t>
      </w:r>
      <w:r w:rsidR="00933C1D" w:rsidRPr="00110DD9">
        <w:rPr>
          <w:rFonts w:asciiTheme="minorHAnsi" w:hAnsiTheme="minorHAnsi" w:cstheme="minorHAnsi"/>
        </w:rPr>
        <w:t xml:space="preserve"> </w:t>
      </w:r>
      <w:r w:rsidRPr="00110DD9">
        <w:rPr>
          <w:rFonts w:asciiTheme="minorHAnsi" w:hAnsiTheme="minorHAnsi" w:cstheme="minorHAnsi"/>
        </w:rPr>
        <w:t>The new index will be based on an advanced research tool that is intended to provide a more precise and up-to-date picture of the pace of monthly growth in the Israeli economy.</w:t>
      </w:r>
      <w:r w:rsidR="00933C1D" w:rsidRPr="00110DD9">
        <w:rPr>
          <w:rFonts w:asciiTheme="minorHAnsi" w:hAnsiTheme="minorHAnsi" w:cstheme="minorHAnsi"/>
        </w:rPr>
        <w:t xml:space="preserve"> </w:t>
      </w:r>
      <w:r w:rsidRPr="00110DD9">
        <w:rPr>
          <w:rFonts w:asciiTheme="minorHAnsi" w:hAnsiTheme="minorHAnsi" w:cstheme="minorHAnsi"/>
        </w:rPr>
        <w:t xml:space="preserve">The </w:t>
      </w:r>
      <w:r w:rsidR="00781F6F" w:rsidRPr="00110DD9">
        <w:rPr>
          <w:rFonts w:asciiTheme="minorHAnsi" w:hAnsiTheme="minorHAnsi" w:cstheme="minorHAnsi"/>
        </w:rPr>
        <w:t xml:space="preserve">new </w:t>
      </w:r>
      <w:r w:rsidRPr="00110DD9">
        <w:rPr>
          <w:rFonts w:asciiTheme="minorHAnsi" w:hAnsiTheme="minorHAnsi" w:cstheme="minorHAnsi"/>
        </w:rPr>
        <w:t xml:space="preserve">index will be based on </w:t>
      </w:r>
      <w:r w:rsidR="00781F6F" w:rsidRPr="00110DD9">
        <w:rPr>
          <w:rFonts w:asciiTheme="minorHAnsi" w:hAnsiTheme="minorHAnsi" w:cstheme="minorHAnsi"/>
        </w:rPr>
        <w:t xml:space="preserve">data processing </w:t>
      </w:r>
      <w:r w:rsidRPr="00110DD9">
        <w:rPr>
          <w:rFonts w:asciiTheme="minorHAnsi" w:hAnsiTheme="minorHAnsi" w:cstheme="minorHAnsi"/>
        </w:rPr>
        <w:t xml:space="preserve">of more than 30 economic series, using a dedicated statistical model developed at the Bank of Israel that signals changes in the growth environment </w:t>
      </w:r>
      <w:r w:rsidR="00D804F4" w:rsidRPr="00110DD9">
        <w:rPr>
          <w:rFonts w:asciiTheme="minorHAnsi" w:hAnsiTheme="minorHAnsi" w:cstheme="minorHAnsi"/>
        </w:rPr>
        <w:t>in an earlier stage</w:t>
      </w:r>
      <w:r w:rsidR="00781F6F" w:rsidRPr="00110DD9">
        <w:rPr>
          <w:rFonts w:asciiTheme="minorHAnsi" w:hAnsiTheme="minorHAnsi" w:cstheme="minorHAnsi"/>
        </w:rPr>
        <w:t xml:space="preserve"> compared to the Composite Index</w:t>
      </w:r>
      <w:r w:rsidR="00D804F4" w:rsidRPr="00110DD9">
        <w:rPr>
          <w:rFonts w:asciiTheme="minorHAnsi" w:hAnsiTheme="minorHAnsi" w:cstheme="minorHAnsi"/>
        </w:rPr>
        <w:t>.</w:t>
      </w:r>
      <w:r w:rsidR="00933C1D" w:rsidRPr="00110DD9">
        <w:rPr>
          <w:rFonts w:asciiTheme="minorHAnsi" w:hAnsiTheme="minorHAnsi" w:cstheme="minorHAnsi"/>
        </w:rPr>
        <w:t xml:space="preserve"> </w:t>
      </w:r>
      <w:r w:rsidRPr="00110DD9">
        <w:rPr>
          <w:rFonts w:asciiTheme="minorHAnsi" w:hAnsiTheme="minorHAnsi" w:cstheme="minorHAnsi"/>
        </w:rPr>
        <w:t>A description of the new index and the methodology upon which it is based can be found on the Bank of Israel website.</w:t>
      </w:r>
      <w:r w:rsidR="00933C1D" w:rsidRPr="00110DD9">
        <w:rPr>
          <w:rFonts w:asciiTheme="minorHAnsi" w:hAnsiTheme="minorHAnsi" w:cstheme="minorHAnsi"/>
        </w:rPr>
        <w:t xml:space="preserve"> </w:t>
      </w:r>
    </w:p>
    <w:p w:rsidR="00D804F4" w:rsidRPr="00110DD9" w:rsidRDefault="00D804F4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E943C2" w:rsidRPr="00110DD9" w:rsidRDefault="00E943C2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 xml:space="preserve">The Bank of Israel will continue calculating the current Composite Index for the next year for purposes of </w:t>
      </w:r>
      <w:r w:rsidR="00EE1976" w:rsidRPr="00110DD9">
        <w:rPr>
          <w:rFonts w:asciiTheme="minorHAnsi" w:hAnsiTheme="minorHAnsi" w:cstheme="minorHAnsi"/>
        </w:rPr>
        <w:t xml:space="preserve">concatenation </w:t>
      </w:r>
      <w:r w:rsidR="008F3B01" w:rsidRPr="00110DD9">
        <w:rPr>
          <w:rFonts w:asciiTheme="minorHAnsi" w:hAnsiTheme="minorHAnsi" w:cstheme="minorHAnsi"/>
        </w:rPr>
        <w:t>and control, and it will be available in the series database on the Bank of Israel website (in Hebrew).</w:t>
      </w:r>
    </w:p>
    <w:p w:rsidR="00E943C2" w:rsidRPr="00110DD9" w:rsidRDefault="00E943C2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6B4106" w:rsidRPr="00110DD9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402056" w:rsidRPr="00110DD9" w:rsidRDefault="00AF4E89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110DD9">
        <w:rPr>
          <w:rFonts w:asciiTheme="minorHAnsi" w:hAnsiTheme="minorHAnsi" w:cstheme="minorHAnsi"/>
          <w:b/>
          <w:bCs/>
          <w:sz w:val="26"/>
          <w:szCs w:val="26"/>
        </w:rPr>
        <w:t>Table 1: Revisions in the Composite Index</w:t>
      </w:r>
      <w:r w:rsidR="00AA3ADA" w:rsidRPr="00110DD9">
        <w:rPr>
          <w:rFonts w:asciiTheme="minorHAnsi" w:hAnsiTheme="minorHAnsi" w:cstheme="minorHAns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D525F5" w:rsidRPr="00110DD9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110DD9" w:rsidRDefault="00AF4E89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10DD9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110DD9" w:rsidRDefault="00AF4E89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10DD9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110DD9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110DD9" w:rsidRDefault="00AF4E89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0DD9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110DD9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C06D47" w:rsidRPr="00110DD9" w:rsidTr="00C06D47">
        <w:trPr>
          <w:trHeight w:val="275"/>
        </w:trPr>
        <w:tc>
          <w:tcPr>
            <w:tcW w:w="1839" w:type="dxa"/>
            <w:shd w:val="clear" w:color="auto" w:fill="auto"/>
          </w:tcPr>
          <w:p w:rsidR="00C06D47" w:rsidRPr="00110DD9" w:rsidRDefault="00C06D47" w:rsidP="00C06D47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  <w:rtl/>
              </w:rPr>
              <w:t>0.64-</w:t>
            </w:r>
          </w:p>
        </w:tc>
      </w:tr>
      <w:tr w:rsidR="00C06D47" w:rsidRPr="00110DD9" w:rsidTr="00C06D47">
        <w:trPr>
          <w:trHeight w:val="275"/>
        </w:trPr>
        <w:tc>
          <w:tcPr>
            <w:tcW w:w="1839" w:type="dxa"/>
            <w:shd w:val="clear" w:color="auto" w:fill="auto"/>
          </w:tcPr>
          <w:p w:rsidR="00C06D47" w:rsidRPr="00110DD9" w:rsidRDefault="00C06D47" w:rsidP="00C06D47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-0.67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  <w:rtl/>
              </w:rPr>
              <w:t>1.62-</w:t>
            </w:r>
          </w:p>
        </w:tc>
      </w:tr>
      <w:tr w:rsidR="00C06D47" w:rsidRPr="00110DD9" w:rsidTr="00C06D47">
        <w:trPr>
          <w:trHeight w:val="275"/>
        </w:trPr>
        <w:tc>
          <w:tcPr>
            <w:tcW w:w="1839" w:type="dxa"/>
            <w:shd w:val="clear" w:color="auto" w:fill="auto"/>
          </w:tcPr>
          <w:p w:rsidR="00C06D47" w:rsidRPr="00110DD9" w:rsidRDefault="00C06D47" w:rsidP="00C06D47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-0.17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  <w:rtl/>
              </w:rPr>
              <w:t>0.33-</w:t>
            </w:r>
          </w:p>
        </w:tc>
      </w:tr>
      <w:tr w:rsidR="00E943C2" w:rsidRPr="00110DD9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-0.10</w:t>
            </w:r>
          </w:p>
        </w:tc>
        <w:tc>
          <w:tcPr>
            <w:tcW w:w="1840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-0.46</w:t>
            </w:r>
          </w:p>
        </w:tc>
      </w:tr>
      <w:tr w:rsidR="00E943C2" w:rsidRPr="00110DD9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0.08</w:t>
            </w:r>
          </w:p>
        </w:tc>
        <w:tc>
          <w:tcPr>
            <w:tcW w:w="1840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0.15</w:t>
            </w:r>
          </w:p>
        </w:tc>
      </w:tr>
      <w:tr w:rsidR="00E943C2" w:rsidRPr="00110DD9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0.06</w:t>
            </w:r>
          </w:p>
        </w:tc>
        <w:tc>
          <w:tcPr>
            <w:tcW w:w="1840" w:type="dxa"/>
            <w:shd w:val="clear" w:color="auto" w:fill="auto"/>
          </w:tcPr>
          <w:p w:rsidR="00E943C2" w:rsidRPr="00110DD9" w:rsidRDefault="00E943C2" w:rsidP="00E943C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110DD9">
              <w:rPr>
                <w:rFonts w:asciiTheme="minorHAnsi" w:hAnsiTheme="minorHAnsi" w:cstheme="minorHAnsi"/>
              </w:rPr>
              <w:t>-0.02</w:t>
            </w:r>
          </w:p>
        </w:tc>
      </w:tr>
    </w:tbl>
    <w:p w:rsidR="003C422A" w:rsidRPr="00110DD9" w:rsidRDefault="00AF4E89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 xml:space="preserve"> </w:t>
      </w:r>
    </w:p>
    <w:p w:rsidR="003B3E93" w:rsidRPr="00110DD9" w:rsidRDefault="003B3E93">
      <w:pPr>
        <w:bidi w:val="0"/>
        <w:rPr>
          <w:rFonts w:asciiTheme="minorHAnsi" w:hAnsiTheme="minorHAnsi" w:cstheme="minorHAnsi"/>
        </w:rPr>
      </w:pPr>
    </w:p>
    <w:p w:rsidR="00C458C2" w:rsidRPr="00110DD9" w:rsidRDefault="00C458C2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543FD5" w:rsidRPr="00110DD9" w:rsidRDefault="00543FD5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402056" w:rsidRPr="00110DD9" w:rsidRDefault="00AF4E89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  <w:vertAlign w:val="superscript"/>
        </w:rPr>
      </w:pPr>
      <w:r w:rsidRPr="00110DD9">
        <w:rPr>
          <w:rFonts w:asciiTheme="minorHAnsi" w:hAnsiTheme="minorHAnsi" w:cstheme="minorHAnsi"/>
          <w:b/>
          <w:bCs/>
          <w:sz w:val="26"/>
          <w:szCs w:val="26"/>
        </w:rPr>
        <w:t>Table 2: Changes in the Index components in recent months</w:t>
      </w:r>
    </w:p>
    <w:p w:rsidR="00402056" w:rsidRPr="00110DD9" w:rsidRDefault="00AF4E89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sz w:val="26"/>
          <w:szCs w:val="26"/>
        </w:rPr>
      </w:pPr>
      <w:r w:rsidRPr="00110DD9">
        <w:rPr>
          <w:rFonts w:asciiTheme="minorHAnsi" w:hAnsiTheme="minorHAnsi" w:cstheme="minorHAnsi"/>
          <w:sz w:val="26"/>
          <w:szCs w:val="26"/>
        </w:rPr>
        <w:t>(monthly change,</w:t>
      </w:r>
      <w:r w:rsidR="006A49E1" w:rsidRPr="00110DD9">
        <w:rPr>
          <w:rFonts w:asciiTheme="minorHAnsi" w:hAnsiTheme="minorHAnsi" w:cstheme="minorHAnsi"/>
          <w:sz w:val="26"/>
          <w:szCs w:val="26"/>
        </w:rPr>
        <w:t xml:space="preserve"> percent,</w:t>
      </w:r>
      <w:r w:rsidRPr="00110DD9">
        <w:rPr>
          <w:rFonts w:asciiTheme="minorHAnsi" w:hAnsiTheme="minorHAnsi" w:cstheme="minorHAnsi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F3B01" w:rsidRPr="00110DD9" w:rsidRDefault="008F3B01" w:rsidP="008F3B01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276" w:type="dxa"/>
            <w:shd w:val="clear" w:color="auto" w:fill="auto"/>
          </w:tcPr>
          <w:p w:rsidR="008F3B01" w:rsidRPr="00110DD9" w:rsidRDefault="008F3B01" w:rsidP="008F3B01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276" w:type="dxa"/>
            <w:shd w:val="clear" w:color="auto" w:fill="auto"/>
          </w:tcPr>
          <w:p w:rsidR="008F3B01" w:rsidRPr="00110DD9" w:rsidRDefault="008F3B01" w:rsidP="008F3B01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341" w:type="dxa"/>
            <w:shd w:val="clear" w:color="auto" w:fill="auto"/>
          </w:tcPr>
          <w:p w:rsidR="008F3B01" w:rsidRPr="00110DD9" w:rsidRDefault="008F3B01" w:rsidP="008F3B01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April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 xml:space="preserve">Industrial Production Index </w:t>
            </w:r>
          </w:p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-10.7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6.9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 xml:space="preserve">Services Revenue Index </w:t>
            </w:r>
          </w:p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(excluding education and public administration)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-7.1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-1.4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-2.5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-14.1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-0.4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Imports of consumption goods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36.2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-14.2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-2.8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 xml:space="preserve">Imports of production inputs </w:t>
            </w:r>
          </w:p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(excluding fuels)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21.8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-5.8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-6.5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Goods exports (excluding agriculture)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26.9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-11.5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-14.7</w:t>
            </w:r>
          </w:p>
        </w:tc>
      </w:tr>
      <w:tr w:rsidR="00C06D47" w:rsidRPr="00110DD9" w:rsidTr="002512C3">
        <w:tc>
          <w:tcPr>
            <w:tcW w:w="4967" w:type="dxa"/>
            <w:shd w:val="clear" w:color="auto" w:fill="auto"/>
            <w:vAlign w:val="bottom"/>
          </w:tcPr>
          <w:p w:rsidR="00C06D47" w:rsidRPr="00110DD9" w:rsidRDefault="00C06D47" w:rsidP="00C06D47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Services exports (excluding transportation)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6D47" w:rsidRPr="00110DD9" w:rsidRDefault="00C06D47" w:rsidP="00C06D4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6D47" w:rsidRPr="00110DD9" w:rsidRDefault="00C06D47" w:rsidP="00C06D4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D47" w:rsidRPr="00110DD9" w:rsidRDefault="00C06D47" w:rsidP="00C06D4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-8.6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06D47" w:rsidRPr="00110DD9" w:rsidRDefault="00C06D47" w:rsidP="00C06D4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Employee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</w:tr>
      <w:tr w:rsidR="008F3B01" w:rsidRPr="00110DD9" w:rsidTr="002512C3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Job vacancy rate in the business sector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</w:tr>
      <w:tr w:rsidR="008F3B01" w:rsidRPr="00110DD9" w:rsidTr="0016071C">
        <w:tc>
          <w:tcPr>
            <w:tcW w:w="4967" w:type="dxa"/>
            <w:shd w:val="clear" w:color="auto" w:fill="auto"/>
            <w:vAlign w:val="bottom"/>
          </w:tcPr>
          <w:p w:rsidR="008F3B01" w:rsidRPr="00110DD9" w:rsidRDefault="008F3B01" w:rsidP="008F3B01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Credit card purchases</w:t>
            </w:r>
            <w:r w:rsidRPr="00110D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14.9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-9.9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F3B01" w:rsidRPr="00110DD9" w:rsidRDefault="008F3B01" w:rsidP="008F3B01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DD9">
              <w:rPr>
                <w:rFonts w:asciiTheme="minorHAnsi" w:hAnsiTheme="minorHAnsi" w:cstheme="minorHAnsi"/>
                <w:sz w:val="22"/>
                <w:szCs w:val="22"/>
              </w:rPr>
              <w:t>-0.9</w:t>
            </w:r>
          </w:p>
        </w:tc>
      </w:tr>
    </w:tbl>
    <w:p w:rsidR="00127F75" w:rsidRPr="00110DD9" w:rsidRDefault="00127F75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03330" w:rsidRPr="00110DD9" w:rsidRDefault="00AF4E89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10DD9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A6A04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Pr="00110DD9">
        <w:rPr>
          <w:rFonts w:asciiTheme="minorHAnsi" w:hAnsiTheme="minorHAnsi" w:cstheme="minorHAnsi"/>
          <w:sz w:val="22"/>
          <w:szCs w:val="22"/>
        </w:rPr>
        <w:t>Goods imports and exports are calculated in fixed prices (</w:t>
      </w:r>
      <w:r w:rsidR="003E02A0" w:rsidRPr="00110DD9">
        <w:rPr>
          <w:rFonts w:asciiTheme="minorHAnsi" w:hAnsiTheme="minorHAnsi" w:cstheme="minorHAnsi"/>
          <w:sz w:val="22"/>
          <w:szCs w:val="22"/>
        </w:rPr>
        <w:t xml:space="preserve">adjusted for </w:t>
      </w:r>
      <w:r w:rsidRPr="00110DD9">
        <w:rPr>
          <w:rFonts w:asciiTheme="minorHAnsi" w:hAnsiTheme="minorHAnsi" w:cstheme="minorHAnsi"/>
          <w:sz w:val="22"/>
          <w:szCs w:val="22"/>
        </w:rPr>
        <w:t xml:space="preserve">changes in foreign trade price indices). </w:t>
      </w:r>
    </w:p>
    <w:p w:rsidR="00203330" w:rsidRPr="00110DD9" w:rsidRDefault="00AF4E89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10DD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10DD9">
        <w:rPr>
          <w:rFonts w:asciiTheme="minorHAnsi" w:hAnsiTheme="minorHAnsi" w:cstheme="minorHAnsi"/>
          <w:sz w:val="22"/>
          <w:szCs w:val="22"/>
        </w:rPr>
        <w:t xml:space="preserve"> Services exports are calculated in </w:t>
      </w:r>
      <w:r w:rsidR="007F79B8" w:rsidRPr="00110DD9">
        <w:rPr>
          <w:rFonts w:asciiTheme="minorHAnsi" w:hAnsiTheme="minorHAnsi" w:cstheme="minorHAnsi"/>
          <w:sz w:val="22"/>
          <w:szCs w:val="22"/>
        </w:rPr>
        <w:t>real terms</w:t>
      </w:r>
      <w:r w:rsidR="00AC25BF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="007F79B8" w:rsidRPr="00110DD9">
        <w:rPr>
          <w:rFonts w:asciiTheme="minorHAnsi" w:hAnsiTheme="minorHAnsi" w:cstheme="minorHAnsi"/>
          <w:sz w:val="22"/>
          <w:szCs w:val="22"/>
        </w:rPr>
        <w:t>using</w:t>
      </w:r>
      <w:r w:rsidRPr="00110DD9">
        <w:rPr>
          <w:rFonts w:asciiTheme="minorHAnsi" w:hAnsiTheme="minorHAnsi" w:cstheme="minorHAnsi"/>
          <w:sz w:val="22"/>
          <w:szCs w:val="22"/>
        </w:rPr>
        <w:t xml:space="preserve"> the Consumer Price Index</w:t>
      </w:r>
      <w:r w:rsidR="00AC25BF" w:rsidRPr="00110DD9">
        <w:rPr>
          <w:rFonts w:asciiTheme="minorHAnsi" w:hAnsiTheme="minorHAnsi" w:cstheme="minorHAnsi"/>
          <w:sz w:val="22"/>
          <w:szCs w:val="22"/>
        </w:rPr>
        <w:t>, and are comprised of the export of other business services and the export of tourism services.</w:t>
      </w:r>
      <w:r w:rsidR="00822493" w:rsidRPr="00110D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6A04" w:rsidRPr="00110DD9" w:rsidRDefault="00AF4E89" w:rsidP="002C784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10DD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03330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Pr="00110DD9">
        <w:rPr>
          <w:rFonts w:asciiTheme="minorHAnsi" w:hAnsiTheme="minorHAnsi" w:cstheme="minorHAnsi"/>
          <w:sz w:val="22"/>
          <w:szCs w:val="22"/>
        </w:rPr>
        <w:t xml:space="preserve">The job vacancy rate is </w:t>
      </w:r>
      <w:r w:rsidR="00203330" w:rsidRPr="00110DD9">
        <w:rPr>
          <w:rFonts w:asciiTheme="minorHAnsi" w:hAnsiTheme="minorHAnsi" w:cstheme="minorHAnsi"/>
          <w:sz w:val="22"/>
          <w:szCs w:val="22"/>
        </w:rPr>
        <w:t xml:space="preserve">calculated out of </w:t>
      </w:r>
      <w:r w:rsidR="007F79B8" w:rsidRPr="00110DD9">
        <w:rPr>
          <w:rFonts w:asciiTheme="minorHAnsi" w:hAnsiTheme="minorHAnsi" w:cstheme="minorHAnsi"/>
          <w:sz w:val="22"/>
          <w:szCs w:val="22"/>
        </w:rPr>
        <w:t xml:space="preserve">the </w:t>
      </w:r>
      <w:r w:rsidR="00203330" w:rsidRPr="00110DD9">
        <w:rPr>
          <w:rFonts w:asciiTheme="minorHAnsi" w:hAnsiTheme="minorHAnsi" w:cstheme="minorHAnsi"/>
          <w:sz w:val="22"/>
          <w:szCs w:val="22"/>
        </w:rPr>
        <w:t>total number of employed people</w:t>
      </w:r>
      <w:r w:rsidRPr="00110DD9">
        <w:rPr>
          <w:rFonts w:asciiTheme="minorHAnsi" w:hAnsiTheme="minorHAnsi" w:cstheme="minorHAnsi"/>
          <w:sz w:val="22"/>
          <w:szCs w:val="22"/>
        </w:rPr>
        <w:t>,</w:t>
      </w:r>
      <w:r w:rsidR="00203330" w:rsidRPr="00110DD9">
        <w:rPr>
          <w:rFonts w:asciiTheme="minorHAnsi" w:hAnsiTheme="minorHAnsi" w:cstheme="minorHAnsi"/>
          <w:sz w:val="22"/>
          <w:szCs w:val="22"/>
        </w:rPr>
        <w:t xml:space="preserve"> and is included </w:t>
      </w:r>
      <w:r w:rsidR="00453BB1" w:rsidRPr="00110DD9">
        <w:rPr>
          <w:rFonts w:asciiTheme="minorHAnsi" w:hAnsiTheme="minorHAnsi" w:cstheme="minorHAnsi"/>
          <w:sz w:val="22"/>
          <w:szCs w:val="22"/>
        </w:rPr>
        <w:t xml:space="preserve">in the index </w:t>
      </w:r>
      <w:r w:rsidR="00203330" w:rsidRPr="00110DD9">
        <w:rPr>
          <w:rFonts w:asciiTheme="minorHAnsi" w:hAnsiTheme="minorHAnsi" w:cstheme="minorHAnsi"/>
          <w:sz w:val="22"/>
          <w:szCs w:val="22"/>
        </w:rPr>
        <w:t>at its</w:t>
      </w:r>
      <w:r w:rsidRPr="00110DD9">
        <w:rPr>
          <w:rFonts w:asciiTheme="minorHAnsi" w:hAnsiTheme="minorHAnsi" w:cstheme="minorHAnsi"/>
          <w:sz w:val="22"/>
          <w:szCs w:val="22"/>
        </w:rPr>
        <w:t xml:space="preserve"> seasonally adjusted</w:t>
      </w:r>
      <w:r w:rsidR="00110080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="00225D4D" w:rsidRPr="00110DD9">
        <w:rPr>
          <w:rFonts w:asciiTheme="minorHAnsi" w:hAnsiTheme="minorHAnsi" w:cstheme="minorHAnsi"/>
          <w:sz w:val="22"/>
          <w:szCs w:val="22"/>
        </w:rPr>
        <w:t>level</w:t>
      </w:r>
      <w:r w:rsidRPr="00110DD9">
        <w:rPr>
          <w:rFonts w:asciiTheme="minorHAnsi" w:hAnsiTheme="minorHAnsi" w:cstheme="minorHAnsi"/>
          <w:sz w:val="22"/>
          <w:szCs w:val="22"/>
        </w:rPr>
        <w:t>.</w:t>
      </w:r>
      <w:r w:rsidR="00AD09D8" w:rsidRPr="00110D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2E23" w:rsidRPr="00110DD9" w:rsidRDefault="008F3B01" w:rsidP="00E17E04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10DD9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="00AF4E89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110DD9">
        <w:rPr>
          <w:rFonts w:asciiTheme="minorHAnsi" w:hAnsiTheme="minorHAnsi" w:cstheme="minorHAnsi"/>
          <w:sz w:val="22"/>
          <w:szCs w:val="22"/>
        </w:rPr>
        <w:t>The c</w:t>
      </w:r>
      <w:r w:rsidR="00AF4E89" w:rsidRPr="00110DD9">
        <w:rPr>
          <w:rFonts w:asciiTheme="minorHAnsi" w:hAnsiTheme="minorHAnsi" w:cstheme="minorHAnsi"/>
          <w:sz w:val="22"/>
          <w:szCs w:val="22"/>
        </w:rPr>
        <w:t xml:space="preserve">redit card purchases </w:t>
      </w:r>
      <w:r w:rsidR="00772590" w:rsidRPr="00110DD9">
        <w:rPr>
          <w:rFonts w:asciiTheme="minorHAnsi" w:hAnsiTheme="minorHAnsi" w:cstheme="minorHAnsi"/>
          <w:sz w:val="22"/>
          <w:szCs w:val="22"/>
        </w:rPr>
        <w:t>figure is the monthly</w:t>
      </w:r>
      <w:r w:rsidR="00AF4E89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="000E4A9E" w:rsidRPr="00110DD9">
        <w:rPr>
          <w:rFonts w:asciiTheme="minorHAnsi" w:hAnsiTheme="minorHAnsi" w:cstheme="minorHAnsi"/>
          <w:sz w:val="22"/>
          <w:szCs w:val="22"/>
        </w:rPr>
        <w:t>seasonally adjusted</w:t>
      </w:r>
      <w:r w:rsidR="00772590" w:rsidRPr="00110DD9">
        <w:rPr>
          <w:rFonts w:asciiTheme="minorHAnsi" w:hAnsiTheme="minorHAnsi" w:cstheme="minorHAnsi"/>
          <w:sz w:val="22"/>
          <w:szCs w:val="22"/>
        </w:rPr>
        <w:t xml:space="preserve"> change according to Central Bureau of Statistics publications.</w:t>
      </w:r>
      <w:r w:rsidR="00933C1D" w:rsidRPr="00110DD9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110DD9">
        <w:rPr>
          <w:rFonts w:asciiTheme="minorHAnsi" w:hAnsiTheme="minorHAnsi" w:cstheme="minorHAnsi"/>
          <w:sz w:val="22"/>
          <w:szCs w:val="22"/>
        </w:rPr>
        <w:t xml:space="preserve">When the CBS figure for a month is not available, the figure listed is </w:t>
      </w:r>
      <w:r w:rsidR="00E17E04" w:rsidRPr="00110DD9">
        <w:rPr>
          <w:rFonts w:asciiTheme="minorHAnsi" w:hAnsiTheme="minorHAnsi" w:cstheme="minorHAnsi"/>
          <w:sz w:val="22"/>
          <w:szCs w:val="22"/>
        </w:rPr>
        <w:t xml:space="preserve">an estimate based on </w:t>
      </w:r>
      <w:r w:rsidR="00772590" w:rsidRPr="00110DD9">
        <w:rPr>
          <w:rFonts w:asciiTheme="minorHAnsi" w:hAnsiTheme="minorHAnsi" w:cstheme="minorHAnsi"/>
          <w:sz w:val="22"/>
          <w:szCs w:val="22"/>
        </w:rPr>
        <w:t>the monthly rate of change according to daily data from SHVA, seasonally adjusted</w:t>
      </w:r>
      <w:r w:rsidR="000E4A9E" w:rsidRPr="00110DD9">
        <w:rPr>
          <w:rFonts w:asciiTheme="minorHAnsi" w:hAnsiTheme="minorHAnsi" w:cstheme="minorHAnsi"/>
          <w:sz w:val="22"/>
          <w:szCs w:val="22"/>
        </w:rPr>
        <w:t>.</w:t>
      </w:r>
    </w:p>
    <w:p w:rsidR="0000130C" w:rsidRPr="00110DD9" w:rsidRDefault="0000130C" w:rsidP="000F603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79B8" w:rsidRPr="00110DD9" w:rsidRDefault="007F79B8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110DD9" w:rsidRDefault="00F25C03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110DD9" w:rsidRDefault="00F25C03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110DD9" w:rsidRDefault="00F25C03" w:rsidP="007F79B8">
      <w:pPr>
        <w:pStyle w:val="Footnote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D0CFE" w:rsidRPr="00110DD9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:rsidR="00F25C03" w:rsidRPr="00110DD9" w:rsidRDefault="00AF4E89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110DD9">
        <w:rPr>
          <w:rFonts w:asciiTheme="minorHAnsi" w:hAnsiTheme="minorHAnsi" w:cstheme="minorHAnsi"/>
        </w:rPr>
        <w:t>Detailed explanations regarding how the Composite Index is calculated, as well as detailed long-term tables, can be found at</w:t>
      </w:r>
      <w:r w:rsidR="00C96063" w:rsidRPr="00110DD9">
        <w:rPr>
          <w:rFonts w:asciiTheme="minorHAnsi" w:hAnsiTheme="minorHAnsi" w:cstheme="minorHAnsi"/>
        </w:rPr>
        <w:t>:</w:t>
      </w:r>
    </w:p>
    <w:p w:rsidR="00C96063" w:rsidRPr="00110DD9" w:rsidRDefault="00110DD9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hyperlink r:id="rId11" w:history="1">
        <w:r w:rsidR="003F06C8" w:rsidRPr="00110DD9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  <w:bookmarkEnd w:id="0"/>
    </w:p>
    <w:sectPr w:rsidR="00C96063" w:rsidRPr="00110DD9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4C" w:rsidRDefault="00AF4E89">
      <w:r>
        <w:separator/>
      </w:r>
    </w:p>
  </w:endnote>
  <w:endnote w:type="continuationSeparator" w:id="0">
    <w:p w:rsidR="0069024C" w:rsidRDefault="00A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4C" w:rsidRDefault="00AF4E89">
      <w:r>
        <w:separator/>
      </w:r>
    </w:p>
  </w:footnote>
  <w:footnote w:type="continuationSeparator" w:id="0">
    <w:p w:rsidR="0069024C" w:rsidRDefault="00AF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Default="00110DD9" w:rsidP="00110DD9">
    <w:pPr>
      <w:pStyle w:val="LetterheadBOI"/>
    </w:pPr>
    <w:r>
      <w:rPr>
        <w:noProof/>
      </w:rPr>
      <w:drawing>
        <wp:inline distT="0" distB="0" distL="0" distR="0" wp14:anchorId="66C73753" wp14:editId="038292D8">
          <wp:extent cx="1828800" cy="638175"/>
          <wp:effectExtent l="0" t="0" r="0" b="9525"/>
          <wp:docPr id="10" name="תמונה 1" descr="logo 70-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" descr="logo 70-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835" w:rsidRPr="007055DF" w:rsidRDefault="00AF4E89" w:rsidP="00191835">
    <w:pPr>
      <w:pStyle w:val="LetterheadBOI"/>
    </w:pPr>
    <w:r w:rsidRPr="007055DF">
      <w:t>BANK OF ISRAEL</w:t>
    </w:r>
  </w:p>
  <w:p w:rsidR="00191835" w:rsidRPr="007055DF" w:rsidRDefault="00AF4E89" w:rsidP="00191835">
    <w:pPr>
      <w:pStyle w:val="Letterhead2"/>
      <w:rPr>
        <w:b/>
      </w:rPr>
    </w:pPr>
    <w:r w:rsidRPr="007055DF">
      <w:t>Office of the Spokesperson and Economic Information</w:t>
    </w:r>
  </w:p>
  <w:p w:rsidR="00191835" w:rsidRPr="00191835" w:rsidRDefault="00191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C6F2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E8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A2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4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4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0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3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8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1741F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57F5C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86EC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6DA"/>
    <w:rsid w:val="000C4AC5"/>
    <w:rsid w:val="000C6FDA"/>
    <w:rsid w:val="000C710C"/>
    <w:rsid w:val="000D354D"/>
    <w:rsid w:val="000E191E"/>
    <w:rsid w:val="000E1D5F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0DD9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C7691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6D1"/>
    <w:rsid w:val="00200B15"/>
    <w:rsid w:val="00200B44"/>
    <w:rsid w:val="0020242C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1A1A"/>
    <w:rsid w:val="002B24F6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178F8"/>
    <w:rsid w:val="003216B9"/>
    <w:rsid w:val="00323475"/>
    <w:rsid w:val="0032409A"/>
    <w:rsid w:val="00327F5E"/>
    <w:rsid w:val="00332EAE"/>
    <w:rsid w:val="00333208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6F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E71F6"/>
    <w:rsid w:val="004F2F4C"/>
    <w:rsid w:val="004F6039"/>
    <w:rsid w:val="004F6402"/>
    <w:rsid w:val="0050183E"/>
    <w:rsid w:val="0051227F"/>
    <w:rsid w:val="00515D78"/>
    <w:rsid w:val="00515F3A"/>
    <w:rsid w:val="005212FB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7743B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105C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54DB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024C"/>
    <w:rsid w:val="00694132"/>
    <w:rsid w:val="00695349"/>
    <w:rsid w:val="00697272"/>
    <w:rsid w:val="006A04E3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7A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362F6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1F6F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177E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0F96"/>
    <w:rsid w:val="008F1FCF"/>
    <w:rsid w:val="008F2E40"/>
    <w:rsid w:val="008F3B01"/>
    <w:rsid w:val="008F4675"/>
    <w:rsid w:val="008F59EC"/>
    <w:rsid w:val="00904758"/>
    <w:rsid w:val="00904EF2"/>
    <w:rsid w:val="00905463"/>
    <w:rsid w:val="00905EA3"/>
    <w:rsid w:val="00905F1F"/>
    <w:rsid w:val="00912138"/>
    <w:rsid w:val="0091307F"/>
    <w:rsid w:val="00915457"/>
    <w:rsid w:val="009173EC"/>
    <w:rsid w:val="0092614B"/>
    <w:rsid w:val="009268B5"/>
    <w:rsid w:val="00933C1D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5531E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1195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3397"/>
    <w:rsid w:val="009C3A84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4EBD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50A"/>
    <w:rsid w:val="00AD585C"/>
    <w:rsid w:val="00AD7CC8"/>
    <w:rsid w:val="00AE2394"/>
    <w:rsid w:val="00AE25A1"/>
    <w:rsid w:val="00AE4A79"/>
    <w:rsid w:val="00AE6E25"/>
    <w:rsid w:val="00AF1066"/>
    <w:rsid w:val="00AF1DF0"/>
    <w:rsid w:val="00AF4E89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C59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3866"/>
    <w:rsid w:val="00B547B0"/>
    <w:rsid w:val="00B5582B"/>
    <w:rsid w:val="00B57D60"/>
    <w:rsid w:val="00B70011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2985"/>
    <w:rsid w:val="00C03E78"/>
    <w:rsid w:val="00C05BED"/>
    <w:rsid w:val="00C06D47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3088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541F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5F5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6A20"/>
    <w:rsid w:val="00D67C46"/>
    <w:rsid w:val="00D70591"/>
    <w:rsid w:val="00D804F4"/>
    <w:rsid w:val="00D85224"/>
    <w:rsid w:val="00D9070E"/>
    <w:rsid w:val="00D907A2"/>
    <w:rsid w:val="00D913E6"/>
    <w:rsid w:val="00D915EE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D3526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43C2"/>
    <w:rsid w:val="00E96499"/>
    <w:rsid w:val="00E966E6"/>
    <w:rsid w:val="00E96EA6"/>
    <w:rsid w:val="00EA2853"/>
    <w:rsid w:val="00EA371A"/>
    <w:rsid w:val="00EA4053"/>
    <w:rsid w:val="00EA5D75"/>
    <w:rsid w:val="00EA7DC4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C5551"/>
    <w:rsid w:val="00ED0F7F"/>
    <w:rsid w:val="00ED1262"/>
    <w:rsid w:val="00ED3A92"/>
    <w:rsid w:val="00ED5226"/>
    <w:rsid w:val="00ED628A"/>
    <w:rsid w:val="00EE1976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64D91"/>
    <w:rsid w:val="00F7375B"/>
    <w:rsid w:val="00F742A3"/>
    <w:rsid w:val="00F74FC7"/>
    <w:rsid w:val="00F76AFC"/>
    <w:rsid w:val="00F771B1"/>
    <w:rsid w:val="00F77FC0"/>
    <w:rsid w:val="00F806F6"/>
    <w:rsid w:val="00F82834"/>
    <w:rsid w:val="00F82F93"/>
    <w:rsid w:val="00F84534"/>
    <w:rsid w:val="00F906A9"/>
    <w:rsid w:val="00F920F8"/>
    <w:rsid w:val="00F9495C"/>
    <w:rsid w:val="00F94AF2"/>
    <w:rsid w:val="00F967B5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26C4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C0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Normal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TableTheme">
    <w:name w:val="Table Theme"/>
    <w:basedOn w:val="TableNormal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4B3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64B36"/>
    <w:rPr>
      <w:sz w:val="24"/>
      <w:szCs w:val="24"/>
    </w:rPr>
  </w:style>
  <w:style w:type="paragraph" w:styleId="BalloonText">
    <w:name w:val="Balloon Text"/>
    <w:basedOn w:val="Normal"/>
    <w:link w:val="BalloonTextChar"/>
    <w:rsid w:val="00E6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FootnoteText">
    <w:name w:val="footnote text"/>
    <w:basedOn w:val="Normal"/>
    <w:link w:val="FootnoteTextChar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link w:val="FootnoteText"/>
    <w:rsid w:val="00596FB4"/>
    <w:rPr>
      <w:rFonts w:ascii="Times" w:hAnsi="Times" w:cs="Times"/>
    </w:rPr>
  </w:style>
  <w:style w:type="character" w:styleId="FootnoteReference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DefaultParagraphFont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Normal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DefaultParagraphFont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CommentReference">
    <w:name w:val="annotation reference"/>
    <w:basedOn w:val="DefaultParagraphFont"/>
    <w:rsid w:val="00EE24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244B"/>
  </w:style>
  <w:style w:type="paragraph" w:styleId="CommentSubject">
    <w:name w:val="annotation subject"/>
    <w:basedOn w:val="CommentText"/>
    <w:next w:val="CommentText"/>
    <w:link w:val="CommentSubjectChar"/>
    <w:rsid w:val="00EE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44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CF6D-5CB0-4C80-8194-5694671841C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69C600-3945-41F6-9ABA-2AC8A3D8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3192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2025-08-25T11:29:00Z</dcterms:created>
  <dcterms:modified xsi:type="dcterms:W3CDTF">2025-08-25T11:29:00Z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