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46" w:rsidRPr="00EE4846" w:rsidRDefault="00EE4846">
      <w:pPr>
        <w:rPr>
          <w:rFonts w:ascii="David" w:eastAsiaTheme="majorEastAsia" w:hAnsi="David" w:cs="David"/>
          <w:sz w:val="24"/>
          <w:szCs w:val="24"/>
          <w:rtl/>
        </w:rPr>
      </w:pPr>
    </w:p>
    <w:tbl>
      <w:tblPr>
        <w:tblpPr w:leftFromText="180" w:rightFromText="180" w:bottomFromText="200" w:horzAnchor="margin" w:tblpXSpec="center" w:tblpY="-540"/>
        <w:bidiVisual/>
        <w:tblW w:w="8520" w:type="dxa"/>
        <w:tblLayout w:type="fixed"/>
        <w:tblLook w:val="04A0" w:firstRow="1" w:lastRow="0" w:firstColumn="1" w:lastColumn="0" w:noHBand="0" w:noVBand="1"/>
      </w:tblPr>
      <w:tblGrid>
        <w:gridCol w:w="2840"/>
        <w:gridCol w:w="2596"/>
        <w:gridCol w:w="3084"/>
      </w:tblGrid>
      <w:tr w:rsidR="00EE4846" w:rsidRPr="00EE4846" w:rsidTr="0024572E">
        <w:tc>
          <w:tcPr>
            <w:tcW w:w="2840" w:type="dxa"/>
            <w:vAlign w:val="center"/>
            <w:hideMark/>
          </w:tcPr>
          <w:p w:rsidR="00EE4846" w:rsidRPr="00EE4846" w:rsidRDefault="00EE4846" w:rsidP="00EE4846">
            <w:pPr>
              <w:rPr>
                <w:rFonts w:ascii="David" w:eastAsiaTheme="majorEastAsia" w:hAnsi="David" w:cs="David"/>
                <w:sz w:val="24"/>
                <w:szCs w:val="24"/>
              </w:rPr>
            </w:pPr>
            <w:r w:rsidRPr="00EE4846">
              <w:rPr>
                <w:rFonts w:ascii="David" w:eastAsiaTheme="majorEastAsia" w:hAnsi="David" w:cs="David"/>
                <w:sz w:val="24"/>
                <w:szCs w:val="24"/>
                <w:rtl/>
              </w:rPr>
              <w:t>בנק ישראל</w:t>
            </w:r>
          </w:p>
          <w:p w:rsidR="00EE4846" w:rsidRPr="00EE4846" w:rsidRDefault="00EE4846" w:rsidP="00EE4846">
            <w:pPr>
              <w:rPr>
                <w:rFonts w:ascii="David" w:eastAsiaTheme="majorEastAsia" w:hAnsi="David" w:cs="David"/>
                <w:sz w:val="24"/>
                <w:szCs w:val="24"/>
              </w:rPr>
            </w:pPr>
            <w:r w:rsidRPr="00EE4846">
              <w:rPr>
                <w:rFonts w:ascii="David" w:eastAsiaTheme="majorEastAsia" w:hAnsi="David" w:cs="David"/>
                <w:sz w:val="24"/>
                <w:szCs w:val="24"/>
                <w:rtl/>
              </w:rPr>
              <w:t>דוברות והסברה כלכלית</w:t>
            </w:r>
          </w:p>
        </w:tc>
        <w:tc>
          <w:tcPr>
            <w:tcW w:w="2596" w:type="dxa"/>
            <w:hideMark/>
          </w:tcPr>
          <w:p w:rsidR="00EE4846" w:rsidRPr="00EE4846" w:rsidRDefault="00EE4846" w:rsidP="00EE4846">
            <w:pPr>
              <w:rPr>
                <w:rFonts w:ascii="David" w:eastAsiaTheme="majorEastAsia" w:hAnsi="David" w:cs="David"/>
                <w:sz w:val="24"/>
                <w:szCs w:val="24"/>
              </w:rPr>
            </w:pPr>
            <w:r w:rsidRPr="00EE4846">
              <w:rPr>
                <w:rFonts w:ascii="David" w:eastAsiaTheme="majorEastAsia" w:hAnsi="David" w:cs="David"/>
                <w:noProof/>
                <w:sz w:val="24"/>
                <w:szCs w:val="24"/>
              </w:rPr>
              <w:drawing>
                <wp:anchor distT="0" distB="0" distL="114300" distR="114300" simplePos="0" relativeHeight="251659264" behindDoc="0" locked="0" layoutInCell="1" allowOverlap="1" wp14:anchorId="6341CE2F" wp14:editId="6E8FC22E">
                  <wp:simplePos x="0" y="0"/>
                  <wp:positionH relativeFrom="column">
                    <wp:align>center</wp:align>
                  </wp:positionH>
                  <wp:positionV relativeFrom="paragraph">
                    <wp:posOffset>154940</wp:posOffset>
                  </wp:positionV>
                  <wp:extent cx="1050925" cy="1050925"/>
                  <wp:effectExtent l="0" t="0" r="0" b="0"/>
                  <wp:wrapSquare wrapText="bothSides"/>
                  <wp:docPr id="2" name="תמונה 2"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Bank of Israel 2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r w:rsidRPr="00EE4846">
              <w:rPr>
                <w:rFonts w:ascii="David" w:eastAsiaTheme="majorEastAsia" w:hAnsi="David" w:cs="David"/>
                <w:sz w:val="24"/>
                <w:szCs w:val="24"/>
              </w:rPr>
              <w:tab/>
            </w:r>
          </w:p>
        </w:tc>
        <w:tc>
          <w:tcPr>
            <w:tcW w:w="3084" w:type="dxa"/>
            <w:vAlign w:val="center"/>
            <w:hideMark/>
          </w:tcPr>
          <w:tbl>
            <w:tblPr>
              <w:bidiVisual/>
              <w:tblW w:w="0" w:type="auto"/>
              <w:jc w:val="center"/>
              <w:tblLayout w:type="fixed"/>
              <w:tblLook w:val="04A0" w:firstRow="1" w:lastRow="0" w:firstColumn="1" w:lastColumn="0" w:noHBand="0" w:noVBand="1"/>
            </w:tblPr>
            <w:tblGrid>
              <w:gridCol w:w="3084"/>
            </w:tblGrid>
            <w:tr w:rsidR="00EE4846" w:rsidRPr="00EE4846" w:rsidTr="0024572E">
              <w:trPr>
                <w:jc w:val="center"/>
              </w:trPr>
              <w:tc>
                <w:tcPr>
                  <w:tcW w:w="3084" w:type="dxa"/>
                  <w:vAlign w:val="center"/>
                  <w:hideMark/>
                </w:tcPr>
                <w:p w:rsidR="00EE4846" w:rsidRPr="00EE4846" w:rsidRDefault="00EE4846" w:rsidP="00FB4CE4">
                  <w:pPr>
                    <w:framePr w:hSpace="180" w:wrap="around" w:hAnchor="margin" w:xAlign="center" w:y="-540"/>
                    <w:jc w:val="right"/>
                    <w:rPr>
                      <w:rFonts w:ascii="David" w:eastAsiaTheme="majorEastAsia" w:hAnsi="David" w:cs="David"/>
                      <w:sz w:val="24"/>
                      <w:szCs w:val="24"/>
                    </w:rPr>
                  </w:pPr>
                  <w:r w:rsidRPr="00EE4846">
                    <w:rPr>
                      <w:rFonts w:ascii="David" w:eastAsiaTheme="majorEastAsia" w:hAnsi="David" w:cs="David"/>
                      <w:sz w:val="24"/>
                      <w:szCs w:val="24"/>
                      <w:rtl/>
                    </w:rPr>
                    <w:t xml:space="preserve">‏ירושלים, </w:t>
                  </w:r>
                  <w:r w:rsidR="00FB4CE4">
                    <w:rPr>
                      <w:rFonts w:ascii="David" w:eastAsiaTheme="majorEastAsia" w:hAnsi="David" w:cs="David" w:hint="cs"/>
                      <w:sz w:val="24"/>
                      <w:szCs w:val="24"/>
                      <w:rtl/>
                    </w:rPr>
                    <w:t>ט"ו</w:t>
                  </w:r>
                  <w:r w:rsidRPr="00EE4846">
                    <w:rPr>
                      <w:rFonts w:ascii="David" w:eastAsiaTheme="majorEastAsia" w:hAnsi="David" w:cs="David" w:hint="cs"/>
                      <w:sz w:val="24"/>
                      <w:szCs w:val="24"/>
                      <w:rtl/>
                    </w:rPr>
                    <w:t xml:space="preserve"> </w:t>
                  </w:r>
                  <w:r w:rsidR="00BE294D">
                    <w:rPr>
                      <w:rFonts w:ascii="David" w:eastAsiaTheme="majorEastAsia" w:hAnsi="David" w:cs="David" w:hint="cs"/>
                      <w:sz w:val="24"/>
                      <w:szCs w:val="24"/>
                      <w:rtl/>
                    </w:rPr>
                    <w:t>ב</w:t>
                  </w:r>
                  <w:r w:rsidR="00FB4CE4">
                    <w:rPr>
                      <w:rFonts w:ascii="David" w:eastAsiaTheme="majorEastAsia" w:hAnsi="David" w:cs="David" w:hint="cs"/>
                      <w:sz w:val="24"/>
                      <w:szCs w:val="24"/>
                      <w:rtl/>
                    </w:rPr>
                    <w:t>אב</w:t>
                  </w:r>
                  <w:r w:rsidRPr="00EE4846">
                    <w:rPr>
                      <w:rFonts w:ascii="David" w:eastAsiaTheme="majorEastAsia" w:hAnsi="David" w:cs="David"/>
                      <w:sz w:val="24"/>
                      <w:szCs w:val="24"/>
                      <w:rtl/>
                    </w:rPr>
                    <w:t>, תשפ"</w:t>
                  </w:r>
                  <w:r w:rsidR="00BE294D">
                    <w:rPr>
                      <w:rFonts w:ascii="David" w:eastAsiaTheme="majorEastAsia" w:hAnsi="David" w:cs="David" w:hint="cs"/>
                      <w:sz w:val="24"/>
                      <w:szCs w:val="24"/>
                      <w:rtl/>
                    </w:rPr>
                    <w:t>ג</w:t>
                  </w:r>
                </w:p>
                <w:p w:rsidR="00EE4846" w:rsidRPr="00EE4846" w:rsidRDefault="00EE4846" w:rsidP="00FB4CE4">
                  <w:pPr>
                    <w:framePr w:hSpace="180" w:wrap="around" w:hAnchor="margin" w:xAlign="center" w:y="-540"/>
                    <w:jc w:val="right"/>
                    <w:rPr>
                      <w:rFonts w:ascii="David" w:eastAsiaTheme="majorEastAsia" w:hAnsi="David" w:cs="David"/>
                      <w:sz w:val="24"/>
                      <w:szCs w:val="24"/>
                    </w:rPr>
                  </w:pPr>
                  <w:r w:rsidRPr="00EE4846">
                    <w:rPr>
                      <w:rFonts w:ascii="David" w:eastAsiaTheme="majorEastAsia" w:hAnsi="David" w:cs="David"/>
                      <w:sz w:val="24"/>
                      <w:szCs w:val="24"/>
                      <w:rtl/>
                    </w:rPr>
                    <w:t>‏</w:t>
                  </w:r>
                  <w:r w:rsidR="00FB4CE4">
                    <w:rPr>
                      <w:rFonts w:ascii="David" w:eastAsiaTheme="majorEastAsia" w:hAnsi="David" w:cs="David" w:hint="cs"/>
                      <w:sz w:val="24"/>
                      <w:szCs w:val="24"/>
                      <w:rtl/>
                    </w:rPr>
                    <w:t>2</w:t>
                  </w:r>
                  <w:r w:rsidRPr="00EE4846">
                    <w:rPr>
                      <w:rFonts w:ascii="David" w:eastAsiaTheme="majorEastAsia" w:hAnsi="David" w:cs="David"/>
                      <w:sz w:val="24"/>
                      <w:szCs w:val="24"/>
                      <w:rtl/>
                    </w:rPr>
                    <w:t xml:space="preserve"> </w:t>
                  </w:r>
                  <w:r w:rsidR="00BE294D">
                    <w:rPr>
                      <w:rFonts w:ascii="David" w:eastAsiaTheme="majorEastAsia" w:hAnsi="David" w:cs="David" w:hint="cs"/>
                      <w:sz w:val="24"/>
                      <w:szCs w:val="24"/>
                      <w:rtl/>
                    </w:rPr>
                    <w:t>ב</w:t>
                  </w:r>
                  <w:r w:rsidR="00FB4CE4">
                    <w:rPr>
                      <w:rFonts w:ascii="David" w:eastAsiaTheme="majorEastAsia" w:hAnsi="David" w:cs="David" w:hint="cs"/>
                      <w:sz w:val="24"/>
                      <w:szCs w:val="24"/>
                      <w:rtl/>
                    </w:rPr>
                    <w:t>אוגוסט</w:t>
                  </w:r>
                  <w:r w:rsidRPr="00EE4846">
                    <w:rPr>
                      <w:rFonts w:ascii="David" w:eastAsiaTheme="majorEastAsia" w:hAnsi="David" w:cs="David"/>
                      <w:sz w:val="24"/>
                      <w:szCs w:val="24"/>
                      <w:rtl/>
                    </w:rPr>
                    <w:t xml:space="preserve"> </w:t>
                  </w:r>
                  <w:r w:rsidR="00BE294D">
                    <w:rPr>
                      <w:rFonts w:ascii="David" w:eastAsiaTheme="majorEastAsia" w:hAnsi="David" w:cs="David" w:hint="cs"/>
                      <w:sz w:val="24"/>
                      <w:szCs w:val="24"/>
                      <w:rtl/>
                    </w:rPr>
                    <w:t>2023</w:t>
                  </w:r>
                </w:p>
              </w:tc>
            </w:tr>
          </w:tbl>
          <w:p w:rsidR="00EE4846" w:rsidRPr="00EE4846" w:rsidRDefault="00EE4846" w:rsidP="00EE4846">
            <w:pPr>
              <w:rPr>
                <w:rFonts w:ascii="David" w:eastAsiaTheme="majorEastAsia" w:hAnsi="David" w:cs="David"/>
                <w:sz w:val="24"/>
                <w:szCs w:val="24"/>
                <w:rtl/>
              </w:rPr>
            </w:pPr>
          </w:p>
        </w:tc>
      </w:tr>
    </w:tbl>
    <w:p w:rsidR="00EE4846" w:rsidRPr="00EE4846" w:rsidRDefault="00EE4846" w:rsidP="00EE4846">
      <w:pPr>
        <w:rPr>
          <w:rFonts w:ascii="David" w:eastAsiaTheme="majorEastAsia" w:hAnsi="David" w:cs="David"/>
          <w:sz w:val="24"/>
          <w:szCs w:val="24"/>
          <w:rtl/>
        </w:rPr>
      </w:pPr>
      <w:r w:rsidRPr="00EE4846">
        <w:rPr>
          <w:rFonts w:ascii="David" w:eastAsiaTheme="majorEastAsia" w:hAnsi="David" w:cs="David" w:hint="cs"/>
          <w:sz w:val="24"/>
          <w:szCs w:val="24"/>
          <w:rtl/>
        </w:rPr>
        <w:t>הודעה לעיתונות:</w:t>
      </w:r>
    </w:p>
    <w:p w:rsidR="00116F0C" w:rsidRDefault="00116F0C" w:rsidP="00FB4CE4">
      <w:pPr>
        <w:jc w:val="center"/>
        <w:rPr>
          <w:rFonts w:ascii="David" w:eastAsiaTheme="majorEastAsia" w:hAnsi="David" w:cs="David"/>
          <w:b/>
          <w:bCs/>
          <w:sz w:val="28"/>
          <w:szCs w:val="28"/>
          <w:rtl/>
        </w:rPr>
      </w:pPr>
      <w:r w:rsidRPr="00EE4846">
        <w:rPr>
          <w:rFonts w:ascii="David" w:eastAsiaTheme="majorEastAsia" w:hAnsi="David" w:cs="David"/>
          <w:b/>
          <w:bCs/>
          <w:sz w:val="28"/>
          <w:szCs w:val="28"/>
          <w:rtl/>
        </w:rPr>
        <w:t xml:space="preserve">דוח היציבות הפיננסית </w:t>
      </w:r>
      <w:r w:rsidR="00FB4CE4">
        <w:rPr>
          <w:rFonts w:ascii="David" w:eastAsiaTheme="majorEastAsia" w:hAnsi="David" w:cs="David" w:hint="cs"/>
          <w:b/>
          <w:bCs/>
          <w:sz w:val="28"/>
          <w:szCs w:val="28"/>
          <w:rtl/>
        </w:rPr>
        <w:t>ל</w:t>
      </w:r>
      <w:bookmarkStart w:id="0" w:name="_GoBack"/>
      <w:bookmarkEnd w:id="0"/>
      <w:r w:rsidRPr="00EE4846">
        <w:rPr>
          <w:rFonts w:ascii="David" w:eastAsiaTheme="majorEastAsia" w:hAnsi="David" w:cs="David"/>
          <w:b/>
          <w:bCs/>
          <w:sz w:val="28"/>
          <w:szCs w:val="28"/>
          <w:rtl/>
        </w:rPr>
        <w:t xml:space="preserve">מחצית </w:t>
      </w:r>
      <w:r w:rsidR="00BE294D">
        <w:rPr>
          <w:rFonts w:ascii="David" w:eastAsiaTheme="majorEastAsia" w:hAnsi="David" w:cs="David" w:hint="cs"/>
          <w:b/>
          <w:bCs/>
          <w:sz w:val="28"/>
          <w:szCs w:val="28"/>
          <w:rtl/>
        </w:rPr>
        <w:t>ה</w:t>
      </w:r>
      <w:r w:rsidR="00FB4CE4">
        <w:rPr>
          <w:rFonts w:ascii="David" w:eastAsiaTheme="majorEastAsia" w:hAnsi="David" w:cs="David" w:hint="cs"/>
          <w:b/>
          <w:bCs/>
          <w:sz w:val="28"/>
          <w:szCs w:val="28"/>
          <w:rtl/>
        </w:rPr>
        <w:t>ראשונה</w:t>
      </w:r>
      <w:r w:rsidRPr="00EE4846">
        <w:rPr>
          <w:rFonts w:ascii="David" w:eastAsiaTheme="majorEastAsia" w:hAnsi="David" w:cs="David"/>
          <w:b/>
          <w:bCs/>
          <w:sz w:val="28"/>
          <w:szCs w:val="28"/>
          <w:rtl/>
        </w:rPr>
        <w:t xml:space="preserve"> של 202</w:t>
      </w:r>
      <w:r w:rsidR="00FB4CE4">
        <w:rPr>
          <w:rFonts w:ascii="David" w:eastAsiaTheme="majorEastAsia" w:hAnsi="David" w:cs="David" w:hint="cs"/>
          <w:b/>
          <w:bCs/>
          <w:sz w:val="28"/>
          <w:szCs w:val="28"/>
          <w:rtl/>
        </w:rPr>
        <w:t>3</w:t>
      </w:r>
    </w:p>
    <w:p w:rsidR="00FB4CE4" w:rsidRPr="00FB4CE4" w:rsidRDefault="00FB4CE4" w:rsidP="00FB4CE4">
      <w:pPr>
        <w:jc w:val="center"/>
        <w:rPr>
          <w:rFonts w:ascii="David" w:eastAsiaTheme="majorEastAsia" w:hAnsi="David" w:cs="David"/>
          <w:b/>
          <w:bCs/>
          <w:sz w:val="28"/>
          <w:szCs w:val="28"/>
          <w:rtl/>
        </w:rPr>
      </w:pPr>
    </w:p>
    <w:p w:rsidR="00F202FC" w:rsidRPr="00EE4846" w:rsidRDefault="00116F0C" w:rsidP="00116F0C">
      <w:pPr>
        <w:spacing w:line="360" w:lineRule="auto"/>
        <w:jc w:val="both"/>
        <w:rPr>
          <w:rFonts w:ascii="David" w:hAnsi="David" w:cs="David"/>
          <w:sz w:val="24"/>
          <w:szCs w:val="24"/>
          <w:rtl/>
        </w:rPr>
      </w:pPr>
      <w:r w:rsidRPr="00EE4846">
        <w:rPr>
          <w:rFonts w:ascii="David" w:hAnsi="David" w:cs="David"/>
          <w:sz w:val="24"/>
          <w:szCs w:val="24"/>
          <w:rtl/>
        </w:rPr>
        <w:t>דוח היציבות הפיננסית של בנק ישראל מתפרסם פעמיים בשנה. בדוח זה מבטאים כלכלני הבנק את הערכתם בעניין החשיפות לסיכונים העיקריים הנשקפים למערכת הפיננסית, מנתחים את החשיפות העיקריות ומעריכים תרחישי סיכון פוטנציאליים. ההערכות והניתוחים מתבססים על סקירת ההתפתחויות בתקופה הנסקרת, בחינת השינויים המבניים, שימוש במודלים אנליטיים והערכה של תנאי הרקע בכלכלות העולמיות והמקומית. הדוח מתאר את ההשפעה של התממשות תרחישי סיכון על המערכת הפיננסית בטווחים הקצר והבינוני, במטרה להגביר את המודעות להם בקרב קובעי המדיניות ובציבור הרחב ולאפשר היערכות מתאימה.</w:t>
      </w:r>
    </w:p>
    <w:p w:rsidR="00116F0C" w:rsidRPr="00EE4846" w:rsidRDefault="00116F0C" w:rsidP="00116F0C">
      <w:pPr>
        <w:keepNext/>
        <w:keepLines/>
        <w:numPr>
          <w:ilvl w:val="1"/>
          <w:numId w:val="0"/>
        </w:numPr>
        <w:spacing w:before="40" w:after="0" w:line="360" w:lineRule="auto"/>
        <w:ind w:left="360" w:hanging="360"/>
        <w:jc w:val="both"/>
        <w:outlineLvl w:val="2"/>
        <w:rPr>
          <w:rFonts w:ascii="David" w:eastAsiaTheme="majorEastAsia" w:hAnsi="David" w:cs="David"/>
          <w:sz w:val="24"/>
          <w:szCs w:val="24"/>
          <w:rtl/>
        </w:rPr>
      </w:pPr>
      <w:bookmarkStart w:id="1" w:name="_Toc102389429"/>
      <w:bookmarkStart w:id="2" w:name="_Toc110496336"/>
      <w:r w:rsidRPr="00EE4846">
        <w:rPr>
          <w:rFonts w:ascii="David" w:eastAsiaTheme="majorEastAsia" w:hAnsi="David" w:cs="David"/>
          <w:sz w:val="24"/>
          <w:szCs w:val="24"/>
          <w:rtl/>
        </w:rPr>
        <w:t>עיקרי הממצאים</w:t>
      </w:r>
      <w:bookmarkEnd w:id="1"/>
      <w:bookmarkEnd w:id="2"/>
      <w:r w:rsidR="00C34632">
        <w:rPr>
          <w:rFonts w:ascii="David" w:eastAsiaTheme="majorEastAsia" w:hAnsi="David" w:cs="David" w:hint="cs"/>
          <w:sz w:val="24"/>
          <w:szCs w:val="24"/>
          <w:rtl/>
        </w:rPr>
        <w:t>:</w:t>
      </w:r>
    </w:p>
    <w:p w:rsidR="00C34632" w:rsidRPr="00C34632" w:rsidRDefault="00C34632" w:rsidP="00C34632">
      <w:pPr>
        <w:pStyle w:val="-"/>
        <w:numPr>
          <w:ilvl w:val="0"/>
          <w:numId w:val="6"/>
        </w:numPr>
        <w:rPr>
          <w:rFonts w:ascii="David" w:hAnsi="David"/>
          <w:sz w:val="24"/>
        </w:rPr>
      </w:pPr>
      <w:r w:rsidRPr="00C34632">
        <w:rPr>
          <w:rFonts w:ascii="David" w:hAnsi="David" w:hint="cs"/>
          <w:sz w:val="24"/>
          <w:rtl/>
        </w:rPr>
        <w:t>בסיכום</w:t>
      </w:r>
      <w:r w:rsidRPr="00C34632">
        <w:rPr>
          <w:rFonts w:ascii="David" w:hAnsi="David"/>
          <w:sz w:val="24"/>
          <w:rtl/>
        </w:rPr>
        <w:t xml:space="preserve"> </w:t>
      </w:r>
      <w:r w:rsidRPr="00C34632">
        <w:rPr>
          <w:rFonts w:ascii="David" w:hAnsi="David" w:hint="eastAsia"/>
          <w:sz w:val="24"/>
          <w:rtl/>
        </w:rPr>
        <w:t>כלל</w:t>
      </w:r>
      <w:r w:rsidRPr="00C34632">
        <w:rPr>
          <w:rFonts w:ascii="David" w:hAnsi="David"/>
          <w:sz w:val="24"/>
          <w:rtl/>
        </w:rPr>
        <w:t xml:space="preserve"> </w:t>
      </w:r>
      <w:r w:rsidRPr="00C34632">
        <w:rPr>
          <w:rFonts w:ascii="David" w:hAnsi="David" w:hint="eastAsia"/>
          <w:sz w:val="24"/>
          <w:rtl/>
        </w:rPr>
        <w:t>ה</w:t>
      </w:r>
      <w:r w:rsidRPr="00C34632">
        <w:rPr>
          <w:rFonts w:ascii="David" w:hAnsi="David"/>
          <w:sz w:val="24"/>
          <w:rtl/>
        </w:rPr>
        <w:t>התפתחויות</w:t>
      </w:r>
      <w:r w:rsidRPr="00C34632">
        <w:rPr>
          <w:rFonts w:ascii="David" w:hAnsi="David" w:hint="cs"/>
          <w:sz w:val="24"/>
          <w:rtl/>
        </w:rPr>
        <w:t xml:space="preserve"> במחצית הראשונה של 2023</w:t>
      </w:r>
      <w:r w:rsidRPr="00C34632">
        <w:rPr>
          <w:rFonts w:ascii="David" w:hAnsi="David"/>
          <w:sz w:val="24"/>
          <w:rtl/>
        </w:rPr>
        <w:t xml:space="preserve">, </w:t>
      </w:r>
      <w:r w:rsidRPr="00C34632">
        <w:rPr>
          <w:rFonts w:ascii="David" w:hAnsi="David" w:hint="cs"/>
          <w:sz w:val="24"/>
          <w:rtl/>
        </w:rPr>
        <w:t xml:space="preserve">המערכת </w:t>
      </w:r>
      <w:r w:rsidRPr="00C34632">
        <w:rPr>
          <w:rFonts w:ascii="David" w:hAnsi="David"/>
          <w:sz w:val="24"/>
          <w:rtl/>
        </w:rPr>
        <w:t xml:space="preserve">הפיננסית המקומית </w:t>
      </w:r>
      <w:r w:rsidRPr="00C34632">
        <w:rPr>
          <w:rFonts w:ascii="David" w:hAnsi="David" w:hint="eastAsia"/>
          <w:sz w:val="24"/>
          <w:rtl/>
        </w:rPr>
        <w:t>נותרה</w:t>
      </w:r>
      <w:r w:rsidRPr="00C34632">
        <w:rPr>
          <w:rFonts w:ascii="David" w:hAnsi="David"/>
          <w:sz w:val="24"/>
          <w:rtl/>
        </w:rPr>
        <w:t xml:space="preserve"> </w:t>
      </w:r>
      <w:r w:rsidRPr="00C34632">
        <w:rPr>
          <w:rFonts w:ascii="David" w:hAnsi="David" w:hint="eastAsia"/>
          <w:sz w:val="24"/>
          <w:rtl/>
        </w:rPr>
        <w:t>יציבה</w:t>
      </w:r>
      <w:r w:rsidRPr="00C34632">
        <w:rPr>
          <w:rFonts w:ascii="David" w:hAnsi="David" w:hint="cs"/>
          <w:sz w:val="24"/>
          <w:rtl/>
        </w:rPr>
        <w:t xml:space="preserve">. </w:t>
      </w:r>
      <w:r w:rsidRPr="00C34632">
        <w:rPr>
          <w:rFonts w:ascii="David" w:hAnsi="David"/>
          <w:sz w:val="24"/>
          <w:rtl/>
        </w:rPr>
        <w:t xml:space="preserve">תרמו לכך האיתנות והיציבות של המערכת הבנקאית </w:t>
      </w:r>
      <w:r w:rsidRPr="00C34632">
        <w:rPr>
          <w:rFonts w:ascii="David" w:hAnsi="David" w:hint="cs"/>
          <w:sz w:val="24"/>
          <w:rtl/>
        </w:rPr>
        <w:t>ו</w:t>
      </w:r>
      <w:r w:rsidRPr="00C34632">
        <w:rPr>
          <w:rFonts w:ascii="David" w:hAnsi="David"/>
          <w:sz w:val="24"/>
          <w:rtl/>
        </w:rPr>
        <w:t>חברות הביטוח, ותפקודן התקין של תשתיות פיננסיות – מערכות התשלומים והסליקה. כריות הביטחון שאגרו משקי הבית ו</w:t>
      </w:r>
      <w:r w:rsidRPr="00C34632">
        <w:rPr>
          <w:rFonts w:ascii="David" w:hAnsi="David" w:hint="cs"/>
          <w:sz w:val="24"/>
          <w:rtl/>
        </w:rPr>
        <w:t>ה</w:t>
      </w:r>
      <w:r w:rsidRPr="00C34632">
        <w:rPr>
          <w:rFonts w:ascii="David" w:hAnsi="David"/>
          <w:sz w:val="24"/>
          <w:rtl/>
        </w:rPr>
        <w:t>תאגידים – בין היתר</w:t>
      </w:r>
      <w:r w:rsidRPr="00C34632">
        <w:rPr>
          <w:rFonts w:ascii="David" w:eastAsia="Times New Roman" w:hAnsi="David"/>
          <w:sz w:val="24"/>
          <w:rtl/>
        </w:rPr>
        <w:t xml:space="preserve"> </w:t>
      </w:r>
      <w:r w:rsidRPr="00C34632">
        <w:rPr>
          <w:rFonts w:ascii="David" w:eastAsia="Times New Roman" w:hAnsi="David" w:hint="cs"/>
          <w:sz w:val="24"/>
          <w:rtl/>
        </w:rPr>
        <w:t>ה</w:t>
      </w:r>
      <w:r w:rsidRPr="00C34632">
        <w:rPr>
          <w:rFonts w:ascii="David" w:eastAsia="Times New Roman" w:hAnsi="David"/>
          <w:sz w:val="24"/>
          <w:rtl/>
        </w:rPr>
        <w:t xml:space="preserve">ודות לתמריצים </w:t>
      </w:r>
      <w:r w:rsidRPr="00C34632">
        <w:rPr>
          <w:rFonts w:ascii="David" w:eastAsia="Times New Roman" w:hAnsi="David" w:hint="cs"/>
          <w:sz w:val="24"/>
          <w:rtl/>
        </w:rPr>
        <w:t>ה</w:t>
      </w:r>
      <w:r w:rsidRPr="00C34632">
        <w:rPr>
          <w:rFonts w:ascii="David" w:eastAsia="Times New Roman" w:hAnsi="David"/>
          <w:sz w:val="24"/>
          <w:rtl/>
        </w:rPr>
        <w:t>פיסקליים ו</w:t>
      </w:r>
      <w:r w:rsidRPr="00C34632">
        <w:rPr>
          <w:rFonts w:ascii="David" w:eastAsia="Times New Roman" w:hAnsi="David" w:hint="cs"/>
          <w:sz w:val="24"/>
          <w:rtl/>
        </w:rPr>
        <w:t>ל</w:t>
      </w:r>
      <w:r w:rsidRPr="00C34632">
        <w:rPr>
          <w:rFonts w:ascii="David" w:eastAsia="Times New Roman" w:hAnsi="David"/>
          <w:sz w:val="24"/>
          <w:rtl/>
        </w:rPr>
        <w:t xml:space="preserve">הקלה המוניטרית </w:t>
      </w:r>
      <w:r w:rsidRPr="00C34632">
        <w:rPr>
          <w:rFonts w:ascii="David" w:eastAsia="Times New Roman" w:hAnsi="David" w:hint="eastAsia"/>
          <w:sz w:val="24"/>
          <w:rtl/>
        </w:rPr>
        <w:t>ב</w:t>
      </w:r>
      <w:r w:rsidRPr="00C34632">
        <w:rPr>
          <w:rFonts w:ascii="David" w:eastAsia="Times New Roman" w:hAnsi="David" w:hint="cs"/>
          <w:sz w:val="24"/>
          <w:rtl/>
        </w:rPr>
        <w:t>תקופת הקורונה</w:t>
      </w:r>
      <w:r w:rsidRPr="00C34632">
        <w:rPr>
          <w:rFonts w:ascii="David" w:eastAsia="Times New Roman" w:hAnsi="David"/>
          <w:sz w:val="24"/>
          <w:rtl/>
        </w:rPr>
        <w:t xml:space="preserve"> </w:t>
      </w:r>
      <w:r w:rsidRPr="00C34632">
        <w:rPr>
          <w:rFonts w:ascii="David" w:eastAsia="Times New Roman" w:hAnsi="David" w:hint="cs"/>
          <w:sz w:val="24"/>
          <w:rtl/>
        </w:rPr>
        <w:t>–</w:t>
      </w:r>
      <w:r w:rsidRPr="00C34632">
        <w:rPr>
          <w:rFonts w:ascii="David" w:eastAsia="Times New Roman" w:hAnsi="David"/>
          <w:sz w:val="24"/>
          <w:rtl/>
        </w:rPr>
        <w:t xml:space="preserve"> הגבירו את עמידותם בפני זעזועים פוטנציאליים</w:t>
      </w:r>
      <w:r w:rsidRPr="00C34632">
        <w:rPr>
          <w:rFonts w:ascii="David" w:eastAsia="Times New Roman" w:hAnsi="David"/>
          <w:sz w:val="24"/>
        </w:rPr>
        <w:t>.</w:t>
      </w:r>
      <w:r w:rsidRPr="00C34632">
        <w:rPr>
          <w:rFonts w:ascii="David" w:eastAsia="Times New Roman" w:hAnsi="David"/>
          <w:sz w:val="24"/>
          <w:rtl/>
        </w:rPr>
        <w:t xml:space="preserve"> </w:t>
      </w:r>
    </w:p>
    <w:p w:rsidR="00C34632" w:rsidRPr="00C34632" w:rsidRDefault="00C34632" w:rsidP="00C34632">
      <w:pPr>
        <w:pStyle w:val="-"/>
        <w:numPr>
          <w:ilvl w:val="0"/>
          <w:numId w:val="6"/>
        </w:numPr>
        <w:rPr>
          <w:rFonts w:ascii="David" w:hAnsi="David"/>
          <w:sz w:val="24"/>
        </w:rPr>
      </w:pPr>
      <w:r w:rsidRPr="00C34632">
        <w:rPr>
          <w:rFonts w:hint="cs"/>
          <w:rtl/>
        </w:rPr>
        <w:t>ב</w:t>
      </w:r>
      <w:r w:rsidRPr="00C34632">
        <w:rPr>
          <w:rFonts w:hint="eastAsia"/>
          <w:rtl/>
        </w:rPr>
        <w:t>תקופה</w:t>
      </w:r>
      <w:r w:rsidRPr="00C34632">
        <w:rPr>
          <w:rtl/>
        </w:rPr>
        <w:t xml:space="preserve"> </w:t>
      </w:r>
      <w:r w:rsidRPr="00C34632">
        <w:rPr>
          <w:rFonts w:hint="eastAsia"/>
          <w:rtl/>
        </w:rPr>
        <w:t>הנסקרת</w:t>
      </w:r>
      <w:r w:rsidRPr="00C34632">
        <w:rPr>
          <w:rtl/>
        </w:rPr>
        <w:t xml:space="preserve"> </w:t>
      </w:r>
      <w:r w:rsidRPr="00C34632">
        <w:rPr>
          <w:rFonts w:hint="cs"/>
          <w:rtl/>
        </w:rPr>
        <w:t xml:space="preserve">הושפעה המערכת הפיננסית במשק </w:t>
      </w:r>
      <w:r w:rsidRPr="00C34632">
        <w:rPr>
          <w:rFonts w:hint="eastAsia"/>
          <w:rtl/>
        </w:rPr>
        <w:t>משני</w:t>
      </w:r>
      <w:r w:rsidRPr="00C34632">
        <w:rPr>
          <w:rFonts w:hint="cs"/>
          <w:rtl/>
        </w:rPr>
        <w:t xml:space="preserve"> </w:t>
      </w:r>
      <w:r w:rsidRPr="00C34632">
        <w:rPr>
          <w:rFonts w:hint="eastAsia"/>
          <w:rtl/>
        </w:rPr>
        <w:t>גורמים</w:t>
      </w:r>
      <w:r w:rsidRPr="00C34632">
        <w:rPr>
          <w:rFonts w:hint="cs"/>
          <w:rtl/>
        </w:rPr>
        <w:t xml:space="preserve"> </w:t>
      </w:r>
      <w:r w:rsidRPr="00C34632">
        <w:rPr>
          <w:rFonts w:hint="eastAsia"/>
          <w:rtl/>
        </w:rPr>
        <w:t>עיקריים</w:t>
      </w:r>
      <w:r w:rsidRPr="00C34632">
        <w:rPr>
          <w:rtl/>
        </w:rPr>
        <w:t xml:space="preserve">: </w:t>
      </w:r>
      <w:r w:rsidRPr="00C34632">
        <w:rPr>
          <w:rFonts w:hint="cs"/>
          <w:rtl/>
        </w:rPr>
        <w:t xml:space="preserve">האחד, </w:t>
      </w:r>
      <w:r w:rsidRPr="00C34632">
        <w:rPr>
          <w:rFonts w:hint="eastAsia"/>
          <w:rtl/>
        </w:rPr>
        <w:t>המשך</w:t>
      </w:r>
      <w:r w:rsidRPr="00C34632">
        <w:rPr>
          <w:rtl/>
        </w:rPr>
        <w:t xml:space="preserve"> </w:t>
      </w:r>
      <w:r w:rsidRPr="00C34632">
        <w:rPr>
          <w:rFonts w:hint="cs"/>
          <w:rtl/>
        </w:rPr>
        <w:t>ההידוק של ה</w:t>
      </w:r>
      <w:r w:rsidRPr="00C34632">
        <w:rPr>
          <w:rFonts w:hint="eastAsia"/>
          <w:rtl/>
        </w:rPr>
        <w:t>מדיניות</w:t>
      </w:r>
      <w:r w:rsidRPr="00C34632">
        <w:rPr>
          <w:rtl/>
        </w:rPr>
        <w:t xml:space="preserve"> </w:t>
      </w:r>
      <w:r w:rsidRPr="00C34632">
        <w:rPr>
          <w:rFonts w:hint="cs"/>
          <w:rtl/>
        </w:rPr>
        <w:t>ה</w:t>
      </w:r>
      <w:r w:rsidRPr="00C34632">
        <w:rPr>
          <w:rFonts w:hint="eastAsia"/>
          <w:rtl/>
        </w:rPr>
        <w:t>מוניטרית</w:t>
      </w:r>
      <w:r w:rsidRPr="00C34632">
        <w:rPr>
          <w:rtl/>
        </w:rPr>
        <w:t xml:space="preserve"> </w:t>
      </w:r>
      <w:r w:rsidRPr="00C34632">
        <w:rPr>
          <w:rFonts w:hint="cs"/>
          <w:rtl/>
        </w:rPr>
        <w:t>ו</w:t>
      </w:r>
      <w:r w:rsidRPr="00C34632">
        <w:rPr>
          <w:rFonts w:hint="eastAsia"/>
          <w:rtl/>
        </w:rPr>
        <w:t>האט</w:t>
      </w:r>
      <w:r w:rsidRPr="00C34632">
        <w:rPr>
          <w:rFonts w:hint="cs"/>
          <w:rtl/>
        </w:rPr>
        <w:t xml:space="preserve">ת הצמיחה </w:t>
      </w:r>
      <w:r w:rsidRPr="00C34632">
        <w:rPr>
          <w:rFonts w:hint="eastAsia"/>
          <w:rtl/>
        </w:rPr>
        <w:t>הכלכלית</w:t>
      </w:r>
      <w:r w:rsidRPr="00C34632">
        <w:rPr>
          <w:rFonts w:hint="cs"/>
          <w:rtl/>
        </w:rPr>
        <w:t xml:space="preserve"> בארץ ובעולם,</w:t>
      </w:r>
      <w:r w:rsidRPr="00C34632">
        <w:rPr>
          <w:rtl/>
        </w:rPr>
        <w:t xml:space="preserve"> </w:t>
      </w:r>
      <w:r w:rsidRPr="00C34632">
        <w:rPr>
          <w:rFonts w:hint="eastAsia"/>
          <w:rtl/>
        </w:rPr>
        <w:t>לצד</w:t>
      </w:r>
      <w:r w:rsidRPr="00C34632">
        <w:rPr>
          <w:rtl/>
        </w:rPr>
        <w:t xml:space="preserve"> </w:t>
      </w:r>
      <w:r w:rsidRPr="00C34632">
        <w:rPr>
          <w:rFonts w:hint="cs"/>
          <w:rtl/>
        </w:rPr>
        <w:t xml:space="preserve">קשיים במערכת הבנקאות העולמית; והשני, </w:t>
      </w:r>
      <w:r w:rsidRPr="00C34632">
        <w:rPr>
          <w:rFonts w:hint="eastAsia"/>
          <w:rtl/>
        </w:rPr>
        <w:t>חוסר</w:t>
      </w:r>
      <w:r w:rsidRPr="00C34632">
        <w:rPr>
          <w:rtl/>
        </w:rPr>
        <w:t xml:space="preserve"> </w:t>
      </w:r>
      <w:r w:rsidRPr="00C34632">
        <w:rPr>
          <w:rFonts w:hint="eastAsia"/>
          <w:rtl/>
        </w:rPr>
        <w:t>ודאות</w:t>
      </w:r>
      <w:r w:rsidRPr="00C34632">
        <w:rPr>
          <w:rtl/>
        </w:rPr>
        <w:t xml:space="preserve"> </w:t>
      </w:r>
      <w:r w:rsidRPr="00C34632">
        <w:rPr>
          <w:rFonts w:hint="eastAsia"/>
          <w:rtl/>
        </w:rPr>
        <w:t>סביב</w:t>
      </w:r>
      <w:r w:rsidRPr="00C34632">
        <w:rPr>
          <w:rtl/>
        </w:rPr>
        <w:t xml:space="preserve"> </w:t>
      </w:r>
      <w:r w:rsidRPr="00C34632">
        <w:rPr>
          <w:rFonts w:hint="eastAsia"/>
          <w:rtl/>
        </w:rPr>
        <w:t>ההשלכות</w:t>
      </w:r>
      <w:r w:rsidRPr="00C34632">
        <w:rPr>
          <w:rtl/>
        </w:rPr>
        <w:t xml:space="preserve"> </w:t>
      </w:r>
      <w:r w:rsidRPr="00C34632">
        <w:rPr>
          <w:rFonts w:hint="eastAsia"/>
          <w:rtl/>
        </w:rPr>
        <w:t>של</w:t>
      </w:r>
      <w:r w:rsidRPr="00C34632">
        <w:rPr>
          <w:rtl/>
        </w:rPr>
        <w:t xml:space="preserve"> </w:t>
      </w:r>
      <w:r w:rsidRPr="00C34632">
        <w:rPr>
          <w:rFonts w:hint="cs"/>
          <w:rtl/>
        </w:rPr>
        <w:t>שינויי החקיקה לגבי מערכת המשפט</w:t>
      </w:r>
      <w:r w:rsidRPr="00C34632" w:rsidDel="00276E05">
        <w:rPr>
          <w:rFonts w:hint="eastAsia"/>
          <w:rtl/>
        </w:rPr>
        <w:t xml:space="preserve"> </w:t>
      </w:r>
      <w:r w:rsidRPr="00C34632">
        <w:rPr>
          <w:rFonts w:ascii="David" w:hAnsi="David" w:hint="cs"/>
          <w:sz w:val="24"/>
          <w:rtl/>
        </w:rPr>
        <w:t xml:space="preserve">בישראל </w:t>
      </w:r>
      <w:r w:rsidRPr="00C34632">
        <w:rPr>
          <w:rFonts w:hint="eastAsia"/>
          <w:rtl/>
        </w:rPr>
        <w:t>על</w:t>
      </w:r>
      <w:r w:rsidRPr="00C34632">
        <w:rPr>
          <w:rtl/>
        </w:rPr>
        <w:t xml:space="preserve"> </w:t>
      </w:r>
      <w:r w:rsidRPr="00C34632">
        <w:rPr>
          <w:rFonts w:hint="eastAsia"/>
          <w:rtl/>
        </w:rPr>
        <w:t>תפקודו</w:t>
      </w:r>
      <w:r w:rsidRPr="00C34632">
        <w:rPr>
          <w:rtl/>
        </w:rPr>
        <w:t xml:space="preserve"> </w:t>
      </w:r>
      <w:r w:rsidRPr="00C34632">
        <w:rPr>
          <w:rFonts w:hint="eastAsia"/>
          <w:rtl/>
        </w:rPr>
        <w:t>של</w:t>
      </w:r>
      <w:r w:rsidRPr="00C34632">
        <w:rPr>
          <w:rtl/>
        </w:rPr>
        <w:t xml:space="preserve"> </w:t>
      </w:r>
      <w:r w:rsidRPr="00C34632">
        <w:rPr>
          <w:rFonts w:hint="eastAsia"/>
          <w:rtl/>
        </w:rPr>
        <w:t>המשק</w:t>
      </w:r>
      <w:r w:rsidRPr="00C34632">
        <w:rPr>
          <w:rtl/>
        </w:rPr>
        <w:t xml:space="preserve"> </w:t>
      </w:r>
      <w:r w:rsidRPr="00C34632">
        <w:rPr>
          <w:rFonts w:hint="eastAsia"/>
          <w:rtl/>
        </w:rPr>
        <w:t>ו</w:t>
      </w:r>
      <w:r w:rsidRPr="00C34632">
        <w:rPr>
          <w:rFonts w:hint="cs"/>
          <w:rtl/>
        </w:rPr>
        <w:t xml:space="preserve">על </w:t>
      </w:r>
      <w:r w:rsidRPr="00C34632">
        <w:rPr>
          <w:rFonts w:hint="eastAsia"/>
          <w:rtl/>
        </w:rPr>
        <w:t>המערכת</w:t>
      </w:r>
      <w:r w:rsidRPr="00C34632">
        <w:rPr>
          <w:rtl/>
        </w:rPr>
        <w:t xml:space="preserve"> </w:t>
      </w:r>
      <w:r w:rsidRPr="00C34632">
        <w:rPr>
          <w:rFonts w:hint="eastAsia"/>
          <w:rtl/>
        </w:rPr>
        <w:t>הפיננסית</w:t>
      </w:r>
      <w:r w:rsidRPr="00C34632">
        <w:rPr>
          <w:rFonts w:hint="cs"/>
          <w:rtl/>
        </w:rPr>
        <w:t xml:space="preserve"> בכללותה</w:t>
      </w:r>
      <w:r w:rsidRPr="00C34632">
        <w:rPr>
          <w:rtl/>
        </w:rPr>
        <w:t>.</w:t>
      </w:r>
      <w:r w:rsidRPr="00C34632">
        <w:rPr>
          <w:rFonts w:ascii="David" w:hAnsi="David"/>
          <w:sz w:val="24"/>
          <w:rtl/>
        </w:rPr>
        <w:t xml:space="preserve"> </w:t>
      </w:r>
      <w:r w:rsidRPr="00C34632">
        <w:rPr>
          <w:rFonts w:hint="eastAsia"/>
          <w:rtl/>
        </w:rPr>
        <w:t>אם</w:t>
      </w:r>
      <w:r w:rsidRPr="00C34632">
        <w:rPr>
          <w:rFonts w:hint="cs"/>
          <w:rtl/>
        </w:rPr>
        <w:t xml:space="preserve"> התהליכים אלו – בארץ ובעולם</w:t>
      </w:r>
      <w:r w:rsidRPr="00C34632">
        <w:rPr>
          <w:rFonts w:ascii="David" w:hAnsi="David" w:hint="cs"/>
          <w:sz w:val="24"/>
          <w:rtl/>
        </w:rPr>
        <w:t xml:space="preserve"> – יתעצמו, </w:t>
      </w:r>
      <w:r w:rsidRPr="00C34632">
        <w:rPr>
          <w:rFonts w:ascii="David" w:hAnsi="David" w:hint="eastAsia"/>
          <w:sz w:val="24"/>
          <w:rtl/>
        </w:rPr>
        <w:t>הם</w:t>
      </w:r>
      <w:r w:rsidRPr="00C34632">
        <w:rPr>
          <w:rFonts w:ascii="David" w:hAnsi="David"/>
          <w:sz w:val="24"/>
          <w:rtl/>
        </w:rPr>
        <w:t xml:space="preserve"> </w:t>
      </w:r>
      <w:r w:rsidRPr="00C34632">
        <w:rPr>
          <w:rFonts w:ascii="David" w:hAnsi="David" w:hint="eastAsia"/>
          <w:sz w:val="24"/>
          <w:rtl/>
        </w:rPr>
        <w:t>עלולים</w:t>
      </w:r>
      <w:r w:rsidRPr="00C34632">
        <w:rPr>
          <w:rFonts w:ascii="David" w:hAnsi="David"/>
          <w:sz w:val="24"/>
          <w:rtl/>
        </w:rPr>
        <w:t xml:space="preserve"> </w:t>
      </w:r>
      <w:r w:rsidRPr="00C34632">
        <w:rPr>
          <w:rFonts w:ascii="David" w:hAnsi="David" w:hint="eastAsia"/>
          <w:sz w:val="24"/>
          <w:rtl/>
        </w:rPr>
        <w:t>לאתגר</w:t>
      </w:r>
      <w:r w:rsidRPr="00C34632">
        <w:rPr>
          <w:rFonts w:ascii="David" w:hAnsi="David"/>
          <w:sz w:val="24"/>
          <w:rtl/>
        </w:rPr>
        <w:t xml:space="preserve"> את </w:t>
      </w:r>
      <w:r w:rsidRPr="00C34632">
        <w:rPr>
          <w:rFonts w:ascii="David" w:hAnsi="David" w:hint="eastAsia"/>
          <w:sz w:val="24"/>
          <w:rtl/>
        </w:rPr>
        <w:t>המערכת</w:t>
      </w:r>
      <w:r w:rsidRPr="00C34632">
        <w:rPr>
          <w:rFonts w:ascii="David" w:hAnsi="David"/>
          <w:sz w:val="24"/>
          <w:rtl/>
        </w:rPr>
        <w:t xml:space="preserve"> </w:t>
      </w:r>
      <w:r w:rsidRPr="00C34632">
        <w:rPr>
          <w:rFonts w:ascii="David" w:hAnsi="David" w:hint="eastAsia"/>
          <w:sz w:val="24"/>
          <w:rtl/>
        </w:rPr>
        <w:t>בטווח</w:t>
      </w:r>
      <w:r w:rsidRPr="00C34632">
        <w:rPr>
          <w:rFonts w:ascii="David" w:hAnsi="David"/>
          <w:sz w:val="24"/>
          <w:rtl/>
        </w:rPr>
        <w:t xml:space="preserve"> </w:t>
      </w:r>
      <w:r w:rsidRPr="00C34632">
        <w:rPr>
          <w:rFonts w:ascii="David" w:hAnsi="David" w:hint="eastAsia"/>
          <w:sz w:val="24"/>
          <w:rtl/>
        </w:rPr>
        <w:t>הבינוני</w:t>
      </w:r>
      <w:r w:rsidRPr="00C34632">
        <w:rPr>
          <w:rFonts w:ascii="David" w:hAnsi="David"/>
          <w:sz w:val="24"/>
          <w:rtl/>
        </w:rPr>
        <w:t>.</w:t>
      </w:r>
    </w:p>
    <w:p w:rsidR="00C34632" w:rsidRPr="00C34632" w:rsidRDefault="00C34632" w:rsidP="00C34632">
      <w:pPr>
        <w:pStyle w:val="-"/>
        <w:numPr>
          <w:ilvl w:val="0"/>
          <w:numId w:val="6"/>
        </w:numPr>
        <w:rPr>
          <w:rFonts w:ascii="David" w:hAnsi="David"/>
        </w:rPr>
      </w:pPr>
      <w:r w:rsidRPr="00C34632">
        <w:rPr>
          <w:rFonts w:ascii="David" w:hAnsi="David"/>
          <w:sz w:val="24"/>
          <w:rtl/>
        </w:rPr>
        <w:t>ההידוק המוניטרי</w:t>
      </w:r>
      <w:r w:rsidRPr="00C34632">
        <w:rPr>
          <w:rFonts w:ascii="David" w:hAnsi="David" w:hint="cs"/>
          <w:sz w:val="24"/>
          <w:rtl/>
        </w:rPr>
        <w:t>,</w:t>
      </w:r>
      <w:r w:rsidRPr="00C34632">
        <w:rPr>
          <w:rFonts w:ascii="David" w:hAnsi="David"/>
          <w:sz w:val="24"/>
          <w:rtl/>
        </w:rPr>
        <w:t xml:space="preserve"> הנדרש </w:t>
      </w:r>
      <w:r w:rsidRPr="00C34632">
        <w:rPr>
          <w:rFonts w:ascii="David" w:hAnsi="David" w:hint="cs"/>
          <w:sz w:val="24"/>
          <w:rtl/>
        </w:rPr>
        <w:t>בשל</w:t>
      </w:r>
      <w:r w:rsidRPr="00C34632">
        <w:rPr>
          <w:rFonts w:ascii="David" w:hAnsi="David"/>
          <w:sz w:val="24"/>
          <w:rtl/>
        </w:rPr>
        <w:t xml:space="preserve"> האינפלציה ה</w:t>
      </w:r>
      <w:r w:rsidRPr="00C34632">
        <w:rPr>
          <w:rFonts w:ascii="David" w:hAnsi="David" w:hint="cs"/>
          <w:sz w:val="24"/>
          <w:rtl/>
        </w:rPr>
        <w:t>מתמשכת</w:t>
      </w:r>
      <w:r w:rsidRPr="00C34632">
        <w:rPr>
          <w:rFonts w:ascii="David" w:hAnsi="David"/>
          <w:sz w:val="24"/>
          <w:rtl/>
        </w:rPr>
        <w:t xml:space="preserve">, </w:t>
      </w:r>
      <w:r w:rsidRPr="00C34632">
        <w:rPr>
          <w:rFonts w:ascii="David" w:hAnsi="David" w:hint="cs"/>
          <w:sz w:val="24"/>
          <w:rtl/>
        </w:rPr>
        <w:t>והתמתנות הצמיחה התבטאו בעלייה של מדדי הסיכון – ו</w:t>
      </w:r>
      <w:r w:rsidRPr="00C34632">
        <w:rPr>
          <w:rFonts w:ascii="David" w:hAnsi="David" w:hint="eastAsia"/>
          <w:sz w:val="24"/>
          <w:rtl/>
        </w:rPr>
        <w:t>עמם</w:t>
      </w:r>
      <w:r w:rsidRPr="00C34632">
        <w:rPr>
          <w:rFonts w:ascii="David" w:hAnsi="David" w:hint="cs"/>
          <w:sz w:val="24"/>
          <w:rtl/>
        </w:rPr>
        <w:t xml:space="preserve"> התמחור </w:t>
      </w:r>
      <w:r w:rsidRPr="00C34632">
        <w:rPr>
          <w:rFonts w:ascii="David" w:hAnsi="David" w:hint="eastAsia"/>
          <w:sz w:val="24"/>
          <w:rtl/>
        </w:rPr>
        <w:t>–</w:t>
      </w:r>
      <w:r w:rsidRPr="00C34632">
        <w:rPr>
          <w:rFonts w:ascii="David" w:hAnsi="David" w:hint="cs"/>
          <w:sz w:val="24"/>
          <w:rtl/>
        </w:rPr>
        <w:t xml:space="preserve"> בשוק הנדל"ן ובשווקים הפיננסיים ובעלייה של עלויות האשראי. על רקע זה מתמודדים משקי הבית והעסקים עם </w:t>
      </w:r>
      <w:r w:rsidRPr="00C34632">
        <w:rPr>
          <w:rFonts w:hint="cs"/>
          <w:rtl/>
        </w:rPr>
        <w:t>הכבדה של</w:t>
      </w:r>
      <w:r w:rsidRPr="00C34632">
        <w:rPr>
          <w:rtl/>
        </w:rPr>
        <w:t xml:space="preserve"> </w:t>
      </w:r>
      <w:r w:rsidRPr="00C34632">
        <w:rPr>
          <w:rFonts w:hint="eastAsia"/>
          <w:rtl/>
        </w:rPr>
        <w:t>נטל</w:t>
      </w:r>
      <w:r w:rsidRPr="00C34632">
        <w:rPr>
          <w:rtl/>
        </w:rPr>
        <w:t xml:space="preserve"> </w:t>
      </w:r>
      <w:r w:rsidRPr="00C34632">
        <w:rPr>
          <w:rFonts w:hint="eastAsia"/>
          <w:rtl/>
        </w:rPr>
        <w:t>שירות</w:t>
      </w:r>
      <w:r w:rsidRPr="00C34632">
        <w:rPr>
          <w:rtl/>
        </w:rPr>
        <w:t xml:space="preserve"> </w:t>
      </w:r>
      <w:r w:rsidRPr="00C34632">
        <w:rPr>
          <w:rFonts w:hint="eastAsia"/>
          <w:rtl/>
        </w:rPr>
        <w:t>החוב</w:t>
      </w:r>
      <w:r w:rsidRPr="00C34632">
        <w:rPr>
          <w:rFonts w:hint="cs"/>
          <w:rtl/>
        </w:rPr>
        <w:t>.</w:t>
      </w:r>
    </w:p>
    <w:p w:rsidR="00C34632" w:rsidRDefault="00C34632" w:rsidP="00C34632">
      <w:pPr>
        <w:pStyle w:val="-"/>
        <w:numPr>
          <w:ilvl w:val="0"/>
          <w:numId w:val="6"/>
        </w:numPr>
        <w:rPr>
          <w:rFonts w:ascii="David" w:hAnsi="David"/>
        </w:rPr>
      </w:pPr>
      <w:r w:rsidRPr="00C34632">
        <w:rPr>
          <w:rFonts w:hint="cs"/>
          <w:rtl/>
        </w:rPr>
        <w:t xml:space="preserve">כושר ההחזר של משקי הבית ושל המגזר העסקי נותר איתן. עם זאת, </w:t>
      </w:r>
      <w:r w:rsidRPr="00C34632">
        <w:rPr>
          <w:rFonts w:ascii="David" w:hAnsi="David" w:hint="cs"/>
          <w:rtl/>
        </w:rPr>
        <w:t xml:space="preserve">באשראי העסקי </w:t>
      </w:r>
      <w:r w:rsidRPr="00C34632">
        <w:rPr>
          <w:rFonts w:hint="cs"/>
          <w:rtl/>
        </w:rPr>
        <w:t>עלה סיכון ה</w:t>
      </w:r>
      <w:r w:rsidRPr="00C34632">
        <w:rPr>
          <w:rFonts w:hint="eastAsia"/>
          <w:rtl/>
        </w:rPr>
        <w:t>חברות</w:t>
      </w:r>
      <w:r w:rsidRPr="00C34632">
        <w:rPr>
          <w:rtl/>
        </w:rPr>
        <w:t xml:space="preserve"> </w:t>
      </w:r>
      <w:r w:rsidRPr="00C34632">
        <w:rPr>
          <w:rFonts w:hint="eastAsia"/>
          <w:rtl/>
        </w:rPr>
        <w:t>מענף</w:t>
      </w:r>
      <w:r w:rsidRPr="00C34632">
        <w:rPr>
          <w:rtl/>
        </w:rPr>
        <w:t xml:space="preserve"> </w:t>
      </w:r>
      <w:r w:rsidRPr="00C34632">
        <w:rPr>
          <w:rFonts w:hint="eastAsia"/>
          <w:rtl/>
        </w:rPr>
        <w:t>הבינוי</w:t>
      </w:r>
      <w:r w:rsidRPr="00C34632">
        <w:rPr>
          <w:rtl/>
        </w:rPr>
        <w:t xml:space="preserve"> </w:t>
      </w:r>
      <w:r w:rsidRPr="00C34632">
        <w:rPr>
          <w:rFonts w:hint="eastAsia"/>
          <w:rtl/>
        </w:rPr>
        <w:t>והנדל</w:t>
      </w:r>
      <w:r w:rsidRPr="00C34632">
        <w:rPr>
          <w:rtl/>
        </w:rPr>
        <w:t>"ן</w:t>
      </w:r>
      <w:r w:rsidRPr="00C34632">
        <w:rPr>
          <w:rFonts w:ascii="David" w:hAnsi="David" w:hint="cs"/>
          <w:rtl/>
        </w:rPr>
        <w:t xml:space="preserve"> </w:t>
      </w:r>
      <w:r w:rsidRPr="00C34632">
        <w:rPr>
          <w:rFonts w:ascii="David" w:hAnsi="David"/>
          <w:rtl/>
        </w:rPr>
        <w:t>–</w:t>
      </w:r>
      <w:r w:rsidRPr="00C34632">
        <w:rPr>
          <w:rFonts w:ascii="David" w:hAnsi="David" w:hint="cs"/>
          <w:rtl/>
        </w:rPr>
        <w:t xml:space="preserve"> </w:t>
      </w:r>
      <w:r w:rsidRPr="00C34632">
        <w:rPr>
          <w:rFonts w:ascii="David" w:hAnsi="David"/>
          <w:rtl/>
        </w:rPr>
        <w:t xml:space="preserve">ענף מרכזי </w:t>
      </w:r>
      <w:r w:rsidRPr="00C34632">
        <w:rPr>
          <w:rFonts w:ascii="David" w:hAnsi="David" w:hint="cs"/>
          <w:rtl/>
        </w:rPr>
        <w:t>מבחינת ה</w:t>
      </w:r>
      <w:r w:rsidRPr="00C34632">
        <w:rPr>
          <w:rFonts w:ascii="David" w:hAnsi="David"/>
          <w:rtl/>
        </w:rPr>
        <w:t xml:space="preserve">חשיפות </w:t>
      </w:r>
      <w:r w:rsidRPr="00C34632">
        <w:rPr>
          <w:rFonts w:ascii="David" w:hAnsi="David" w:hint="cs"/>
          <w:rtl/>
        </w:rPr>
        <w:t xml:space="preserve">של </w:t>
      </w:r>
      <w:r w:rsidRPr="00C34632">
        <w:rPr>
          <w:rFonts w:ascii="David" w:hAnsi="David"/>
          <w:rtl/>
        </w:rPr>
        <w:t>המערכת הפיננסית</w:t>
      </w:r>
      <w:r w:rsidRPr="00C34632">
        <w:rPr>
          <w:rFonts w:ascii="David" w:hAnsi="David" w:hint="cs"/>
          <w:rtl/>
        </w:rPr>
        <w:t>.</w:t>
      </w:r>
    </w:p>
    <w:p w:rsidR="00C34632" w:rsidRPr="00C34632" w:rsidRDefault="00C34632" w:rsidP="00C34632">
      <w:pPr>
        <w:pStyle w:val="-"/>
        <w:numPr>
          <w:ilvl w:val="0"/>
          <w:numId w:val="6"/>
        </w:numPr>
        <w:rPr>
          <w:rFonts w:ascii="David" w:hAnsi="David"/>
        </w:rPr>
      </w:pPr>
      <w:r w:rsidRPr="00C34632">
        <w:rPr>
          <w:rFonts w:ascii="David" w:hAnsi="David" w:hint="eastAsia"/>
          <w:sz w:val="24"/>
          <w:rtl/>
        </w:rPr>
        <w:lastRenderedPageBreak/>
        <w:t>אי</w:t>
      </w:r>
      <w:r w:rsidRPr="00C34632">
        <w:rPr>
          <w:rFonts w:ascii="David" w:hAnsi="David"/>
          <w:sz w:val="24"/>
          <w:rtl/>
        </w:rPr>
        <w:t xml:space="preserve"> הוודאות סביב </w:t>
      </w:r>
      <w:r w:rsidRPr="00C34632">
        <w:rPr>
          <w:rFonts w:ascii="David" w:hAnsi="David" w:hint="eastAsia"/>
          <w:sz w:val="24"/>
          <w:rtl/>
        </w:rPr>
        <w:t>שינויי</w:t>
      </w:r>
      <w:r w:rsidRPr="00C34632">
        <w:rPr>
          <w:rFonts w:ascii="David" w:hAnsi="David"/>
          <w:sz w:val="24"/>
          <w:rtl/>
        </w:rPr>
        <w:t xml:space="preserve"> </w:t>
      </w:r>
      <w:r w:rsidRPr="00C34632">
        <w:rPr>
          <w:rFonts w:ascii="David" w:hAnsi="David" w:hint="eastAsia"/>
          <w:sz w:val="24"/>
          <w:rtl/>
        </w:rPr>
        <w:t>החקיקה</w:t>
      </w:r>
      <w:r w:rsidRPr="00C34632">
        <w:rPr>
          <w:rFonts w:ascii="David" w:hAnsi="David" w:hint="cs"/>
          <w:sz w:val="24"/>
          <w:rtl/>
        </w:rPr>
        <w:t xml:space="preserve"> העלתה את פרמיית הסיכון של המשק ולוותה בפיחות של שער החליפין שתרם לעלייה באינפלציה, בירידה במחירי המניות ובהתגברות התנודתיות בשוק </w:t>
      </w:r>
      <w:proofErr w:type="spellStart"/>
      <w:r w:rsidRPr="00C34632">
        <w:rPr>
          <w:rFonts w:ascii="David" w:hAnsi="David" w:hint="cs"/>
          <w:sz w:val="24"/>
          <w:rtl/>
        </w:rPr>
        <w:t>המט"ח</w:t>
      </w:r>
      <w:proofErr w:type="spellEnd"/>
      <w:r w:rsidRPr="00C34632">
        <w:rPr>
          <w:rFonts w:ascii="David" w:hAnsi="David" w:hint="cs"/>
          <w:sz w:val="24"/>
          <w:rtl/>
        </w:rPr>
        <w:t xml:space="preserve"> ובשווקים הפיננסיים. </w:t>
      </w:r>
    </w:p>
    <w:p w:rsidR="00116F0C" w:rsidRPr="00AA7945" w:rsidRDefault="00116F0C" w:rsidP="00C34632">
      <w:pPr>
        <w:spacing w:after="200" w:line="360" w:lineRule="auto"/>
        <w:ind w:left="720"/>
        <w:contextualSpacing/>
        <w:jc w:val="both"/>
        <w:rPr>
          <w:rFonts w:ascii="David" w:hAnsi="David" w:cs="David"/>
          <w:sz w:val="24"/>
          <w:szCs w:val="24"/>
        </w:rPr>
      </w:pPr>
    </w:p>
    <w:sectPr w:rsidR="00116F0C" w:rsidRPr="00AA7945" w:rsidSect="00B30CA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51" w:rsidRDefault="00707451" w:rsidP="00D8598E">
      <w:pPr>
        <w:spacing w:after="0" w:line="240" w:lineRule="auto"/>
      </w:pPr>
      <w:r>
        <w:separator/>
      </w:r>
    </w:p>
  </w:endnote>
  <w:endnote w:type="continuationSeparator" w:id="0">
    <w:p w:rsidR="00707451" w:rsidRDefault="00707451" w:rsidP="00D8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51" w:rsidRDefault="00707451" w:rsidP="00D8598E">
      <w:pPr>
        <w:spacing w:after="0" w:line="240" w:lineRule="auto"/>
      </w:pPr>
      <w:r>
        <w:separator/>
      </w:r>
    </w:p>
  </w:footnote>
  <w:footnote w:type="continuationSeparator" w:id="0">
    <w:p w:rsidR="00707451" w:rsidRDefault="00707451" w:rsidP="00D8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8E" w:rsidRDefault="00D859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0C"/>
    <w:multiLevelType w:val="hybridMultilevel"/>
    <w:tmpl w:val="E5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5E95"/>
    <w:multiLevelType w:val="hybridMultilevel"/>
    <w:tmpl w:val="B82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35677"/>
    <w:multiLevelType w:val="hybridMultilevel"/>
    <w:tmpl w:val="C41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36297"/>
    <w:multiLevelType w:val="hybridMultilevel"/>
    <w:tmpl w:val="6332FB30"/>
    <w:lvl w:ilvl="0" w:tplc="80DAC3A0">
      <w:start w:val="20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01B18"/>
    <w:multiLevelType w:val="hybridMultilevel"/>
    <w:tmpl w:val="7C94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E2804"/>
    <w:multiLevelType w:val="hybridMultilevel"/>
    <w:tmpl w:val="9F9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C"/>
    <w:rsid w:val="00116F0C"/>
    <w:rsid w:val="0026017C"/>
    <w:rsid w:val="002E6766"/>
    <w:rsid w:val="003D4B79"/>
    <w:rsid w:val="00462526"/>
    <w:rsid w:val="0054188D"/>
    <w:rsid w:val="006326FF"/>
    <w:rsid w:val="00707451"/>
    <w:rsid w:val="00904320"/>
    <w:rsid w:val="00934634"/>
    <w:rsid w:val="009C4D23"/>
    <w:rsid w:val="00AA7945"/>
    <w:rsid w:val="00B30CA0"/>
    <w:rsid w:val="00B75FF3"/>
    <w:rsid w:val="00BE294D"/>
    <w:rsid w:val="00C34632"/>
    <w:rsid w:val="00CD296C"/>
    <w:rsid w:val="00D11BBA"/>
    <w:rsid w:val="00D8598E"/>
    <w:rsid w:val="00E41DD1"/>
    <w:rsid w:val="00EE4846"/>
    <w:rsid w:val="00EF462A"/>
    <w:rsid w:val="00F202FC"/>
    <w:rsid w:val="00FB4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35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8E"/>
    <w:pPr>
      <w:tabs>
        <w:tab w:val="center" w:pos="4153"/>
        <w:tab w:val="right" w:pos="8306"/>
      </w:tabs>
      <w:spacing w:after="0" w:line="240" w:lineRule="auto"/>
    </w:pPr>
  </w:style>
  <w:style w:type="character" w:customStyle="1" w:styleId="a4">
    <w:name w:val="כותרת עליונה תו"/>
    <w:basedOn w:val="a0"/>
    <w:link w:val="a3"/>
    <w:uiPriority w:val="99"/>
    <w:rsid w:val="00D8598E"/>
  </w:style>
  <w:style w:type="paragraph" w:styleId="a5">
    <w:name w:val="footer"/>
    <w:basedOn w:val="a"/>
    <w:link w:val="a6"/>
    <w:uiPriority w:val="99"/>
    <w:unhideWhenUsed/>
    <w:rsid w:val="00D8598E"/>
    <w:pPr>
      <w:tabs>
        <w:tab w:val="center" w:pos="4153"/>
        <w:tab w:val="right" w:pos="8306"/>
      </w:tabs>
      <w:spacing w:after="0" w:line="240" w:lineRule="auto"/>
    </w:pPr>
  </w:style>
  <w:style w:type="character" w:customStyle="1" w:styleId="a6">
    <w:name w:val="כותרת תחתונה תו"/>
    <w:basedOn w:val="a0"/>
    <w:link w:val="a5"/>
    <w:uiPriority w:val="99"/>
    <w:rsid w:val="00D8598E"/>
  </w:style>
  <w:style w:type="paragraph" w:styleId="a7">
    <w:name w:val="Balloon Text"/>
    <w:basedOn w:val="a"/>
    <w:link w:val="a8"/>
    <w:uiPriority w:val="99"/>
    <w:semiHidden/>
    <w:unhideWhenUsed/>
    <w:rsid w:val="0026017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26017C"/>
    <w:rPr>
      <w:rFonts w:ascii="Tahoma" w:hAnsi="Tahoma" w:cs="Tahoma"/>
      <w:sz w:val="18"/>
      <w:szCs w:val="18"/>
    </w:rPr>
  </w:style>
  <w:style w:type="paragraph" w:customStyle="1" w:styleId="-">
    <w:name w:val="טקסט רגיל - תכנון מוניטרי"/>
    <w:basedOn w:val="a"/>
    <w:link w:val="-0"/>
    <w:qFormat/>
    <w:rsid w:val="00C34632"/>
    <w:pPr>
      <w:spacing w:after="120" w:line="360" w:lineRule="auto"/>
      <w:jc w:val="both"/>
    </w:pPr>
    <w:rPr>
      <w:rFonts w:cs="David"/>
      <w:szCs w:val="24"/>
    </w:rPr>
  </w:style>
  <w:style w:type="character" w:customStyle="1" w:styleId="-0">
    <w:name w:val="טקסט רגיל - תכנון מוניטרי תו"/>
    <w:basedOn w:val="a0"/>
    <w:link w:val="-"/>
    <w:rsid w:val="00C34632"/>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593524C5-8BE1-41A7-B7C7-8F7108A8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E1EB0-BD00-4773-A2EF-0B817915FD3A}">
  <ds:schemaRefs>
    <ds:schemaRef ds:uri="http://schemas.microsoft.com/sharepoint/v3/contenttype/forms"/>
  </ds:schemaRefs>
</ds:datastoreItem>
</file>

<file path=customXml/itemProps3.xml><?xml version="1.0" encoding="utf-8"?>
<ds:datastoreItem xmlns:ds="http://schemas.openxmlformats.org/officeDocument/2006/customXml" ds:itemID="{36B85DBA-10CC-4D86-AB79-DF28EC846C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1660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2023-08-01T11:14:00Z</dcterms:created>
  <dcterms:modified xsi:type="dcterms:W3CDTF">2023-08-01T11:14:00Z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