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05" w:rsidRPr="00A52D2E" w:rsidRDefault="00671905" w:rsidP="00A52D2E">
      <w:pPr>
        <w:bidi/>
        <w:spacing w:line="360" w:lineRule="auto"/>
        <w:rPr>
          <w:rFonts w:cs="David"/>
          <w:b/>
          <w:bCs/>
          <w:sz w:val="24"/>
          <w:szCs w:val="24"/>
          <w:rtl/>
        </w:rPr>
      </w:pPr>
    </w:p>
    <w:tbl>
      <w:tblPr>
        <w:tblpPr w:leftFromText="180" w:rightFromText="180" w:horzAnchor="margin" w:tblpXSpec="center" w:tblpY="-725"/>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EA4F2E" w:rsidRPr="00A67536" w:rsidTr="00E544C0">
        <w:tc>
          <w:tcPr>
            <w:tcW w:w="2840" w:type="dxa"/>
            <w:tcBorders>
              <w:top w:val="nil"/>
              <w:left w:val="nil"/>
              <w:bottom w:val="nil"/>
              <w:right w:val="nil"/>
            </w:tcBorders>
            <w:vAlign w:val="center"/>
          </w:tcPr>
          <w:p w:rsidR="00EA4F2E" w:rsidRPr="003D7911" w:rsidRDefault="00EA4F2E" w:rsidP="008E3AC4">
            <w:pPr>
              <w:bidi/>
              <w:spacing w:after="0"/>
              <w:jc w:val="center"/>
              <w:rPr>
                <w:rFonts w:cs="David"/>
                <w:b/>
                <w:bCs/>
                <w:sz w:val="28"/>
                <w:szCs w:val="28"/>
              </w:rPr>
            </w:pPr>
            <w:r w:rsidRPr="003D7911">
              <w:rPr>
                <w:rFonts w:cs="David"/>
                <w:b/>
                <w:bCs/>
                <w:sz w:val="28"/>
                <w:szCs w:val="28"/>
                <w:rtl/>
              </w:rPr>
              <w:t>בנ</w:t>
            </w:r>
            <w:r w:rsidRPr="003D7911">
              <w:rPr>
                <w:rFonts w:cs="David" w:hint="cs"/>
                <w:b/>
                <w:bCs/>
                <w:sz w:val="28"/>
                <w:szCs w:val="28"/>
                <w:rtl/>
              </w:rPr>
              <w:t xml:space="preserve">ק </w:t>
            </w:r>
            <w:r w:rsidRPr="003D7911">
              <w:rPr>
                <w:rFonts w:cs="David"/>
                <w:b/>
                <w:bCs/>
                <w:sz w:val="28"/>
                <w:szCs w:val="28"/>
                <w:rtl/>
              </w:rPr>
              <w:t>יש</w:t>
            </w:r>
            <w:r w:rsidRPr="003D7911">
              <w:rPr>
                <w:rFonts w:cs="David" w:hint="cs"/>
                <w:b/>
                <w:bCs/>
                <w:sz w:val="28"/>
                <w:szCs w:val="28"/>
                <w:rtl/>
              </w:rPr>
              <w:t>ראל</w:t>
            </w:r>
          </w:p>
          <w:p w:rsidR="00EA4F2E" w:rsidRPr="003D7911" w:rsidRDefault="00EA4F2E" w:rsidP="008E3AC4">
            <w:pPr>
              <w:bidi/>
              <w:spacing w:after="0" w:line="240" w:lineRule="auto"/>
              <w:ind w:right="-101"/>
              <w:jc w:val="center"/>
            </w:pPr>
            <w:r w:rsidRPr="003D7911">
              <w:rPr>
                <w:rFonts w:cs="David"/>
                <w:sz w:val="24"/>
                <w:szCs w:val="24"/>
                <w:rtl/>
              </w:rPr>
              <w:t>דו</w:t>
            </w:r>
            <w:r w:rsidRPr="003D7911">
              <w:rPr>
                <w:rFonts w:cs="David" w:hint="cs"/>
                <w:sz w:val="24"/>
                <w:szCs w:val="24"/>
                <w:rtl/>
              </w:rPr>
              <w:t>בר</w:t>
            </w:r>
            <w:r w:rsidRPr="003D7911">
              <w:rPr>
                <w:rFonts w:cs="David"/>
                <w:sz w:val="24"/>
                <w:szCs w:val="24"/>
                <w:rtl/>
              </w:rPr>
              <w:t>ות</w:t>
            </w:r>
            <w:r w:rsidRPr="003D7911">
              <w:rPr>
                <w:rFonts w:cs="David" w:hint="cs"/>
                <w:sz w:val="24"/>
                <w:szCs w:val="24"/>
                <w:rtl/>
              </w:rPr>
              <w:t xml:space="preserve"> והסברה כלכלית</w:t>
            </w:r>
          </w:p>
        </w:tc>
        <w:tc>
          <w:tcPr>
            <w:tcW w:w="2596" w:type="dxa"/>
            <w:tcBorders>
              <w:top w:val="nil"/>
              <w:left w:val="nil"/>
              <w:bottom w:val="nil"/>
              <w:right w:val="nil"/>
            </w:tcBorders>
          </w:tcPr>
          <w:p w:rsidR="00EA4F2E" w:rsidRPr="003D7911" w:rsidRDefault="00EA4F2E" w:rsidP="008E3AC4">
            <w:pPr>
              <w:bidi/>
              <w:jc w:val="center"/>
            </w:pPr>
            <w:r w:rsidRPr="003D7911">
              <w:rPr>
                <w:noProof/>
              </w:rPr>
              <w:drawing>
                <wp:inline distT="0" distB="0" distL="0" distR="0" wp14:anchorId="5470D5B9" wp14:editId="07C40DFA">
                  <wp:extent cx="772668" cy="76835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8E3AC4" w:rsidRPr="003D7911" w:rsidRDefault="007A7C38" w:rsidP="003D7911">
            <w:pPr>
              <w:bidi/>
              <w:spacing w:after="0"/>
              <w:jc w:val="right"/>
              <w:rPr>
                <w:rFonts w:cs="David"/>
              </w:rPr>
            </w:pPr>
            <w:r w:rsidRPr="003D7911">
              <w:rPr>
                <w:rFonts w:cs="David"/>
                <w:rtl/>
              </w:rPr>
              <w:t xml:space="preserve">‏ירושלים, </w:t>
            </w:r>
            <w:r w:rsidR="003D7911" w:rsidRPr="003D7911">
              <w:rPr>
                <w:rFonts w:cs="David" w:hint="cs"/>
                <w:rtl/>
              </w:rPr>
              <w:t>ט'</w:t>
            </w:r>
            <w:r w:rsidRPr="003D7911">
              <w:rPr>
                <w:rFonts w:cs="David" w:hint="cs"/>
                <w:rtl/>
              </w:rPr>
              <w:t xml:space="preserve"> </w:t>
            </w:r>
            <w:r w:rsidR="003D7911" w:rsidRPr="003D7911">
              <w:rPr>
                <w:rFonts w:cs="David" w:hint="cs"/>
                <w:rtl/>
              </w:rPr>
              <w:t>באייר</w:t>
            </w:r>
            <w:r w:rsidRPr="003D7911">
              <w:rPr>
                <w:rFonts w:cs="David"/>
                <w:rtl/>
              </w:rPr>
              <w:t>, תשפ"</w:t>
            </w:r>
            <w:r w:rsidR="003D7911" w:rsidRPr="003D7911">
              <w:rPr>
                <w:rFonts w:cs="David" w:hint="cs"/>
                <w:rtl/>
              </w:rPr>
              <w:t>ג</w:t>
            </w:r>
          </w:p>
          <w:p w:rsidR="00EA4F2E" w:rsidRPr="003D7911" w:rsidRDefault="003D7911" w:rsidP="003D7911">
            <w:pPr>
              <w:bidi/>
              <w:spacing w:line="240" w:lineRule="auto"/>
              <w:jc w:val="right"/>
              <w:rPr>
                <w:rFonts w:cs="David"/>
              </w:rPr>
            </w:pPr>
            <w:r w:rsidRPr="003D7911">
              <w:rPr>
                <w:rFonts w:cs="David" w:hint="cs"/>
                <w:rtl/>
              </w:rPr>
              <w:t>30</w:t>
            </w:r>
            <w:r w:rsidR="007A7C38" w:rsidRPr="003D7911">
              <w:rPr>
                <w:rFonts w:cs="David" w:hint="cs"/>
                <w:rtl/>
              </w:rPr>
              <w:t xml:space="preserve"> </w:t>
            </w:r>
            <w:r w:rsidRPr="003D7911">
              <w:rPr>
                <w:rFonts w:cs="David" w:hint="cs"/>
                <w:rtl/>
              </w:rPr>
              <w:t>באפריל</w:t>
            </w:r>
            <w:r w:rsidR="007A7C38" w:rsidRPr="003D7911">
              <w:rPr>
                <w:rFonts w:cs="David" w:hint="cs"/>
                <w:rtl/>
              </w:rPr>
              <w:t xml:space="preserve"> </w:t>
            </w:r>
            <w:r w:rsidR="007A7C38" w:rsidRPr="003D7911">
              <w:rPr>
                <w:rFonts w:cs="David"/>
                <w:rtl/>
              </w:rPr>
              <w:t>202</w:t>
            </w:r>
            <w:r w:rsidR="007A7C38" w:rsidRPr="003D7911">
              <w:rPr>
                <w:rFonts w:cs="David" w:hint="cs"/>
                <w:rtl/>
              </w:rPr>
              <w:t>2</w:t>
            </w:r>
          </w:p>
        </w:tc>
      </w:tr>
    </w:tbl>
    <w:p w:rsidR="00EA4F2E" w:rsidRPr="00331C68" w:rsidRDefault="00EA4F2E" w:rsidP="008E3AC4">
      <w:pPr>
        <w:bidi/>
        <w:spacing w:line="360" w:lineRule="auto"/>
        <w:ind w:right="-101"/>
        <w:rPr>
          <w:rFonts w:cs="David"/>
          <w:sz w:val="24"/>
          <w:szCs w:val="24"/>
        </w:rPr>
      </w:pPr>
      <w:r w:rsidRPr="00331C68">
        <w:rPr>
          <w:rFonts w:cs="David" w:hint="cs"/>
          <w:sz w:val="24"/>
          <w:szCs w:val="24"/>
          <w:rtl/>
        </w:rPr>
        <w:t xml:space="preserve">הודעה </w:t>
      </w:r>
      <w:r w:rsidR="008E3AC4" w:rsidRPr="00331C68">
        <w:rPr>
          <w:rFonts w:cs="David" w:hint="cs"/>
          <w:sz w:val="24"/>
          <w:szCs w:val="24"/>
          <w:rtl/>
        </w:rPr>
        <w:t>ל</w:t>
      </w:r>
      <w:r w:rsidR="008E3AC4">
        <w:rPr>
          <w:rFonts w:cs="David" w:hint="cs"/>
          <w:sz w:val="24"/>
          <w:szCs w:val="24"/>
          <w:rtl/>
        </w:rPr>
        <w:t>עיתונו</w:t>
      </w:r>
      <w:r w:rsidR="008E3AC4" w:rsidRPr="00331C68">
        <w:rPr>
          <w:rFonts w:cs="David" w:hint="cs"/>
          <w:sz w:val="24"/>
          <w:szCs w:val="24"/>
          <w:rtl/>
        </w:rPr>
        <w:t>ת</w:t>
      </w:r>
      <w:r w:rsidRPr="00331C68">
        <w:rPr>
          <w:rFonts w:cs="David" w:hint="cs"/>
          <w:sz w:val="24"/>
          <w:szCs w:val="24"/>
          <w:rtl/>
        </w:rPr>
        <w:t>:</w:t>
      </w:r>
    </w:p>
    <w:p w:rsidR="00EA4F2E" w:rsidRPr="00331C68" w:rsidRDefault="00EA4F2E" w:rsidP="008E3AC4">
      <w:pPr>
        <w:bidi/>
        <w:spacing w:line="360" w:lineRule="auto"/>
        <w:ind w:right="-101"/>
        <w:jc w:val="center"/>
        <w:rPr>
          <w:rFonts w:cs="David"/>
          <w:sz w:val="24"/>
          <w:szCs w:val="24"/>
          <w:rtl/>
        </w:rPr>
      </w:pPr>
      <w:r w:rsidRPr="00331C68">
        <w:rPr>
          <w:rFonts w:cs="David" w:hint="cs"/>
          <w:sz w:val="24"/>
          <w:szCs w:val="24"/>
          <w:rtl/>
        </w:rPr>
        <w:t>מחקר חדש:</w:t>
      </w:r>
    </w:p>
    <w:p w:rsidR="00EA4F2E" w:rsidRPr="00601D6F" w:rsidRDefault="00511E2D" w:rsidP="008E3AC4">
      <w:pPr>
        <w:bidi/>
        <w:spacing w:before="120" w:after="120" w:line="360" w:lineRule="auto"/>
        <w:ind w:right="84"/>
        <w:jc w:val="center"/>
        <w:rPr>
          <w:rFonts w:ascii="Palatino Linotype" w:hAnsi="Palatino Linotype" w:cs="David"/>
          <w:b/>
          <w:bCs/>
          <w:sz w:val="30"/>
          <w:szCs w:val="30"/>
          <w:rtl/>
        </w:rPr>
      </w:pPr>
      <w:bookmarkStart w:id="0" w:name="_GoBack"/>
      <w:r>
        <w:rPr>
          <w:rFonts w:ascii="Palatino Linotype" w:hAnsi="Palatino Linotype" w:cs="David" w:hint="cs"/>
          <w:b/>
          <w:bCs/>
          <w:sz w:val="30"/>
          <w:szCs w:val="30"/>
          <w:rtl/>
        </w:rPr>
        <w:t>דירוג אשראי וקשרי מלווה-לווה: ממצאים ממאגר נתוני האשראי</w:t>
      </w:r>
    </w:p>
    <w:bookmarkEnd w:id="0"/>
    <w:p w:rsidR="003F2591" w:rsidRPr="00DB3236" w:rsidRDefault="003F2591" w:rsidP="00DB3236">
      <w:pPr>
        <w:bidi/>
        <w:jc w:val="both"/>
        <w:rPr>
          <w:rFonts w:cs="David"/>
          <w:b/>
          <w:bCs/>
          <w:sz w:val="24"/>
          <w:szCs w:val="24"/>
        </w:rPr>
      </w:pPr>
    </w:p>
    <w:p w:rsidR="00DB3236" w:rsidRDefault="008A26BC" w:rsidP="00511E2D">
      <w:pPr>
        <w:pStyle w:val="a3"/>
        <w:numPr>
          <w:ilvl w:val="0"/>
          <w:numId w:val="1"/>
        </w:numPr>
        <w:bidi/>
        <w:spacing w:line="360" w:lineRule="auto"/>
        <w:ind w:left="714" w:hanging="357"/>
        <w:jc w:val="both"/>
        <w:rPr>
          <w:rFonts w:cs="David"/>
          <w:b/>
          <w:bCs/>
          <w:sz w:val="24"/>
          <w:szCs w:val="24"/>
        </w:rPr>
      </w:pPr>
      <w:r w:rsidRPr="0080573C">
        <w:rPr>
          <w:rFonts w:cs="David" w:hint="eastAsia"/>
          <w:b/>
          <w:bCs/>
          <w:sz w:val="24"/>
          <w:szCs w:val="24"/>
          <w:rtl/>
        </w:rPr>
        <w:t>מחקר</w:t>
      </w:r>
      <w:r w:rsidRPr="0080573C">
        <w:rPr>
          <w:rFonts w:cs="David"/>
          <w:b/>
          <w:bCs/>
          <w:sz w:val="24"/>
          <w:szCs w:val="24"/>
          <w:rtl/>
        </w:rPr>
        <w:t xml:space="preserve"> </w:t>
      </w:r>
      <w:r w:rsidR="008E3AC4">
        <w:rPr>
          <w:rFonts w:cs="David" w:hint="cs"/>
          <w:b/>
          <w:bCs/>
          <w:sz w:val="24"/>
          <w:szCs w:val="24"/>
          <w:rtl/>
        </w:rPr>
        <w:t xml:space="preserve">שנערך </w:t>
      </w:r>
      <w:r w:rsidR="001716DC" w:rsidRPr="0080573C">
        <w:rPr>
          <w:rFonts w:cs="David" w:hint="eastAsia"/>
          <w:b/>
          <w:bCs/>
          <w:sz w:val="24"/>
          <w:szCs w:val="24"/>
          <w:rtl/>
        </w:rPr>
        <w:t>בבנק</w:t>
      </w:r>
      <w:r w:rsidR="001716DC" w:rsidRPr="0080573C">
        <w:rPr>
          <w:rFonts w:cs="David"/>
          <w:b/>
          <w:bCs/>
          <w:sz w:val="24"/>
          <w:szCs w:val="24"/>
          <w:rtl/>
        </w:rPr>
        <w:t xml:space="preserve"> </w:t>
      </w:r>
      <w:r w:rsidR="001716DC" w:rsidRPr="0080573C">
        <w:rPr>
          <w:rFonts w:cs="David" w:hint="eastAsia"/>
          <w:b/>
          <w:bCs/>
          <w:sz w:val="24"/>
          <w:szCs w:val="24"/>
          <w:rtl/>
        </w:rPr>
        <w:t>ישראל</w:t>
      </w:r>
      <w:r w:rsidRPr="0080573C">
        <w:rPr>
          <w:rFonts w:cs="David"/>
          <w:b/>
          <w:bCs/>
          <w:sz w:val="24"/>
          <w:szCs w:val="24"/>
          <w:rtl/>
        </w:rPr>
        <w:t xml:space="preserve"> </w:t>
      </w:r>
      <w:r w:rsidR="007A7C38">
        <w:rPr>
          <w:rFonts w:cs="David" w:hint="cs"/>
          <w:b/>
          <w:bCs/>
          <w:sz w:val="24"/>
          <w:szCs w:val="24"/>
          <w:rtl/>
        </w:rPr>
        <w:t xml:space="preserve">בחן </w:t>
      </w:r>
      <w:r w:rsidR="00DB3236">
        <w:rPr>
          <w:rFonts w:cs="David" w:hint="cs"/>
          <w:b/>
          <w:bCs/>
          <w:sz w:val="24"/>
          <w:szCs w:val="24"/>
          <w:rtl/>
        </w:rPr>
        <w:t>את ה</w:t>
      </w:r>
      <w:r w:rsidR="007A7C38" w:rsidRPr="007A7C38">
        <w:rPr>
          <w:rFonts w:cs="David"/>
          <w:b/>
          <w:bCs/>
          <w:sz w:val="24"/>
          <w:szCs w:val="24"/>
          <w:rtl/>
        </w:rPr>
        <w:t>השפעה של הגידול במידע העומד לרשות המלווים, כתוצאה מהקמת מאגר האשראי</w:t>
      </w:r>
      <w:r w:rsidR="00DB3236">
        <w:rPr>
          <w:rFonts w:cs="David" w:hint="cs"/>
          <w:b/>
          <w:bCs/>
          <w:sz w:val="24"/>
          <w:szCs w:val="24"/>
          <w:rtl/>
        </w:rPr>
        <w:t>,</w:t>
      </w:r>
      <w:r w:rsidR="007A7C38" w:rsidRPr="007A7C38">
        <w:rPr>
          <w:rFonts w:cs="David"/>
          <w:b/>
          <w:bCs/>
          <w:sz w:val="24"/>
          <w:szCs w:val="24"/>
          <w:rtl/>
        </w:rPr>
        <w:t xml:space="preserve"> על קשרי הבנק עם לקוחותיו ובפרט על </w:t>
      </w:r>
      <w:r w:rsidR="00511E2D">
        <w:rPr>
          <w:rFonts w:cs="David" w:hint="cs"/>
          <w:b/>
          <w:bCs/>
          <w:sz w:val="24"/>
          <w:szCs w:val="24"/>
          <w:rtl/>
        </w:rPr>
        <w:t>תמחור אשראי צרכני.</w:t>
      </w:r>
      <w:r w:rsidR="007A7C38" w:rsidRPr="007A7C38">
        <w:rPr>
          <w:rFonts w:cs="David"/>
          <w:b/>
          <w:bCs/>
          <w:sz w:val="24"/>
          <w:szCs w:val="24"/>
          <w:rtl/>
        </w:rPr>
        <w:t> </w:t>
      </w:r>
    </w:p>
    <w:p w:rsidR="00DB3236" w:rsidRDefault="00DB3236" w:rsidP="00A5386E">
      <w:pPr>
        <w:pStyle w:val="a3"/>
        <w:numPr>
          <w:ilvl w:val="0"/>
          <w:numId w:val="1"/>
        </w:numPr>
        <w:bidi/>
        <w:spacing w:line="360" w:lineRule="auto"/>
        <w:ind w:left="714" w:hanging="357"/>
        <w:jc w:val="both"/>
        <w:rPr>
          <w:rFonts w:cs="David"/>
          <w:b/>
          <w:bCs/>
          <w:sz w:val="24"/>
          <w:szCs w:val="24"/>
        </w:rPr>
      </w:pPr>
      <w:r>
        <w:rPr>
          <w:rFonts w:cs="David" w:hint="cs"/>
          <w:b/>
          <w:bCs/>
          <w:sz w:val="24"/>
          <w:szCs w:val="24"/>
          <w:rtl/>
        </w:rPr>
        <w:t>נמצא</w:t>
      </w:r>
      <w:r w:rsidR="007A7C38" w:rsidRPr="00DB3236">
        <w:rPr>
          <w:rFonts w:cs="David"/>
          <w:b/>
          <w:bCs/>
          <w:sz w:val="24"/>
          <w:szCs w:val="24"/>
          <w:rtl/>
        </w:rPr>
        <w:t xml:space="preserve"> ש</w:t>
      </w:r>
      <w:r w:rsidR="00A5386E">
        <w:rPr>
          <w:rFonts w:cs="David" w:hint="cs"/>
          <w:b/>
          <w:bCs/>
          <w:sz w:val="24"/>
          <w:szCs w:val="24"/>
          <w:rtl/>
        </w:rPr>
        <w:t xml:space="preserve">לפני הקמת המאגר, </w:t>
      </w:r>
      <w:r w:rsidR="00A5386E">
        <w:rPr>
          <w:rFonts w:cs="David"/>
          <w:b/>
          <w:bCs/>
          <w:sz w:val="24"/>
          <w:szCs w:val="24"/>
          <w:rtl/>
        </w:rPr>
        <w:t xml:space="preserve">לקוחות </w:t>
      </w:r>
      <w:r w:rsidR="00A5386E">
        <w:rPr>
          <w:rFonts w:cs="David" w:hint="cs"/>
          <w:b/>
          <w:bCs/>
          <w:sz w:val="24"/>
          <w:szCs w:val="24"/>
          <w:rtl/>
        </w:rPr>
        <w:t>אשר ניהלו</w:t>
      </w:r>
      <w:r w:rsidR="00A5386E">
        <w:rPr>
          <w:rFonts w:cs="David"/>
          <w:b/>
          <w:bCs/>
          <w:sz w:val="24"/>
          <w:szCs w:val="24"/>
          <w:rtl/>
        </w:rPr>
        <w:t xml:space="preserve"> חשבון עו"ש בבנק </w:t>
      </w:r>
      <w:r w:rsidR="00A5386E">
        <w:rPr>
          <w:rFonts w:cs="David" w:hint="cs"/>
          <w:b/>
          <w:bCs/>
          <w:sz w:val="24"/>
          <w:szCs w:val="24"/>
          <w:rtl/>
        </w:rPr>
        <w:t>בודד</w:t>
      </w:r>
      <w:r w:rsidR="00511E2D">
        <w:rPr>
          <w:rFonts w:cs="David" w:hint="cs"/>
          <w:b/>
          <w:bCs/>
          <w:sz w:val="24"/>
          <w:szCs w:val="24"/>
          <w:rtl/>
        </w:rPr>
        <w:t xml:space="preserve"> (לקוחות בלעדיים)</w:t>
      </w:r>
      <w:r w:rsidR="00A5386E">
        <w:rPr>
          <w:rFonts w:cs="David" w:hint="cs"/>
          <w:b/>
          <w:bCs/>
          <w:sz w:val="24"/>
          <w:szCs w:val="24"/>
          <w:rtl/>
        </w:rPr>
        <w:t xml:space="preserve"> שילמו</w:t>
      </w:r>
      <w:r w:rsidR="007A7C38" w:rsidRPr="00DB3236">
        <w:rPr>
          <w:rFonts w:cs="David"/>
          <w:b/>
          <w:bCs/>
          <w:sz w:val="24"/>
          <w:szCs w:val="24"/>
          <w:rtl/>
        </w:rPr>
        <w:t xml:space="preserve"> </w:t>
      </w:r>
      <w:r w:rsidR="00A5386E">
        <w:rPr>
          <w:rFonts w:cs="David" w:hint="cs"/>
          <w:b/>
          <w:bCs/>
          <w:sz w:val="24"/>
          <w:szCs w:val="24"/>
          <w:rtl/>
        </w:rPr>
        <w:t>כ-0.4%</w:t>
      </w:r>
      <w:r w:rsidR="00A5386E">
        <w:rPr>
          <w:rFonts w:cs="David"/>
          <w:b/>
          <w:bCs/>
          <w:sz w:val="24"/>
          <w:szCs w:val="24"/>
          <w:rtl/>
        </w:rPr>
        <w:t xml:space="preserve"> יותר על אשראי צרכני </w:t>
      </w:r>
      <w:r w:rsidR="00A5386E">
        <w:rPr>
          <w:rFonts w:cs="David" w:hint="cs"/>
          <w:b/>
          <w:bCs/>
          <w:sz w:val="24"/>
          <w:szCs w:val="24"/>
          <w:rtl/>
        </w:rPr>
        <w:t>לעומת</w:t>
      </w:r>
      <w:r w:rsidR="00A5386E">
        <w:rPr>
          <w:rFonts w:cs="David"/>
          <w:b/>
          <w:bCs/>
          <w:sz w:val="24"/>
          <w:szCs w:val="24"/>
          <w:rtl/>
        </w:rPr>
        <w:t xml:space="preserve"> לקוחות </w:t>
      </w:r>
      <w:r w:rsidR="00A5386E">
        <w:rPr>
          <w:rFonts w:cs="David" w:hint="cs"/>
          <w:b/>
          <w:bCs/>
          <w:sz w:val="24"/>
          <w:szCs w:val="24"/>
          <w:rtl/>
        </w:rPr>
        <w:t xml:space="preserve">אשר ניהלו </w:t>
      </w:r>
      <w:r w:rsidR="007A7C38" w:rsidRPr="00DB3236">
        <w:rPr>
          <w:rFonts w:cs="David"/>
          <w:b/>
          <w:bCs/>
          <w:sz w:val="24"/>
          <w:szCs w:val="24"/>
          <w:rtl/>
        </w:rPr>
        <w:t xml:space="preserve">מספר חשבונות עו"ש בבנקים שונים. כמו כן,  לאחר הקמת מאגר נתוני אשראי פער זה בריביות הצטמצם </w:t>
      </w:r>
      <w:r>
        <w:rPr>
          <w:rFonts w:cs="David" w:hint="cs"/>
          <w:b/>
          <w:bCs/>
          <w:sz w:val="24"/>
          <w:szCs w:val="24"/>
          <w:rtl/>
        </w:rPr>
        <w:t>באופן משמעותי</w:t>
      </w:r>
      <w:r w:rsidR="007A7C38" w:rsidRPr="00DB3236">
        <w:rPr>
          <w:rFonts w:cs="David"/>
          <w:b/>
          <w:bCs/>
          <w:sz w:val="24"/>
          <w:szCs w:val="24"/>
          <w:rtl/>
        </w:rPr>
        <w:t>.</w:t>
      </w:r>
      <w:r w:rsidR="00511E2D">
        <w:rPr>
          <w:rFonts w:cs="David" w:hint="cs"/>
          <w:b/>
          <w:bCs/>
          <w:sz w:val="24"/>
          <w:szCs w:val="24"/>
          <w:rtl/>
        </w:rPr>
        <w:t xml:space="preserve"> </w:t>
      </w:r>
    </w:p>
    <w:p w:rsidR="00C9673B" w:rsidRPr="00B179AC" w:rsidRDefault="00C9673B" w:rsidP="00C9673B">
      <w:pPr>
        <w:pStyle w:val="a3"/>
        <w:numPr>
          <w:ilvl w:val="0"/>
          <w:numId w:val="1"/>
        </w:numPr>
        <w:bidi/>
        <w:spacing w:line="360" w:lineRule="auto"/>
        <w:ind w:left="714" w:hanging="357"/>
        <w:jc w:val="both"/>
        <w:rPr>
          <w:rFonts w:cs="David"/>
          <w:b/>
          <w:bCs/>
          <w:sz w:val="24"/>
          <w:szCs w:val="24"/>
        </w:rPr>
      </w:pPr>
      <w:r w:rsidRPr="00B179AC">
        <w:rPr>
          <w:rFonts w:ascii="David" w:hAnsi="David" w:cs="David"/>
          <w:b/>
          <w:bCs/>
          <w:sz w:val="24"/>
          <w:szCs w:val="24"/>
          <w:rtl/>
        </w:rPr>
        <w:t xml:space="preserve">נמצא </w:t>
      </w:r>
      <w:r w:rsidRPr="00B179AC">
        <w:rPr>
          <w:rFonts w:ascii="David" w:hAnsi="David" w:cs="David" w:hint="cs"/>
          <w:b/>
          <w:bCs/>
          <w:sz w:val="24"/>
          <w:szCs w:val="24"/>
          <w:rtl/>
        </w:rPr>
        <w:t xml:space="preserve">כאמור </w:t>
      </w:r>
      <w:r w:rsidRPr="00B179AC">
        <w:rPr>
          <w:rFonts w:ascii="David" w:hAnsi="David" w:cs="David"/>
          <w:b/>
          <w:bCs/>
          <w:sz w:val="24"/>
          <w:szCs w:val="24"/>
          <w:rtl/>
        </w:rPr>
        <w:t>ש</w:t>
      </w:r>
      <w:r w:rsidRPr="00B179AC">
        <w:rPr>
          <w:rFonts w:ascii="David" w:hAnsi="David" w:cs="David" w:hint="cs"/>
          <w:b/>
          <w:bCs/>
          <w:sz w:val="24"/>
          <w:szCs w:val="24"/>
          <w:rtl/>
        </w:rPr>
        <w:t>"</w:t>
      </w:r>
      <w:r w:rsidRPr="00B179AC">
        <w:rPr>
          <w:rFonts w:ascii="David" w:hAnsi="David" w:cs="David"/>
          <w:b/>
          <w:bCs/>
          <w:sz w:val="24"/>
          <w:szCs w:val="24"/>
          <w:rtl/>
        </w:rPr>
        <w:t>פרמיית-לקוח-שבוי</w:t>
      </w:r>
      <w:r w:rsidRPr="00B179AC">
        <w:rPr>
          <w:rFonts w:ascii="David" w:hAnsi="David" w:cs="David" w:hint="cs"/>
          <w:b/>
          <w:bCs/>
          <w:sz w:val="24"/>
          <w:szCs w:val="24"/>
          <w:rtl/>
        </w:rPr>
        <w:t>"</w:t>
      </w:r>
      <w:r w:rsidRPr="00B179AC">
        <w:rPr>
          <w:rFonts w:ascii="David" w:hAnsi="David" w:cs="David"/>
          <w:b/>
          <w:bCs/>
          <w:sz w:val="24"/>
          <w:szCs w:val="24"/>
          <w:rtl/>
        </w:rPr>
        <w:t xml:space="preserve"> שאותה שילמו לקוחות שנוטלים אשראי מבנק שבו הם מנהלים את חשבון </w:t>
      </w:r>
      <w:proofErr w:type="spellStart"/>
      <w:r w:rsidRPr="00B179AC">
        <w:rPr>
          <w:rFonts w:ascii="David" w:hAnsi="David" w:cs="David"/>
          <w:b/>
          <w:bCs/>
          <w:sz w:val="24"/>
          <w:szCs w:val="24"/>
          <w:rtl/>
        </w:rPr>
        <w:t>העו"ש</w:t>
      </w:r>
      <w:proofErr w:type="spellEnd"/>
      <w:r w:rsidRPr="00B179AC">
        <w:rPr>
          <w:rFonts w:ascii="David" w:hAnsi="David" w:cs="David"/>
          <w:b/>
          <w:bCs/>
          <w:sz w:val="24"/>
          <w:szCs w:val="24"/>
          <w:rtl/>
        </w:rPr>
        <w:t xml:space="preserve"> היחידי שלהם, הצטמצמה בכ-1/3 מ-0.3</w:t>
      </w:r>
      <w:r w:rsidRPr="00B179AC">
        <w:rPr>
          <w:rFonts w:ascii="David" w:hAnsi="David" w:cs="David" w:hint="cs"/>
          <w:b/>
          <w:bCs/>
          <w:sz w:val="24"/>
          <w:szCs w:val="24"/>
          <w:rtl/>
        </w:rPr>
        <w:t xml:space="preserve">7 בתקופה שלפני </w:t>
      </w:r>
      <w:r w:rsidRPr="00B179AC">
        <w:rPr>
          <w:rFonts w:ascii="David" w:hAnsi="David" w:cs="David"/>
          <w:b/>
          <w:bCs/>
          <w:sz w:val="24"/>
          <w:szCs w:val="24"/>
          <w:rtl/>
        </w:rPr>
        <w:t>הקמת המאגר לכ-</w:t>
      </w:r>
      <w:r w:rsidRPr="00B179AC">
        <w:rPr>
          <w:rFonts w:ascii="David" w:hAnsi="David" w:cs="David" w:hint="cs"/>
          <w:b/>
          <w:bCs/>
          <w:sz w:val="24"/>
          <w:szCs w:val="24"/>
          <w:rtl/>
        </w:rPr>
        <w:t xml:space="preserve">0.24 בתקופה שלאחר </w:t>
      </w:r>
      <w:r w:rsidRPr="00B179AC">
        <w:rPr>
          <w:rFonts w:ascii="David" w:hAnsi="David" w:cs="David"/>
          <w:b/>
          <w:bCs/>
          <w:sz w:val="24"/>
          <w:szCs w:val="24"/>
          <w:rtl/>
        </w:rPr>
        <w:t>הקמת המאגר</w:t>
      </w:r>
      <w:r w:rsidRPr="00B179AC">
        <w:rPr>
          <w:rFonts w:cs="David" w:hint="cs"/>
          <w:b/>
          <w:bCs/>
          <w:sz w:val="24"/>
          <w:szCs w:val="24"/>
          <w:rtl/>
        </w:rPr>
        <w:t>.</w:t>
      </w:r>
    </w:p>
    <w:p w:rsidR="007A7C38" w:rsidRPr="00DB3236" w:rsidRDefault="007A7C38" w:rsidP="00DB3236">
      <w:pPr>
        <w:pStyle w:val="a3"/>
        <w:numPr>
          <w:ilvl w:val="0"/>
          <w:numId w:val="1"/>
        </w:numPr>
        <w:bidi/>
        <w:spacing w:line="360" w:lineRule="auto"/>
        <w:ind w:left="714" w:hanging="357"/>
        <w:jc w:val="both"/>
        <w:rPr>
          <w:rFonts w:cs="David"/>
          <w:b/>
          <w:bCs/>
          <w:sz w:val="24"/>
          <w:szCs w:val="24"/>
        </w:rPr>
      </w:pPr>
      <w:r w:rsidRPr="00B179AC">
        <w:rPr>
          <w:rFonts w:cs="David"/>
          <w:b/>
          <w:bCs/>
          <w:sz w:val="24"/>
          <w:szCs w:val="24"/>
          <w:rtl/>
        </w:rPr>
        <w:t>ממצאים אלו מהווים אינדיקציה ראשונית לכך ששיתוף</w:t>
      </w:r>
      <w:r w:rsidRPr="00DB3236">
        <w:rPr>
          <w:rFonts w:cs="David"/>
          <w:b/>
          <w:bCs/>
          <w:sz w:val="24"/>
          <w:szCs w:val="24"/>
          <w:rtl/>
        </w:rPr>
        <w:t xml:space="preserve"> נתונים דרך מאגר האשראי פועל לצמצום הפערים במחיר האשראי דרך הקטנת בעיית הלקוח השבוי. זהו שימוש מחקרי ראשון במאגר האשראי.  </w:t>
      </w:r>
    </w:p>
    <w:p w:rsidR="0011469A" w:rsidRDefault="0011469A" w:rsidP="0011469A">
      <w:pPr>
        <w:bidi/>
        <w:spacing w:line="360" w:lineRule="auto"/>
        <w:jc w:val="both"/>
        <w:rPr>
          <w:rFonts w:cs="David"/>
          <w:sz w:val="24"/>
          <w:szCs w:val="24"/>
          <w:rtl/>
        </w:rPr>
      </w:pPr>
    </w:p>
    <w:p w:rsidR="00511E2D" w:rsidRDefault="00511E2D" w:rsidP="0011469A">
      <w:pPr>
        <w:bidi/>
        <w:spacing w:line="360" w:lineRule="auto"/>
        <w:jc w:val="both"/>
        <w:rPr>
          <w:rFonts w:cs="David"/>
          <w:sz w:val="24"/>
          <w:szCs w:val="24"/>
          <w:rtl/>
        </w:rPr>
      </w:pPr>
      <w:r w:rsidRPr="00511E2D">
        <w:rPr>
          <w:rFonts w:cs="David"/>
          <w:sz w:val="24"/>
          <w:szCs w:val="24"/>
          <w:rtl/>
        </w:rPr>
        <w:t xml:space="preserve">מחקר ראשון המבוסס על נתוני מאגר האשראי, בוחן את ההשפעה של הקמת מאגר האשראי על קשרי הבנק עם לקוחותיו ובפרט על מחירי האשראי. נמצא כי לאחר הקמת המאגר חלה ירידה בריביות על הלוואות צרכניות ללקוחות שניהלו חשבון עו"ש בבנק אחד ("לקוח שבוי") ביחס לקוחות המנהלים מספר חשבונות עו"ש בבנקים שונים (לקוחות שאינם שבויים). ממצאים אלו מהווים אינדיקציה ראשונית לכך ששיתוף נתונים דרך מאגר האשראי פועל לצמצום הפערים במחיר האשראי דרך הקטנת התלות של לקוחות בבנק בו הם מנהלים את חשבון </w:t>
      </w:r>
      <w:proofErr w:type="spellStart"/>
      <w:r w:rsidRPr="00511E2D">
        <w:rPr>
          <w:rFonts w:cs="David"/>
          <w:sz w:val="24"/>
          <w:szCs w:val="24"/>
          <w:rtl/>
        </w:rPr>
        <w:t>העו"ש</w:t>
      </w:r>
      <w:proofErr w:type="spellEnd"/>
      <w:r w:rsidRPr="00511E2D">
        <w:rPr>
          <w:rFonts w:cs="David"/>
          <w:sz w:val="24"/>
          <w:szCs w:val="24"/>
          <w:rtl/>
        </w:rPr>
        <w:t xml:space="preserve"> (בעיית הלקוח השבוי).</w:t>
      </w:r>
    </w:p>
    <w:p w:rsidR="00D240C9" w:rsidRPr="00E62D3F" w:rsidRDefault="00D240C9" w:rsidP="00D240C9">
      <w:pPr>
        <w:bidi/>
        <w:spacing w:line="360" w:lineRule="auto"/>
        <w:jc w:val="both"/>
        <w:rPr>
          <w:rFonts w:cs="David"/>
          <w:sz w:val="24"/>
          <w:szCs w:val="24"/>
          <w:rtl/>
        </w:rPr>
      </w:pPr>
      <w:r w:rsidRPr="00E62D3F">
        <w:rPr>
          <w:rFonts w:cs="David" w:hint="eastAsia"/>
          <w:sz w:val="24"/>
          <w:szCs w:val="24"/>
          <w:rtl/>
        </w:rPr>
        <w:t>באפריל</w:t>
      </w:r>
      <w:r w:rsidRPr="00E62D3F">
        <w:rPr>
          <w:rFonts w:cs="David"/>
          <w:sz w:val="24"/>
          <w:szCs w:val="24"/>
          <w:rtl/>
        </w:rPr>
        <w:t xml:space="preserve"> 2019 עלתה לאוויר מערכת נתוני אשראי </w:t>
      </w:r>
      <w:r w:rsidRPr="00E62D3F">
        <w:rPr>
          <w:rFonts w:cs="David" w:hint="eastAsia"/>
          <w:sz w:val="24"/>
          <w:szCs w:val="24"/>
          <w:rtl/>
        </w:rPr>
        <w:t>ש</w:t>
      </w:r>
      <w:r w:rsidRPr="00E62D3F">
        <w:rPr>
          <w:rFonts w:cs="David"/>
          <w:sz w:val="24"/>
          <w:szCs w:val="24"/>
          <w:rtl/>
        </w:rPr>
        <w:t>הוקמה על ידי בנק ישראל מתוקף חוק נתוני אשראי, התשע"ו-2016. המערכת אוספת נתונים לגבי התחייבויות האשראי של יחידים, אזרחי ותושבי ישראל, וכן לגבי אופן הפירעון של התחייבויות אלה</w:t>
      </w:r>
      <w:r w:rsidRPr="00E62D3F">
        <w:rPr>
          <w:rFonts w:cs="David"/>
          <w:sz w:val="24"/>
          <w:szCs w:val="24"/>
        </w:rPr>
        <w:t>.</w:t>
      </w:r>
      <w:r w:rsidRPr="00E62D3F">
        <w:rPr>
          <w:rFonts w:cs="David"/>
          <w:sz w:val="24"/>
          <w:szCs w:val="24"/>
          <w:rtl/>
        </w:rPr>
        <w:t xml:space="preserve"> הקמת המאגר </w:t>
      </w:r>
      <w:r w:rsidRPr="00E62D3F">
        <w:rPr>
          <w:rFonts w:cs="David" w:hint="eastAsia"/>
          <w:sz w:val="24"/>
          <w:szCs w:val="24"/>
          <w:rtl/>
        </w:rPr>
        <w:t>נועדה</w:t>
      </w:r>
      <w:r w:rsidRPr="00E62D3F">
        <w:rPr>
          <w:rFonts w:cs="David"/>
          <w:sz w:val="24"/>
          <w:szCs w:val="24"/>
          <w:rtl/>
        </w:rPr>
        <w:t xml:space="preserve"> לאפשר למתחרים </w:t>
      </w:r>
      <w:r w:rsidRPr="00E62D3F">
        <w:rPr>
          <w:rFonts w:cs="David" w:hint="eastAsia"/>
          <w:sz w:val="24"/>
          <w:szCs w:val="24"/>
          <w:rtl/>
        </w:rPr>
        <w:t>שונים</w:t>
      </w:r>
      <w:r w:rsidRPr="00E62D3F">
        <w:rPr>
          <w:rFonts w:cs="David"/>
          <w:sz w:val="24"/>
          <w:szCs w:val="24"/>
          <w:rtl/>
        </w:rPr>
        <w:t xml:space="preserve"> להתחרות באפקטיביות בתחום האשראי, </w:t>
      </w:r>
      <w:r w:rsidRPr="00E62D3F">
        <w:rPr>
          <w:rFonts w:cs="David" w:hint="eastAsia"/>
          <w:sz w:val="24"/>
          <w:szCs w:val="24"/>
          <w:rtl/>
        </w:rPr>
        <w:t>ולס</w:t>
      </w:r>
      <w:r w:rsidRPr="00E62D3F">
        <w:rPr>
          <w:rFonts w:cs="David"/>
          <w:sz w:val="24"/>
          <w:szCs w:val="24"/>
          <w:rtl/>
        </w:rPr>
        <w:t>ייע לצמצ</w:t>
      </w:r>
      <w:r w:rsidRPr="00E62D3F">
        <w:rPr>
          <w:rFonts w:cs="David" w:hint="eastAsia"/>
          <w:sz w:val="24"/>
          <w:szCs w:val="24"/>
          <w:rtl/>
        </w:rPr>
        <w:t>ו</w:t>
      </w:r>
      <w:r w:rsidRPr="00E62D3F">
        <w:rPr>
          <w:rFonts w:cs="David"/>
          <w:sz w:val="24"/>
          <w:szCs w:val="24"/>
          <w:rtl/>
        </w:rPr>
        <w:t xml:space="preserve">ם פערי המידע הקיימים בין ספק השירותים הפיננסיים </w:t>
      </w:r>
      <w:r w:rsidRPr="00E62D3F">
        <w:rPr>
          <w:rFonts w:cs="David"/>
          <w:sz w:val="24"/>
          <w:szCs w:val="24"/>
          <w:rtl/>
        </w:rPr>
        <w:lastRenderedPageBreak/>
        <w:t xml:space="preserve">העיקרי של הלקוח, בדרך כלל הבנק בו הוא מנהל את חשבון </w:t>
      </w:r>
      <w:proofErr w:type="spellStart"/>
      <w:r w:rsidRPr="00E62D3F">
        <w:rPr>
          <w:rFonts w:cs="David"/>
          <w:sz w:val="24"/>
          <w:szCs w:val="24"/>
          <w:rtl/>
        </w:rPr>
        <w:t>העו"ש</w:t>
      </w:r>
      <w:proofErr w:type="spellEnd"/>
      <w:r w:rsidRPr="00E62D3F">
        <w:rPr>
          <w:rFonts w:cs="David"/>
          <w:sz w:val="24"/>
          <w:szCs w:val="24"/>
          <w:rtl/>
        </w:rPr>
        <w:t xml:space="preserve"> שלו, לבין ספקים מתחרים. נתוני האשראי מאפשרים להפיק דוח אשראי אישי שעל בסיסו ניתן באמצעות שימוש במודלים סטטיסטיים לחשב דירוג אשראי עבור כל לקוח ולהעריך את ההסתברות שאותו לקוח יוכל לעמוד בהתחייבויותיו. </w:t>
      </w:r>
      <w:r w:rsidRPr="00E62D3F">
        <w:rPr>
          <w:rFonts w:cs="David" w:hint="eastAsia"/>
          <w:sz w:val="24"/>
          <w:szCs w:val="24"/>
          <w:rtl/>
        </w:rPr>
        <w:t>לאחר</w:t>
      </w:r>
      <w:r w:rsidRPr="00E62D3F">
        <w:rPr>
          <w:rFonts w:cs="David"/>
          <w:sz w:val="24"/>
          <w:szCs w:val="24"/>
          <w:rtl/>
        </w:rPr>
        <w:t xml:space="preserve"> הקמת המערכת, ובפרט קבלת דירוג אשראי, גם נותן אשראי שלא היה בקשר עם לקוח מסוים יכול לקבל עליו מידע (בהסכמתו) וכך להתחרות עליו באופן טוב יותר. בפרט, דירוג אשראי גבוה משקף סיכון </w:t>
      </w:r>
      <w:r w:rsidRPr="00E62D3F">
        <w:rPr>
          <w:rFonts w:cs="David" w:hint="eastAsia"/>
          <w:sz w:val="24"/>
          <w:szCs w:val="24"/>
          <w:rtl/>
        </w:rPr>
        <w:t>אשראי</w:t>
      </w:r>
      <w:r w:rsidRPr="00E62D3F">
        <w:rPr>
          <w:rFonts w:cs="David"/>
          <w:sz w:val="24"/>
          <w:szCs w:val="24"/>
          <w:rtl/>
        </w:rPr>
        <w:t xml:space="preserve"> נמוך עבור נותן האשראי ולכן יאפשר ללקוח לקבל תנאים </w:t>
      </w:r>
      <w:r w:rsidRPr="00E62D3F">
        <w:rPr>
          <w:rFonts w:cs="David" w:hint="eastAsia"/>
          <w:sz w:val="24"/>
          <w:szCs w:val="24"/>
          <w:rtl/>
        </w:rPr>
        <w:t>יחסית</w:t>
      </w:r>
      <w:r w:rsidRPr="00E62D3F">
        <w:rPr>
          <w:rFonts w:cs="David"/>
          <w:sz w:val="24"/>
          <w:szCs w:val="24"/>
          <w:rtl/>
        </w:rPr>
        <w:t xml:space="preserve"> טובים וריביות נמוכות יותר</w:t>
      </w:r>
      <w:r w:rsidRPr="00E62D3F">
        <w:rPr>
          <w:rFonts w:cs="David"/>
          <w:sz w:val="24"/>
          <w:szCs w:val="24"/>
        </w:rPr>
        <w:t>.</w:t>
      </w:r>
      <w:r w:rsidRPr="00E62D3F">
        <w:rPr>
          <w:rFonts w:cs="David"/>
          <w:sz w:val="24"/>
          <w:szCs w:val="24"/>
          <w:rtl/>
        </w:rPr>
        <w:t xml:space="preserve"> </w:t>
      </w:r>
    </w:p>
    <w:p w:rsidR="002E38FB" w:rsidRPr="009760E4" w:rsidRDefault="002E38FB" w:rsidP="00A52D2E">
      <w:pPr>
        <w:bidi/>
        <w:spacing w:line="360" w:lineRule="auto"/>
        <w:jc w:val="both"/>
        <w:rPr>
          <w:rFonts w:ascii="David" w:hAnsi="David" w:cs="David"/>
          <w:sz w:val="24"/>
          <w:szCs w:val="24"/>
          <w:rtl/>
        </w:rPr>
      </w:pPr>
      <w:r w:rsidRPr="009760E4">
        <w:rPr>
          <w:rFonts w:ascii="David" w:hAnsi="David" w:cs="David"/>
          <w:sz w:val="24"/>
          <w:szCs w:val="24"/>
          <w:rtl/>
        </w:rPr>
        <w:t xml:space="preserve">הספרות מצביעה על יתרון משמעותי של תאגיד הבנקאי-האם, דבר שעשוי לאפשר לו להציע אשראי בתנאים טובים יותר מתאגידים בנקאים אחרים. הסיבה לכך נועצה בבעיית המידע הא-סימטרי </w:t>
      </w:r>
      <w:proofErr w:type="spellStart"/>
      <w:r w:rsidRPr="009760E4">
        <w:rPr>
          <w:rFonts w:ascii="David" w:hAnsi="David" w:cs="David"/>
          <w:sz w:val="24"/>
          <w:szCs w:val="24"/>
          <w:rtl/>
        </w:rPr>
        <w:t>שעימה</w:t>
      </w:r>
      <w:proofErr w:type="spellEnd"/>
      <w:r w:rsidRPr="009760E4">
        <w:rPr>
          <w:rFonts w:ascii="David" w:hAnsi="David" w:cs="David"/>
          <w:sz w:val="24"/>
          <w:szCs w:val="24"/>
          <w:rtl/>
        </w:rPr>
        <w:t xml:space="preserve"> מתמודדים </w:t>
      </w:r>
      <w:proofErr w:type="spellStart"/>
      <w:r w:rsidRPr="009760E4">
        <w:rPr>
          <w:rFonts w:ascii="David" w:hAnsi="David" w:cs="David"/>
          <w:sz w:val="24"/>
          <w:szCs w:val="24"/>
          <w:rtl/>
        </w:rPr>
        <w:t>מעמידי</w:t>
      </w:r>
      <w:proofErr w:type="spellEnd"/>
      <w:r w:rsidRPr="009760E4">
        <w:rPr>
          <w:rFonts w:ascii="David" w:hAnsi="David" w:cs="David"/>
          <w:sz w:val="24"/>
          <w:szCs w:val="24"/>
          <w:rtl/>
        </w:rPr>
        <w:t xml:space="preserve"> אשראי: מעמיד האשראי לא יודע בוודאות האם הלווה יעמוד בהחזר התשלומים ועליו לקבוע שיעור ריבית בהתבסס על הערכתו את תוחלת ההחזר. ההערכה של מעמיד האשראי מבוססת על נתונים חלקיים בלבד, כשהנחת המוצא היא שללקוח יש ידיעה טובה יותר לגבי הסיכוי שיעמוד בהחזרים (לדוגמה אם במצב חירום יפנה למקור משפחתי לשם מימון). בעיית המידע הא-סימטרי עלול להוביל להקצאה לא יעילה של אשראי ובפרט לקיצוב אשראי: מצב שבו יש </w:t>
      </w:r>
      <w:proofErr w:type="spellStart"/>
      <w:r w:rsidRPr="009760E4">
        <w:rPr>
          <w:rFonts w:ascii="David" w:hAnsi="David" w:cs="David"/>
          <w:sz w:val="24"/>
          <w:szCs w:val="24"/>
          <w:rtl/>
        </w:rPr>
        <w:t>נוטלי</w:t>
      </w:r>
      <w:proofErr w:type="spellEnd"/>
      <w:r w:rsidRPr="009760E4">
        <w:rPr>
          <w:rFonts w:ascii="David" w:hAnsi="David" w:cs="David"/>
          <w:sz w:val="24"/>
          <w:szCs w:val="24"/>
          <w:rtl/>
        </w:rPr>
        <w:t xml:space="preserve"> אשראי שלא מקבלים אשראי, הגם שיש להם תוחלת החזר חיובית. </w:t>
      </w:r>
    </w:p>
    <w:p w:rsidR="002E38FB" w:rsidRPr="009760E4" w:rsidRDefault="002E38FB" w:rsidP="000309DB">
      <w:pPr>
        <w:bidi/>
        <w:spacing w:line="360" w:lineRule="auto"/>
        <w:jc w:val="both"/>
        <w:rPr>
          <w:rFonts w:ascii="David" w:hAnsi="David" w:cs="David"/>
          <w:sz w:val="24"/>
          <w:szCs w:val="24"/>
          <w:rtl/>
        </w:rPr>
      </w:pPr>
      <w:r w:rsidRPr="009760E4">
        <w:rPr>
          <w:rFonts w:ascii="David" w:hAnsi="David" w:cs="David"/>
          <w:sz w:val="24"/>
          <w:szCs w:val="24"/>
          <w:rtl/>
        </w:rPr>
        <w:t xml:space="preserve">כדי להתמודד עם בעיית המידע הא-סימטרי, אוספים </w:t>
      </w:r>
      <w:proofErr w:type="spellStart"/>
      <w:r w:rsidRPr="009760E4">
        <w:rPr>
          <w:rFonts w:ascii="David" w:hAnsi="David" w:cs="David"/>
          <w:sz w:val="24"/>
          <w:szCs w:val="24"/>
          <w:rtl/>
        </w:rPr>
        <w:t>מעמידי</w:t>
      </w:r>
      <w:proofErr w:type="spellEnd"/>
      <w:r w:rsidRPr="009760E4">
        <w:rPr>
          <w:rFonts w:ascii="David" w:hAnsi="David" w:cs="David"/>
          <w:sz w:val="24"/>
          <w:szCs w:val="24"/>
          <w:rtl/>
        </w:rPr>
        <w:t xml:space="preserve"> האשראי מידע על </w:t>
      </w:r>
      <w:proofErr w:type="spellStart"/>
      <w:r w:rsidRPr="009760E4">
        <w:rPr>
          <w:rFonts w:ascii="David" w:hAnsi="David" w:cs="David"/>
          <w:sz w:val="24"/>
          <w:szCs w:val="24"/>
          <w:rtl/>
        </w:rPr>
        <w:t>נוטלי</w:t>
      </w:r>
      <w:proofErr w:type="spellEnd"/>
      <w:r w:rsidRPr="009760E4">
        <w:rPr>
          <w:rFonts w:ascii="David" w:hAnsi="David" w:cs="David"/>
          <w:sz w:val="24"/>
          <w:szCs w:val="24"/>
          <w:rtl/>
        </w:rPr>
        <w:t xml:space="preserve"> האשראי. אחת הדרכים לאיסוף מידע היא דרך קיומו של קשר ארוך, מקיף והדוק עם הלקוחות (</w:t>
      </w:r>
      <w:r w:rsidRPr="009760E4">
        <w:rPr>
          <w:rFonts w:ascii="David" w:hAnsi="David" w:cs="David"/>
          <w:sz w:val="24"/>
          <w:szCs w:val="24"/>
        </w:rPr>
        <w:t>Relationship Banking</w:t>
      </w:r>
      <w:r w:rsidRPr="009760E4">
        <w:rPr>
          <w:rFonts w:ascii="David" w:hAnsi="David" w:cs="David"/>
          <w:sz w:val="24"/>
          <w:szCs w:val="24"/>
          <w:rtl/>
        </w:rPr>
        <w:t xml:space="preserve">). הדבר מקנה לבנק-האם, בעל המידע הרב, יתרון על פני בנקים אחרים והדבר עשוי להטיב הן עם בנק-האם (מעמיד האשראי) והן עם </w:t>
      </w:r>
      <w:proofErr w:type="spellStart"/>
      <w:r w:rsidRPr="009760E4">
        <w:rPr>
          <w:rFonts w:ascii="David" w:hAnsi="David" w:cs="David"/>
          <w:sz w:val="24"/>
          <w:szCs w:val="24"/>
          <w:rtl/>
        </w:rPr>
        <w:t>נוטלי</w:t>
      </w:r>
      <w:proofErr w:type="spellEnd"/>
      <w:r w:rsidRPr="009760E4">
        <w:rPr>
          <w:rFonts w:ascii="David" w:hAnsi="David" w:cs="David"/>
          <w:sz w:val="24"/>
          <w:szCs w:val="24"/>
          <w:rtl/>
        </w:rPr>
        <w:t xml:space="preserve"> האשראי</w:t>
      </w:r>
      <w:r w:rsidRPr="009760E4">
        <w:rPr>
          <w:rFonts w:ascii="David" w:hAnsi="David" w:cs="David"/>
          <w:sz w:val="24"/>
          <w:szCs w:val="24"/>
        </w:rPr>
        <w:t>:</w:t>
      </w:r>
      <w:r w:rsidRPr="009760E4">
        <w:rPr>
          <w:rFonts w:ascii="David" w:hAnsi="David" w:cs="David"/>
          <w:sz w:val="24"/>
          <w:szCs w:val="24"/>
          <w:rtl/>
        </w:rPr>
        <w:t xml:space="preserve"> מעמיד האשראי ייהנה מהחזרי אשראי טובים יותר ונוטל האשראי יקבל הצעות מושכות יותר</w:t>
      </w:r>
      <w:r w:rsidR="000309DB">
        <w:rPr>
          <w:rFonts w:ascii="David" w:hAnsi="David" w:cs="David"/>
          <w:sz w:val="24"/>
          <w:szCs w:val="24"/>
          <w:rtl/>
        </w:rPr>
        <w:t>. מצד שני</w:t>
      </w:r>
      <w:r w:rsidRPr="009760E4">
        <w:rPr>
          <w:rFonts w:ascii="David" w:hAnsi="David" w:cs="David"/>
          <w:sz w:val="24"/>
          <w:szCs w:val="24"/>
          <w:rtl/>
        </w:rPr>
        <w:t xml:space="preserve">, עלול קיומו של קשר חזק כזה להוביל לפרמיית-לקוח-שבוי: התאגיד הבנקאי יודע </w:t>
      </w:r>
      <w:proofErr w:type="spellStart"/>
      <w:r w:rsidRPr="009760E4">
        <w:rPr>
          <w:rFonts w:ascii="David" w:hAnsi="David" w:cs="David"/>
          <w:sz w:val="24"/>
          <w:szCs w:val="24"/>
          <w:rtl/>
        </w:rPr>
        <w:t>שנוטלי</w:t>
      </w:r>
      <w:proofErr w:type="spellEnd"/>
      <w:r w:rsidRPr="009760E4">
        <w:rPr>
          <w:rFonts w:ascii="David" w:hAnsi="David" w:cs="David"/>
          <w:sz w:val="24"/>
          <w:szCs w:val="24"/>
          <w:rtl/>
        </w:rPr>
        <w:t xml:space="preserve"> האשראי מתקשים לעבור לתאגיד בנקאי אחר ולכן יכול לגבות פרמיה עודפת מלקוחותיו. </w:t>
      </w:r>
    </w:p>
    <w:p w:rsidR="0011469A" w:rsidRPr="0011469A" w:rsidRDefault="002E38FB" w:rsidP="000E757D">
      <w:pPr>
        <w:bidi/>
        <w:spacing w:line="360" w:lineRule="auto"/>
        <w:jc w:val="both"/>
        <w:rPr>
          <w:rFonts w:ascii="David" w:hAnsi="David" w:cs="David"/>
          <w:sz w:val="24"/>
          <w:szCs w:val="24"/>
          <w:rtl/>
        </w:rPr>
      </w:pPr>
      <w:r w:rsidRPr="009760E4">
        <w:rPr>
          <w:rFonts w:ascii="David" w:hAnsi="David" w:cs="David"/>
          <w:sz w:val="24"/>
          <w:szCs w:val="24"/>
          <w:rtl/>
        </w:rPr>
        <w:t xml:space="preserve">מאגרי נתונים, כדוגמת מאגר נתוני אשראי, הם דרך אחרת להתמודד עם בעיית המידע הא-סימטרי. בהתאם לכך נצפה שכל הבדל שקיים בתנאי האשראי בין </w:t>
      </w:r>
      <w:proofErr w:type="spellStart"/>
      <w:r w:rsidRPr="009760E4">
        <w:rPr>
          <w:rFonts w:ascii="David" w:hAnsi="David" w:cs="David"/>
          <w:sz w:val="24"/>
          <w:szCs w:val="24"/>
          <w:rtl/>
        </w:rPr>
        <w:t>נוטלי</w:t>
      </w:r>
      <w:proofErr w:type="spellEnd"/>
      <w:r w:rsidRPr="009760E4">
        <w:rPr>
          <w:rFonts w:ascii="David" w:hAnsi="David" w:cs="David"/>
          <w:sz w:val="24"/>
          <w:szCs w:val="24"/>
          <w:rtl/>
        </w:rPr>
        <w:t xml:space="preserve"> אשראי עם קשר חזק לבין </w:t>
      </w:r>
      <w:proofErr w:type="spellStart"/>
      <w:r w:rsidRPr="009760E4">
        <w:rPr>
          <w:rFonts w:ascii="David" w:hAnsi="David" w:cs="David"/>
          <w:sz w:val="24"/>
          <w:szCs w:val="24"/>
          <w:rtl/>
        </w:rPr>
        <w:t>נוטלי</w:t>
      </w:r>
      <w:proofErr w:type="spellEnd"/>
      <w:r w:rsidRPr="009760E4">
        <w:rPr>
          <w:rFonts w:ascii="David" w:hAnsi="David" w:cs="David"/>
          <w:sz w:val="24"/>
          <w:szCs w:val="24"/>
          <w:rtl/>
        </w:rPr>
        <w:t xml:space="preserve"> אשראי עם קשר חלש, יקטן לאחר הקמת המאגר.</w:t>
      </w:r>
      <w:r w:rsidR="00D54933">
        <w:rPr>
          <w:rFonts w:ascii="David" w:hAnsi="David" w:cs="David" w:hint="cs"/>
          <w:sz w:val="24"/>
          <w:szCs w:val="24"/>
          <w:rtl/>
        </w:rPr>
        <w:t xml:space="preserve"> </w:t>
      </w:r>
      <w:r w:rsidR="00D54933" w:rsidRPr="000309DB">
        <w:rPr>
          <w:rFonts w:ascii="David" w:hAnsi="David" w:cs="David" w:hint="cs"/>
          <w:sz w:val="24"/>
          <w:szCs w:val="24"/>
          <w:rtl/>
        </w:rPr>
        <w:t>כ</w:t>
      </w:r>
      <w:r w:rsidR="00AA3E68" w:rsidRPr="000309DB">
        <w:rPr>
          <w:rFonts w:ascii="David" w:hAnsi="David" w:cs="David" w:hint="cs"/>
          <w:sz w:val="24"/>
          <w:szCs w:val="24"/>
          <w:rtl/>
        </w:rPr>
        <w:t>די לבחון את ההשערות האמורות אמד</w:t>
      </w:r>
      <w:r w:rsidR="00D54933" w:rsidRPr="000309DB">
        <w:rPr>
          <w:rFonts w:ascii="David" w:hAnsi="David" w:cs="David" w:hint="cs"/>
          <w:sz w:val="24"/>
          <w:szCs w:val="24"/>
          <w:rtl/>
        </w:rPr>
        <w:t xml:space="preserve">ו החוקרים </w:t>
      </w:r>
      <w:r w:rsidR="00AA3E68" w:rsidRPr="000309DB">
        <w:rPr>
          <w:rFonts w:ascii="David" w:hAnsi="David" w:cs="David" w:hint="cs"/>
          <w:sz w:val="24"/>
          <w:szCs w:val="24"/>
          <w:rtl/>
        </w:rPr>
        <w:t xml:space="preserve">כיצד השפיע המאגר על </w:t>
      </w:r>
      <w:r w:rsidR="00D54933" w:rsidRPr="000309DB">
        <w:rPr>
          <w:rFonts w:ascii="David" w:hAnsi="David" w:cs="David" w:hint="cs"/>
          <w:sz w:val="24"/>
          <w:szCs w:val="24"/>
          <w:rtl/>
        </w:rPr>
        <w:t>פער</w:t>
      </w:r>
      <w:r w:rsidR="00AA3E68" w:rsidRPr="000309DB">
        <w:rPr>
          <w:rFonts w:ascii="David" w:hAnsi="David" w:cs="David" w:hint="cs"/>
          <w:sz w:val="24"/>
          <w:szCs w:val="24"/>
          <w:rtl/>
        </w:rPr>
        <w:t xml:space="preserve"> הריביות</w:t>
      </w:r>
      <w:r w:rsidR="00D54933" w:rsidRPr="000309DB">
        <w:rPr>
          <w:rFonts w:ascii="David" w:hAnsi="David" w:cs="David" w:hint="cs"/>
          <w:sz w:val="24"/>
          <w:szCs w:val="24"/>
          <w:rtl/>
        </w:rPr>
        <w:t xml:space="preserve"> בין לקוחות</w:t>
      </w:r>
      <w:r w:rsidR="00AA3E68" w:rsidRPr="000309DB">
        <w:rPr>
          <w:rFonts w:ascii="David" w:hAnsi="David" w:cs="David" w:hint="cs"/>
          <w:sz w:val="24"/>
          <w:szCs w:val="24"/>
          <w:rtl/>
        </w:rPr>
        <w:t xml:space="preserve"> בעלי חשבון עו"ש בודד ללקוחות עם מספר חשבונות עו"ש</w:t>
      </w:r>
      <w:r w:rsidR="0011469A">
        <w:rPr>
          <w:rFonts w:ascii="David" w:hAnsi="David" w:cs="David" w:hint="cs"/>
          <w:sz w:val="24"/>
          <w:szCs w:val="24"/>
          <w:rtl/>
        </w:rPr>
        <w:t xml:space="preserve"> </w:t>
      </w:r>
      <w:r w:rsidR="00AA3E68">
        <w:rPr>
          <w:rFonts w:ascii="David" w:hAnsi="David" w:cs="David" w:hint="cs"/>
          <w:sz w:val="24"/>
          <w:szCs w:val="24"/>
          <w:rtl/>
        </w:rPr>
        <w:t>בעזרת ניתוח</w:t>
      </w:r>
      <w:r w:rsidR="00D54933">
        <w:rPr>
          <w:rFonts w:ascii="David" w:hAnsi="David" w:cs="David" w:hint="cs"/>
          <w:sz w:val="24"/>
          <w:szCs w:val="24"/>
          <w:rtl/>
        </w:rPr>
        <w:t xml:space="preserve"> </w:t>
      </w:r>
      <w:proofErr w:type="spellStart"/>
      <w:r w:rsidR="00D54933">
        <w:rPr>
          <w:rFonts w:ascii="David" w:hAnsi="David" w:cs="David" w:hint="cs"/>
          <w:sz w:val="24"/>
          <w:szCs w:val="24"/>
          <w:rtl/>
        </w:rPr>
        <w:t>אקונומטרי</w:t>
      </w:r>
      <w:proofErr w:type="spellEnd"/>
      <w:r w:rsidR="00D54933">
        <w:rPr>
          <w:rFonts w:ascii="David" w:hAnsi="David" w:cs="David" w:hint="cs"/>
          <w:sz w:val="24"/>
          <w:szCs w:val="24"/>
          <w:rtl/>
        </w:rPr>
        <w:t xml:space="preserve"> המתבסס על </w:t>
      </w:r>
      <w:r w:rsidR="00C46533">
        <w:rPr>
          <w:rFonts w:ascii="David" w:hAnsi="David" w:cs="David" w:hint="cs"/>
          <w:sz w:val="24"/>
          <w:szCs w:val="24"/>
          <w:rtl/>
        </w:rPr>
        <w:t xml:space="preserve">אמידת </w:t>
      </w:r>
      <w:r w:rsidR="00D54933">
        <w:rPr>
          <w:rFonts w:ascii="David" w:hAnsi="David" w:cs="David"/>
          <w:sz w:val="24"/>
          <w:szCs w:val="24"/>
        </w:rPr>
        <w:t>Difference-in-Difference</w:t>
      </w:r>
      <w:r w:rsidR="00D54933">
        <w:rPr>
          <w:rFonts w:ascii="David" w:hAnsi="David" w:cs="David" w:hint="cs"/>
          <w:sz w:val="24"/>
          <w:szCs w:val="24"/>
          <w:rtl/>
        </w:rPr>
        <w:t xml:space="preserve"> (</w:t>
      </w:r>
      <w:r w:rsidR="00D54933">
        <w:rPr>
          <w:rFonts w:ascii="David" w:hAnsi="David" w:cs="David" w:hint="cs"/>
          <w:sz w:val="24"/>
          <w:szCs w:val="24"/>
        </w:rPr>
        <w:t>DID</w:t>
      </w:r>
      <w:r w:rsidR="00AA3E68">
        <w:rPr>
          <w:rFonts w:ascii="David" w:hAnsi="David" w:cs="David" w:hint="cs"/>
          <w:sz w:val="24"/>
          <w:szCs w:val="24"/>
          <w:rtl/>
        </w:rPr>
        <w:t xml:space="preserve">). </w:t>
      </w:r>
      <w:r w:rsidR="0011469A">
        <w:rPr>
          <w:rFonts w:ascii="David" w:hAnsi="David" w:cs="David"/>
          <w:sz w:val="24"/>
          <w:szCs w:val="24"/>
          <w:rtl/>
        </w:rPr>
        <w:t>בהתאם</w:t>
      </w:r>
      <w:r w:rsidR="00AA3E68">
        <w:rPr>
          <w:rFonts w:ascii="David" w:hAnsi="David" w:cs="David" w:hint="cs"/>
          <w:sz w:val="24"/>
          <w:szCs w:val="24"/>
          <w:rtl/>
        </w:rPr>
        <w:t xml:space="preserve"> להשערת המחקר</w:t>
      </w:r>
      <w:r w:rsidR="0011469A">
        <w:rPr>
          <w:rFonts w:ascii="David" w:hAnsi="David" w:cs="David" w:hint="cs"/>
          <w:sz w:val="24"/>
          <w:szCs w:val="24"/>
          <w:rtl/>
        </w:rPr>
        <w:t xml:space="preserve"> </w:t>
      </w:r>
      <w:r w:rsidRPr="009760E4">
        <w:rPr>
          <w:rFonts w:ascii="David" w:hAnsi="David" w:cs="David"/>
          <w:sz w:val="24"/>
          <w:szCs w:val="24"/>
          <w:rtl/>
        </w:rPr>
        <w:t xml:space="preserve">נמצא שפרמיית-לקוח-שבוי שאותה שילמו לקוחות שנוטלים אשראי מבנק שבו הם מנהלים את חשבון </w:t>
      </w:r>
      <w:proofErr w:type="spellStart"/>
      <w:r w:rsidRPr="009760E4">
        <w:rPr>
          <w:rFonts w:ascii="David" w:hAnsi="David" w:cs="David"/>
          <w:sz w:val="24"/>
          <w:szCs w:val="24"/>
          <w:rtl/>
        </w:rPr>
        <w:t>העו"ש</w:t>
      </w:r>
      <w:proofErr w:type="spellEnd"/>
      <w:r w:rsidRPr="009760E4">
        <w:rPr>
          <w:rFonts w:ascii="David" w:hAnsi="David" w:cs="David"/>
          <w:sz w:val="24"/>
          <w:szCs w:val="24"/>
          <w:rtl/>
        </w:rPr>
        <w:t xml:space="preserve"> היחידי שלהם, הצטמצמה בכ-1/3 מ-</w:t>
      </w:r>
      <w:r w:rsidR="0011469A">
        <w:rPr>
          <w:rFonts w:ascii="David" w:hAnsi="David" w:cs="David"/>
          <w:sz w:val="24"/>
          <w:szCs w:val="24"/>
          <w:rtl/>
        </w:rPr>
        <w:t>0.3</w:t>
      </w:r>
      <w:r w:rsidR="0011469A">
        <w:rPr>
          <w:rFonts w:ascii="David" w:hAnsi="David" w:cs="David" w:hint="cs"/>
          <w:sz w:val="24"/>
          <w:szCs w:val="24"/>
          <w:rtl/>
        </w:rPr>
        <w:t xml:space="preserve">7 </w:t>
      </w:r>
      <w:r w:rsidR="0046641E">
        <w:rPr>
          <w:rFonts w:ascii="David" w:hAnsi="David" w:cs="David" w:hint="cs"/>
          <w:sz w:val="24"/>
          <w:szCs w:val="24"/>
          <w:rtl/>
        </w:rPr>
        <w:t xml:space="preserve">בתקופה שלפני </w:t>
      </w:r>
      <w:r w:rsidRPr="009760E4">
        <w:rPr>
          <w:rFonts w:ascii="David" w:hAnsi="David" w:cs="David"/>
          <w:sz w:val="24"/>
          <w:szCs w:val="24"/>
          <w:rtl/>
        </w:rPr>
        <w:t>הקמת המאגר</w:t>
      </w:r>
      <w:r w:rsidR="0046641E">
        <w:rPr>
          <w:rFonts w:ascii="David" w:hAnsi="David" w:cs="David" w:hint="cs"/>
          <w:sz w:val="24"/>
          <w:szCs w:val="24"/>
          <w:rtl/>
        </w:rPr>
        <w:t xml:space="preserve"> (אוגוסט 2018 עד מרץ 2019)</w:t>
      </w:r>
      <w:r w:rsidRPr="009760E4">
        <w:rPr>
          <w:rFonts w:ascii="David" w:hAnsi="David" w:cs="David"/>
          <w:sz w:val="24"/>
          <w:szCs w:val="24"/>
          <w:rtl/>
        </w:rPr>
        <w:t xml:space="preserve"> לכ-</w:t>
      </w:r>
      <w:r w:rsidR="0046641E">
        <w:rPr>
          <w:rFonts w:ascii="David" w:hAnsi="David" w:cs="David" w:hint="cs"/>
          <w:sz w:val="24"/>
          <w:szCs w:val="24"/>
          <w:rtl/>
        </w:rPr>
        <w:t xml:space="preserve">0.24 בתקופה שלאחר </w:t>
      </w:r>
      <w:r w:rsidR="0046641E" w:rsidRPr="009760E4">
        <w:rPr>
          <w:rFonts w:ascii="David" w:hAnsi="David" w:cs="David"/>
          <w:sz w:val="24"/>
          <w:szCs w:val="24"/>
          <w:rtl/>
        </w:rPr>
        <w:t>הקמת המאגר</w:t>
      </w:r>
      <w:r w:rsidR="0046641E">
        <w:rPr>
          <w:rFonts w:ascii="David" w:hAnsi="David" w:cs="David" w:hint="cs"/>
          <w:sz w:val="24"/>
          <w:szCs w:val="24"/>
          <w:rtl/>
        </w:rPr>
        <w:t xml:space="preserve"> (אפריל 2019 עד פברואר 2020).</w:t>
      </w:r>
    </w:p>
    <w:tbl>
      <w:tblPr>
        <w:tblStyle w:val="a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2E38FB" w:rsidTr="00E62D3F">
        <w:trPr>
          <w:jc w:val="center"/>
        </w:trPr>
        <w:tc>
          <w:tcPr>
            <w:tcW w:w="6374" w:type="dxa"/>
          </w:tcPr>
          <w:p w:rsidR="002E38FB" w:rsidRPr="007850F2" w:rsidRDefault="002E38FB" w:rsidP="00671905">
            <w:pPr>
              <w:bidi/>
              <w:jc w:val="center"/>
              <w:rPr>
                <w:rFonts w:ascii="David" w:hAnsi="David"/>
                <w:b/>
                <w:bCs/>
                <w:sz w:val="24"/>
                <w:rtl/>
              </w:rPr>
            </w:pPr>
          </w:p>
        </w:tc>
      </w:tr>
    </w:tbl>
    <w:p w:rsidR="000309DB" w:rsidRPr="009760E4" w:rsidRDefault="009760E4" w:rsidP="00E62D3F">
      <w:pPr>
        <w:bidi/>
        <w:spacing w:line="360" w:lineRule="auto"/>
        <w:jc w:val="both"/>
        <w:rPr>
          <w:rFonts w:ascii="David" w:hAnsi="David" w:cs="David"/>
          <w:sz w:val="24"/>
          <w:szCs w:val="24"/>
          <w:rtl/>
        </w:rPr>
      </w:pPr>
      <w:r w:rsidRPr="009760E4">
        <w:rPr>
          <w:rFonts w:ascii="David" w:hAnsi="David" w:cs="David"/>
          <w:sz w:val="24"/>
          <w:szCs w:val="24"/>
          <w:rtl/>
        </w:rPr>
        <w:t xml:space="preserve">איור </w:t>
      </w:r>
      <w:r w:rsidR="00671905">
        <w:rPr>
          <w:rFonts w:ascii="David" w:hAnsi="David" w:cs="David" w:hint="cs"/>
          <w:sz w:val="24"/>
          <w:szCs w:val="24"/>
          <w:rtl/>
        </w:rPr>
        <w:t>1</w:t>
      </w:r>
      <w:r w:rsidR="00671905" w:rsidRPr="009760E4">
        <w:rPr>
          <w:rFonts w:ascii="David" w:hAnsi="David" w:cs="David"/>
          <w:sz w:val="24"/>
          <w:szCs w:val="24"/>
          <w:rtl/>
        </w:rPr>
        <w:t xml:space="preserve"> </w:t>
      </w:r>
      <w:r w:rsidR="002E38FB" w:rsidRPr="009760E4">
        <w:rPr>
          <w:rFonts w:ascii="David" w:hAnsi="David" w:cs="David"/>
          <w:sz w:val="24"/>
          <w:szCs w:val="24"/>
          <w:rtl/>
        </w:rPr>
        <w:t xml:space="preserve">מציג את תוצאות האמידה של פרמיית-לקוח-שבוי על פני זמן. </w:t>
      </w:r>
      <w:r w:rsidR="00671905">
        <w:rPr>
          <w:rFonts w:ascii="David" w:hAnsi="David" w:cs="David" w:hint="cs"/>
          <w:sz w:val="24"/>
          <w:szCs w:val="24"/>
          <w:rtl/>
        </w:rPr>
        <w:t xml:space="preserve"> </w:t>
      </w:r>
      <w:r w:rsidR="00D240C9">
        <w:rPr>
          <w:rFonts w:ascii="David" w:hAnsi="David" w:cs="David" w:hint="cs"/>
          <w:sz w:val="24"/>
          <w:szCs w:val="24"/>
          <w:rtl/>
        </w:rPr>
        <w:t>על הציר ה</w:t>
      </w:r>
      <w:r w:rsidR="00911218">
        <w:rPr>
          <w:rFonts w:ascii="David" w:hAnsi="David" w:cs="David" w:hint="cs"/>
          <w:sz w:val="24"/>
          <w:szCs w:val="24"/>
          <w:rtl/>
        </w:rPr>
        <w:t>אופ</w:t>
      </w:r>
      <w:r w:rsidR="00C46533">
        <w:rPr>
          <w:rFonts w:ascii="David" w:hAnsi="David" w:cs="David" w:hint="cs"/>
          <w:sz w:val="24"/>
          <w:szCs w:val="24"/>
          <w:rtl/>
        </w:rPr>
        <w:t>ק</w:t>
      </w:r>
      <w:r w:rsidR="00911218">
        <w:rPr>
          <w:rFonts w:ascii="David" w:hAnsi="David" w:cs="David" w:hint="cs"/>
          <w:sz w:val="24"/>
          <w:szCs w:val="24"/>
          <w:rtl/>
        </w:rPr>
        <w:t>י מוצג</w:t>
      </w:r>
      <w:r w:rsidR="00C46533">
        <w:rPr>
          <w:rFonts w:ascii="David" w:hAnsi="David" w:cs="David" w:hint="cs"/>
          <w:sz w:val="24"/>
          <w:szCs w:val="24"/>
          <w:rtl/>
        </w:rPr>
        <w:t>ת</w:t>
      </w:r>
      <w:r w:rsidR="00911218">
        <w:rPr>
          <w:rFonts w:ascii="David" w:hAnsi="David" w:cs="David" w:hint="cs"/>
          <w:sz w:val="24"/>
          <w:szCs w:val="24"/>
          <w:rtl/>
        </w:rPr>
        <w:t xml:space="preserve"> </w:t>
      </w:r>
      <w:r w:rsidR="00D240C9">
        <w:rPr>
          <w:rFonts w:ascii="David" w:hAnsi="David" w:cs="David" w:hint="cs"/>
          <w:sz w:val="24"/>
          <w:szCs w:val="24"/>
          <w:rtl/>
        </w:rPr>
        <w:t>פרמיית הלקוח השבוי ורווח בר סמך ברמת</w:t>
      </w:r>
      <w:r w:rsidR="00C46533">
        <w:rPr>
          <w:rFonts w:ascii="David" w:hAnsi="David" w:cs="David" w:hint="cs"/>
          <w:sz w:val="24"/>
          <w:szCs w:val="24"/>
          <w:rtl/>
        </w:rPr>
        <w:t xml:space="preserve"> ביטחון</w:t>
      </w:r>
      <w:r w:rsidR="00D240C9">
        <w:rPr>
          <w:rFonts w:ascii="David" w:hAnsi="David" w:cs="David" w:hint="cs"/>
          <w:sz w:val="24"/>
          <w:szCs w:val="24"/>
          <w:rtl/>
        </w:rPr>
        <w:t xml:space="preserve"> 95% של פרמיה זאת</w:t>
      </w:r>
      <w:r w:rsidR="00911218">
        <w:rPr>
          <w:rFonts w:ascii="David" w:hAnsi="David" w:cs="David" w:hint="cs"/>
          <w:sz w:val="24"/>
          <w:szCs w:val="24"/>
          <w:rtl/>
        </w:rPr>
        <w:t xml:space="preserve"> (בהתאם לתוצאת האמידה הראשית במחקר)</w:t>
      </w:r>
      <w:r w:rsidR="00D240C9">
        <w:rPr>
          <w:rFonts w:ascii="David" w:hAnsi="David" w:cs="David" w:hint="cs"/>
          <w:sz w:val="24"/>
          <w:szCs w:val="24"/>
          <w:rtl/>
        </w:rPr>
        <w:t xml:space="preserve">. על הציר האופקי </w:t>
      </w:r>
      <w:r w:rsidR="00671905">
        <w:rPr>
          <w:rFonts w:ascii="David" w:hAnsi="David" w:cs="David" w:hint="cs"/>
          <w:sz w:val="24"/>
          <w:szCs w:val="24"/>
          <w:rtl/>
        </w:rPr>
        <w:t xml:space="preserve">מוצגים </w:t>
      </w:r>
      <w:r w:rsidR="00D240C9">
        <w:rPr>
          <w:rFonts w:ascii="David" w:hAnsi="David" w:cs="David" w:hint="cs"/>
          <w:sz w:val="24"/>
          <w:szCs w:val="24"/>
          <w:rtl/>
        </w:rPr>
        <w:t>התאריכי</w:t>
      </w:r>
      <w:r w:rsidR="00D240C9">
        <w:rPr>
          <w:rFonts w:ascii="David" w:hAnsi="David" w:cs="David" w:hint="eastAsia"/>
          <w:sz w:val="24"/>
          <w:szCs w:val="24"/>
          <w:rtl/>
        </w:rPr>
        <w:t>ם</w:t>
      </w:r>
      <w:r w:rsidR="00671905">
        <w:rPr>
          <w:rFonts w:ascii="David" w:hAnsi="David" w:cs="David" w:hint="cs"/>
          <w:sz w:val="24"/>
          <w:szCs w:val="24"/>
          <w:rtl/>
        </w:rPr>
        <w:t xml:space="preserve"> </w:t>
      </w:r>
      <w:r w:rsidR="00911218">
        <w:rPr>
          <w:rFonts w:ascii="David" w:hAnsi="David" w:cs="David" w:hint="cs"/>
          <w:sz w:val="24"/>
          <w:szCs w:val="24"/>
          <w:rtl/>
        </w:rPr>
        <w:t>אליהם מתייחס חישוב הפרמיה.</w:t>
      </w:r>
      <w:r w:rsidR="00C46533">
        <w:rPr>
          <w:rFonts w:ascii="David" w:hAnsi="David" w:cs="David" w:hint="cs"/>
          <w:sz w:val="24"/>
          <w:szCs w:val="24"/>
          <w:rtl/>
        </w:rPr>
        <w:t xml:space="preserve"> </w:t>
      </w:r>
      <w:r w:rsidR="00671905">
        <w:rPr>
          <w:rFonts w:ascii="David" w:hAnsi="David" w:cs="David" w:hint="cs"/>
          <w:sz w:val="24"/>
          <w:szCs w:val="24"/>
          <w:rtl/>
        </w:rPr>
        <w:t>בפרט</w:t>
      </w:r>
      <w:r w:rsidR="00911218">
        <w:rPr>
          <w:rFonts w:ascii="David" w:hAnsi="David" w:cs="David" w:hint="cs"/>
          <w:sz w:val="24"/>
          <w:szCs w:val="24"/>
          <w:rtl/>
        </w:rPr>
        <w:t>,</w:t>
      </w:r>
      <w:r w:rsidR="00671905">
        <w:rPr>
          <w:rFonts w:ascii="David" w:hAnsi="David" w:cs="David" w:hint="cs"/>
          <w:sz w:val="24"/>
          <w:szCs w:val="24"/>
          <w:rtl/>
        </w:rPr>
        <w:t xml:space="preserve"> הקו האדום </w:t>
      </w:r>
      <w:r w:rsidR="00671905">
        <w:rPr>
          <w:rFonts w:ascii="David" w:hAnsi="David" w:cs="David" w:hint="cs"/>
          <w:sz w:val="24"/>
          <w:szCs w:val="24"/>
          <w:rtl/>
        </w:rPr>
        <w:lastRenderedPageBreak/>
        <w:t xml:space="preserve">האנכי מפריד בין התקופה שלפני הקמת המאגר </w:t>
      </w:r>
      <w:r w:rsidR="00D240C9">
        <w:rPr>
          <w:rFonts w:ascii="David" w:hAnsi="David" w:cs="David" w:hint="cs"/>
          <w:sz w:val="24"/>
          <w:szCs w:val="24"/>
          <w:rtl/>
        </w:rPr>
        <w:t xml:space="preserve">(קרי לפני אפריל 2019) </w:t>
      </w:r>
      <w:r w:rsidR="00671905">
        <w:rPr>
          <w:rFonts w:ascii="David" w:hAnsi="David" w:cs="David" w:hint="cs"/>
          <w:sz w:val="24"/>
          <w:szCs w:val="24"/>
          <w:rtl/>
        </w:rPr>
        <w:t>לבין התקופה שלאחריו</w:t>
      </w:r>
      <w:r w:rsidR="00D240C9">
        <w:rPr>
          <w:rFonts w:ascii="David" w:hAnsi="David" w:cs="David" w:hint="cs"/>
          <w:sz w:val="24"/>
          <w:szCs w:val="24"/>
          <w:rtl/>
        </w:rPr>
        <w:t xml:space="preserve"> (אחרי אפריל 2019). </w:t>
      </w:r>
      <w:r w:rsidR="00671905">
        <w:rPr>
          <w:rFonts w:ascii="David" w:hAnsi="David" w:cs="David" w:hint="cs"/>
          <w:sz w:val="24"/>
          <w:szCs w:val="24"/>
          <w:rtl/>
        </w:rPr>
        <w:t xml:space="preserve">הקו האדום </w:t>
      </w:r>
      <w:r w:rsidR="00D240C9">
        <w:rPr>
          <w:rFonts w:ascii="David" w:hAnsi="David" w:cs="David" w:hint="cs"/>
          <w:sz w:val="24"/>
          <w:szCs w:val="24"/>
          <w:rtl/>
        </w:rPr>
        <w:t>המקווק</w:t>
      </w:r>
      <w:r w:rsidR="00D240C9">
        <w:rPr>
          <w:rFonts w:ascii="David" w:hAnsi="David" w:cs="David" w:hint="eastAsia"/>
          <w:sz w:val="24"/>
          <w:szCs w:val="24"/>
          <w:rtl/>
        </w:rPr>
        <w:t>ו</w:t>
      </w:r>
      <w:r w:rsidR="00671905">
        <w:rPr>
          <w:rFonts w:ascii="David" w:hAnsi="David" w:cs="David" w:hint="cs"/>
          <w:sz w:val="24"/>
          <w:szCs w:val="24"/>
          <w:rtl/>
        </w:rPr>
        <w:t xml:space="preserve"> הא</w:t>
      </w:r>
      <w:r w:rsidR="00D240C9">
        <w:rPr>
          <w:rFonts w:ascii="David" w:hAnsi="David" w:cs="David" w:hint="cs"/>
          <w:sz w:val="24"/>
          <w:szCs w:val="24"/>
          <w:rtl/>
        </w:rPr>
        <w:t>ופקי מציין את גובה הפרמיה הממוצעת</w:t>
      </w:r>
      <w:r w:rsidR="00911218">
        <w:rPr>
          <w:rFonts w:ascii="David" w:hAnsi="David" w:cs="David" w:hint="cs"/>
          <w:sz w:val="24"/>
          <w:szCs w:val="24"/>
          <w:rtl/>
        </w:rPr>
        <w:t xml:space="preserve"> על כל התקופה שלפני הקמת המאגר.</w:t>
      </w:r>
      <w:r w:rsidR="00D240C9">
        <w:rPr>
          <w:rFonts w:ascii="David" w:hAnsi="David" w:cs="David" w:hint="cs"/>
          <w:sz w:val="24"/>
          <w:szCs w:val="24"/>
          <w:rtl/>
        </w:rPr>
        <w:t xml:space="preserve"> </w:t>
      </w:r>
      <w:r w:rsidR="002E38FB" w:rsidRPr="009760E4">
        <w:rPr>
          <w:rFonts w:ascii="David" w:hAnsi="David" w:cs="David"/>
          <w:sz w:val="24"/>
          <w:szCs w:val="24"/>
          <w:rtl/>
        </w:rPr>
        <w:t>ניתן לראות שטרם הקמת המאגר לא הייתה מגמת ירידה</w:t>
      </w:r>
      <w:r w:rsidR="000309DB">
        <w:rPr>
          <w:rFonts w:ascii="David" w:hAnsi="David" w:cs="David" w:hint="cs"/>
          <w:sz w:val="24"/>
          <w:szCs w:val="24"/>
          <w:rtl/>
        </w:rPr>
        <w:t xml:space="preserve"> ברורה</w:t>
      </w:r>
      <w:r w:rsidR="002E38FB" w:rsidRPr="009760E4">
        <w:rPr>
          <w:rFonts w:ascii="David" w:hAnsi="David" w:cs="David"/>
          <w:sz w:val="24"/>
          <w:szCs w:val="24"/>
          <w:rtl/>
        </w:rPr>
        <w:t xml:space="preserve"> בפרמיית-לקוח-שבוי והיא החלה לרדת לאחר הקמת המאגר והתייצבה על שיעור של כ-0.2 בתוך מספר חודשים לאחר הקמתו. </w:t>
      </w:r>
    </w:p>
    <w:tbl>
      <w:tblPr>
        <w:tblStyle w:val="af0"/>
        <w:bidiVisual/>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tblGrid>
      <w:tr w:rsidR="002E38FB" w:rsidTr="00932F4D">
        <w:tc>
          <w:tcPr>
            <w:tcW w:w="9016" w:type="dxa"/>
          </w:tcPr>
          <w:p w:rsidR="002E38FB" w:rsidRDefault="002E38FB" w:rsidP="00671905">
            <w:pPr>
              <w:bidi/>
              <w:jc w:val="center"/>
              <w:rPr>
                <w:b/>
                <w:bCs/>
                <w:noProof/>
                <w:rtl/>
              </w:rPr>
            </w:pPr>
            <w:r>
              <w:rPr>
                <w:rFonts w:hint="cs"/>
                <w:b/>
                <w:bCs/>
                <w:noProof/>
                <w:rtl/>
              </w:rPr>
              <w:t>איור</w:t>
            </w:r>
            <w:r w:rsidR="009760E4">
              <w:rPr>
                <w:rFonts w:hint="cs"/>
                <w:b/>
                <w:bCs/>
                <w:noProof/>
                <w:rtl/>
              </w:rPr>
              <w:t xml:space="preserve"> </w:t>
            </w:r>
            <w:r w:rsidR="00671905">
              <w:rPr>
                <w:rFonts w:hint="cs"/>
                <w:b/>
                <w:bCs/>
                <w:noProof/>
                <w:rtl/>
              </w:rPr>
              <w:t>1</w:t>
            </w:r>
          </w:p>
          <w:p w:rsidR="002E38FB" w:rsidRPr="007850F2" w:rsidRDefault="0081731C" w:rsidP="002E38FB">
            <w:pPr>
              <w:bidi/>
              <w:jc w:val="center"/>
              <w:rPr>
                <w:rFonts w:ascii="David" w:hAnsi="David"/>
                <w:b/>
                <w:bCs/>
                <w:sz w:val="24"/>
                <w:rtl/>
              </w:rPr>
            </w:pPr>
            <w:r>
              <w:rPr>
                <w:rFonts w:hint="cs"/>
                <w:b/>
                <w:bCs/>
                <w:noProof/>
                <w:rtl/>
              </w:rPr>
              <w:t xml:space="preserve">השפעה של בלעדיות </w:t>
            </w:r>
            <w:r w:rsidR="009760E4">
              <w:rPr>
                <w:rFonts w:ascii="David" w:hAnsi="David" w:hint="cs"/>
                <w:b/>
                <w:bCs/>
                <w:sz w:val="24"/>
                <w:rtl/>
              </w:rPr>
              <w:t>לאורך זמן</w:t>
            </w:r>
          </w:p>
        </w:tc>
      </w:tr>
      <w:tr w:rsidR="002E38FB" w:rsidTr="00932F4D">
        <w:tc>
          <w:tcPr>
            <w:tcW w:w="9016" w:type="dxa"/>
          </w:tcPr>
          <w:p w:rsidR="0081731C" w:rsidRDefault="00BE2AD0" w:rsidP="00BE2AD0">
            <w:pPr>
              <w:bidi/>
              <w:jc w:val="center"/>
              <w:rPr>
                <w:rFonts w:ascii="David" w:hAnsi="David"/>
                <w:sz w:val="24"/>
                <w:rtl/>
              </w:rPr>
            </w:pPr>
            <w:r>
              <w:rPr>
                <w:noProof/>
              </w:rPr>
              <w:drawing>
                <wp:inline distT="0" distB="0" distL="0" distR="0" wp14:anchorId="3EB2C5FE" wp14:editId="6B627651">
                  <wp:extent cx="4881880" cy="272796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5311" cy="2763405"/>
                          </a:xfrm>
                          <a:prstGeom prst="rect">
                            <a:avLst/>
                          </a:prstGeom>
                        </pic:spPr>
                      </pic:pic>
                    </a:graphicData>
                  </a:graphic>
                </wp:inline>
              </w:drawing>
            </w:r>
          </w:p>
        </w:tc>
      </w:tr>
      <w:tr w:rsidR="002E38FB" w:rsidTr="00932F4D">
        <w:tc>
          <w:tcPr>
            <w:tcW w:w="9016" w:type="dxa"/>
            <w:shd w:val="clear" w:color="auto" w:fill="DBE5F1" w:themeFill="accent1" w:themeFillTint="33"/>
          </w:tcPr>
          <w:p w:rsidR="002E38FB" w:rsidRPr="00C45DE3" w:rsidRDefault="002E38FB" w:rsidP="0081731C">
            <w:pPr>
              <w:bidi/>
              <w:jc w:val="both"/>
              <w:rPr>
                <w:rFonts w:ascii="David" w:hAnsi="David"/>
                <w:sz w:val="18"/>
                <w:szCs w:val="18"/>
                <w:rtl/>
              </w:rPr>
            </w:pPr>
            <w:r w:rsidRPr="00C45DE3">
              <w:rPr>
                <w:rFonts w:ascii="David" w:hAnsi="David" w:hint="cs"/>
                <w:sz w:val="18"/>
                <w:szCs w:val="18"/>
                <w:rtl/>
              </w:rPr>
              <w:t>האיור מציג את תוצאות</w:t>
            </w:r>
            <w:r w:rsidR="0081731C" w:rsidRPr="00C45DE3">
              <w:rPr>
                <w:rFonts w:ascii="David" w:hAnsi="David" w:hint="cs"/>
                <w:sz w:val="18"/>
                <w:szCs w:val="18"/>
                <w:rtl/>
              </w:rPr>
              <w:t xml:space="preserve"> המקדמים ורווח בר סמך של המשתנה</w:t>
            </w:r>
            <w:r w:rsidRPr="00C45DE3">
              <w:rPr>
                <w:rFonts w:ascii="David" w:hAnsi="David"/>
                <w:sz w:val="18"/>
                <w:szCs w:val="18"/>
                <w:rtl/>
              </w:rPr>
              <w:t xml:space="preserve"> </w:t>
            </w:r>
            <w:r w:rsidRPr="00C45DE3">
              <w:rPr>
                <w:rFonts w:ascii="David" w:hAnsi="David" w:hint="cs"/>
                <w:sz w:val="18"/>
                <w:szCs w:val="18"/>
              </w:rPr>
              <w:t>E</w:t>
            </w:r>
            <w:r w:rsidRPr="00C45DE3">
              <w:rPr>
                <w:rFonts w:ascii="David" w:hAnsi="David"/>
                <w:sz w:val="18"/>
                <w:szCs w:val="18"/>
              </w:rPr>
              <w:t>xclusive</w:t>
            </w:r>
            <w:r w:rsidR="0081731C" w:rsidRPr="00C45DE3">
              <w:rPr>
                <w:rFonts w:ascii="David" w:hAnsi="David" w:hint="cs"/>
                <w:sz w:val="18"/>
                <w:szCs w:val="18"/>
                <w:rtl/>
              </w:rPr>
              <w:t xml:space="preserve"> </w:t>
            </w:r>
            <w:r w:rsidRPr="00C45DE3">
              <w:rPr>
                <w:rFonts w:ascii="David" w:hAnsi="David" w:hint="eastAsia"/>
                <w:sz w:val="18"/>
                <w:szCs w:val="18"/>
                <w:rtl/>
              </w:rPr>
              <w:t>כפול</w:t>
            </w:r>
            <w:r w:rsidRPr="00C45DE3">
              <w:rPr>
                <w:rFonts w:ascii="David" w:hAnsi="David"/>
                <w:sz w:val="18"/>
                <w:szCs w:val="18"/>
                <w:rtl/>
              </w:rPr>
              <w:t xml:space="preserve"> </w:t>
            </w:r>
            <w:r w:rsidRPr="00C45DE3">
              <w:rPr>
                <w:rFonts w:ascii="David" w:hAnsi="David" w:hint="eastAsia"/>
                <w:sz w:val="18"/>
                <w:szCs w:val="18"/>
                <w:rtl/>
              </w:rPr>
              <w:t>משתנים</w:t>
            </w:r>
            <w:r w:rsidRPr="00C45DE3">
              <w:rPr>
                <w:rFonts w:ascii="David" w:hAnsi="David"/>
                <w:sz w:val="18"/>
                <w:szCs w:val="18"/>
                <w:rtl/>
              </w:rPr>
              <w:t xml:space="preserve"> </w:t>
            </w:r>
            <w:r w:rsidRPr="00C45DE3">
              <w:rPr>
                <w:rFonts w:ascii="David" w:hAnsi="David" w:hint="eastAsia"/>
                <w:sz w:val="18"/>
                <w:szCs w:val="18"/>
                <w:rtl/>
              </w:rPr>
              <w:t>המקבלים</w:t>
            </w:r>
            <w:r w:rsidRPr="00C45DE3">
              <w:rPr>
                <w:rFonts w:ascii="David" w:hAnsi="David"/>
                <w:sz w:val="18"/>
                <w:szCs w:val="18"/>
                <w:rtl/>
              </w:rPr>
              <w:t xml:space="preserve"> </w:t>
            </w:r>
            <w:r w:rsidRPr="00C45DE3">
              <w:rPr>
                <w:rFonts w:ascii="David" w:hAnsi="David" w:hint="eastAsia"/>
                <w:sz w:val="18"/>
                <w:szCs w:val="18"/>
                <w:rtl/>
              </w:rPr>
              <w:t>את</w:t>
            </w:r>
            <w:r w:rsidRPr="00C45DE3">
              <w:rPr>
                <w:rFonts w:ascii="David" w:hAnsi="David"/>
                <w:sz w:val="18"/>
                <w:szCs w:val="18"/>
                <w:rtl/>
              </w:rPr>
              <w:t xml:space="preserve"> </w:t>
            </w:r>
            <w:r w:rsidRPr="00C45DE3">
              <w:rPr>
                <w:rFonts w:ascii="David" w:hAnsi="David" w:hint="eastAsia"/>
                <w:sz w:val="18"/>
                <w:szCs w:val="18"/>
                <w:rtl/>
              </w:rPr>
              <w:t>הערך</w:t>
            </w:r>
            <w:r w:rsidRPr="00C45DE3">
              <w:rPr>
                <w:rFonts w:ascii="David" w:hAnsi="David"/>
                <w:sz w:val="18"/>
                <w:szCs w:val="18"/>
                <w:rtl/>
              </w:rPr>
              <w:t xml:space="preserve"> 1 </w:t>
            </w:r>
            <w:r w:rsidRPr="00C45DE3">
              <w:rPr>
                <w:rFonts w:ascii="David" w:hAnsi="David" w:hint="eastAsia"/>
                <w:sz w:val="18"/>
                <w:szCs w:val="18"/>
                <w:rtl/>
              </w:rPr>
              <w:t>בכל</w:t>
            </w:r>
            <w:r w:rsidRPr="00C45DE3">
              <w:rPr>
                <w:rFonts w:ascii="David" w:hAnsi="David"/>
                <w:sz w:val="18"/>
                <w:szCs w:val="18"/>
                <w:rtl/>
              </w:rPr>
              <w:t xml:space="preserve"> </w:t>
            </w:r>
            <w:r w:rsidRPr="00C45DE3">
              <w:rPr>
                <w:rFonts w:ascii="David" w:hAnsi="David" w:hint="eastAsia"/>
                <w:sz w:val="18"/>
                <w:szCs w:val="18"/>
                <w:rtl/>
              </w:rPr>
              <w:t>אחד</w:t>
            </w:r>
            <w:r w:rsidRPr="00C45DE3">
              <w:rPr>
                <w:rFonts w:ascii="David" w:hAnsi="David"/>
                <w:sz w:val="18"/>
                <w:szCs w:val="18"/>
                <w:rtl/>
              </w:rPr>
              <w:t xml:space="preserve"> מהחודשים שבי</w:t>
            </w:r>
            <w:r w:rsidRPr="00C45DE3">
              <w:rPr>
                <w:rFonts w:ascii="David" w:hAnsi="David" w:hint="eastAsia"/>
                <w:sz w:val="18"/>
                <w:szCs w:val="18"/>
                <w:rtl/>
              </w:rPr>
              <w:t>ן</w:t>
            </w:r>
            <w:r w:rsidRPr="00C45DE3">
              <w:rPr>
                <w:rFonts w:ascii="David" w:hAnsi="David"/>
                <w:sz w:val="18"/>
                <w:szCs w:val="18"/>
                <w:rtl/>
              </w:rPr>
              <w:t xml:space="preserve"> אוגוסט 2018 לפברואר 2020 (משתנה נפרד לכל חודש) יתר האמידה כמוסבר בלוח </w:t>
            </w:r>
            <w:r w:rsidR="0081731C" w:rsidRPr="00C45DE3">
              <w:rPr>
                <w:rFonts w:ascii="David" w:hAnsi="David" w:hint="cs"/>
                <w:sz w:val="18"/>
                <w:szCs w:val="18"/>
                <w:rtl/>
              </w:rPr>
              <w:t>1</w:t>
            </w:r>
            <w:r w:rsidRPr="00C45DE3">
              <w:rPr>
                <w:rFonts w:ascii="David" w:hAnsi="David"/>
                <w:sz w:val="18"/>
                <w:szCs w:val="18"/>
                <w:rtl/>
              </w:rPr>
              <w:t xml:space="preserve">. </w:t>
            </w:r>
            <w:r w:rsidR="0081731C" w:rsidRPr="00C45DE3">
              <w:rPr>
                <w:rFonts w:ascii="David" w:hAnsi="David" w:hint="cs"/>
                <w:sz w:val="18"/>
                <w:szCs w:val="18"/>
                <w:rtl/>
              </w:rPr>
              <w:t>(להרחבה ראו</w:t>
            </w:r>
            <w:r w:rsidRPr="00C45DE3">
              <w:rPr>
                <w:rFonts w:ascii="David" w:hAnsi="David" w:hint="cs"/>
                <w:sz w:val="18"/>
                <w:szCs w:val="18"/>
                <w:rtl/>
              </w:rPr>
              <w:t xml:space="preserve"> טיוטת מחקר).</w:t>
            </w:r>
          </w:p>
          <w:p w:rsidR="002E38FB" w:rsidRPr="007850F2" w:rsidRDefault="002E38FB" w:rsidP="002E38FB">
            <w:pPr>
              <w:bidi/>
              <w:jc w:val="both"/>
              <w:rPr>
                <w:rFonts w:ascii="David" w:hAnsi="David"/>
                <w:b/>
                <w:bCs/>
                <w:sz w:val="24"/>
                <w:rtl/>
              </w:rPr>
            </w:pPr>
            <w:r w:rsidRPr="00C45DE3">
              <w:rPr>
                <w:rFonts w:ascii="David" w:hAnsi="David" w:hint="cs"/>
                <w:sz w:val="18"/>
                <w:szCs w:val="18"/>
                <w:rtl/>
              </w:rPr>
              <w:t xml:space="preserve">מקור: מאגר </w:t>
            </w:r>
            <w:r w:rsidRPr="00C45DE3">
              <w:rPr>
                <w:rFonts w:ascii="David" w:hAnsi="David" w:hint="eastAsia"/>
                <w:sz w:val="18"/>
                <w:szCs w:val="18"/>
                <w:rtl/>
              </w:rPr>
              <w:t>נתוני</w:t>
            </w:r>
            <w:r w:rsidRPr="00C45DE3">
              <w:rPr>
                <w:rFonts w:ascii="David" w:hAnsi="David"/>
                <w:sz w:val="18"/>
                <w:szCs w:val="18"/>
                <w:rtl/>
              </w:rPr>
              <w:t xml:space="preserve"> </w:t>
            </w:r>
            <w:r w:rsidRPr="00C45DE3">
              <w:rPr>
                <w:rFonts w:ascii="David" w:hAnsi="David" w:hint="eastAsia"/>
                <w:sz w:val="18"/>
                <w:szCs w:val="18"/>
                <w:rtl/>
              </w:rPr>
              <w:t>אשראי</w:t>
            </w:r>
            <w:r w:rsidRPr="00C45DE3">
              <w:rPr>
                <w:rFonts w:ascii="David" w:hAnsi="David"/>
                <w:sz w:val="18"/>
                <w:szCs w:val="18"/>
                <w:rtl/>
              </w:rPr>
              <w:t xml:space="preserve"> </w:t>
            </w:r>
            <w:r w:rsidRPr="00C45DE3">
              <w:rPr>
                <w:rFonts w:ascii="David" w:hAnsi="David" w:hint="eastAsia"/>
                <w:sz w:val="18"/>
                <w:szCs w:val="18"/>
                <w:rtl/>
              </w:rPr>
              <w:t>ועיבודי</w:t>
            </w:r>
            <w:r w:rsidRPr="00C45DE3">
              <w:rPr>
                <w:rFonts w:ascii="David" w:hAnsi="David"/>
                <w:sz w:val="18"/>
                <w:szCs w:val="18"/>
                <w:rtl/>
              </w:rPr>
              <w:t xml:space="preserve"> </w:t>
            </w:r>
            <w:r w:rsidRPr="00C45DE3">
              <w:rPr>
                <w:rFonts w:ascii="David" w:hAnsi="David" w:hint="eastAsia"/>
                <w:sz w:val="18"/>
                <w:szCs w:val="18"/>
                <w:rtl/>
              </w:rPr>
              <w:t>בנ</w:t>
            </w:r>
            <w:r w:rsidRPr="00C45DE3">
              <w:rPr>
                <w:rFonts w:ascii="David" w:hAnsi="David" w:hint="cs"/>
                <w:sz w:val="18"/>
                <w:szCs w:val="18"/>
                <w:rtl/>
              </w:rPr>
              <w:t>ק ישראל</w:t>
            </w:r>
          </w:p>
        </w:tc>
      </w:tr>
    </w:tbl>
    <w:p w:rsidR="002E38FB" w:rsidRPr="002E38FB" w:rsidRDefault="002E38FB" w:rsidP="002E38FB">
      <w:pPr>
        <w:bidi/>
        <w:spacing w:line="360" w:lineRule="auto"/>
        <w:jc w:val="both"/>
        <w:rPr>
          <w:rFonts w:cs="David"/>
          <w:sz w:val="24"/>
          <w:szCs w:val="24"/>
          <w:rtl/>
        </w:rPr>
      </w:pPr>
    </w:p>
    <w:p w:rsidR="00F30075" w:rsidRPr="0011469A" w:rsidRDefault="00F30075" w:rsidP="002E38FB">
      <w:pPr>
        <w:bidi/>
        <w:spacing w:line="360" w:lineRule="auto"/>
        <w:jc w:val="both"/>
        <w:rPr>
          <w:rFonts w:ascii="David" w:hAnsi="David" w:cs="David"/>
          <w:sz w:val="24"/>
          <w:szCs w:val="24"/>
        </w:rPr>
      </w:pPr>
    </w:p>
    <w:sectPr w:rsidR="00F30075" w:rsidRPr="0011469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59" w:rsidRDefault="00074759" w:rsidP="0048550E">
      <w:pPr>
        <w:spacing w:after="0" w:line="240" w:lineRule="auto"/>
      </w:pPr>
      <w:r>
        <w:separator/>
      </w:r>
    </w:p>
  </w:endnote>
  <w:endnote w:type="continuationSeparator" w:id="0">
    <w:p w:rsidR="00074759" w:rsidRDefault="00074759" w:rsidP="0048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EC" w:rsidRDefault="00B413E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EC" w:rsidRDefault="00B413EC">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EC" w:rsidRDefault="00B413E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59" w:rsidRDefault="00074759" w:rsidP="0048550E">
      <w:pPr>
        <w:spacing w:after="0" w:line="240" w:lineRule="auto"/>
      </w:pPr>
      <w:r>
        <w:separator/>
      </w:r>
    </w:p>
  </w:footnote>
  <w:footnote w:type="continuationSeparator" w:id="0">
    <w:p w:rsidR="00074759" w:rsidRDefault="00074759" w:rsidP="0048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EC" w:rsidRDefault="00B413EC">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EC" w:rsidRDefault="00B413EC">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EC" w:rsidRDefault="00B413E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650E"/>
    <w:multiLevelType w:val="hybridMultilevel"/>
    <w:tmpl w:val="798C6FB0"/>
    <w:lvl w:ilvl="0" w:tplc="62AAB3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F664B"/>
    <w:multiLevelType w:val="hybridMultilevel"/>
    <w:tmpl w:val="2EE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03D93"/>
    <w:multiLevelType w:val="hybridMultilevel"/>
    <w:tmpl w:val="9B58142A"/>
    <w:lvl w:ilvl="0" w:tplc="ED2662EE">
      <w:start w:val="2"/>
      <w:numFmt w:val="bullet"/>
      <w:lvlText w:val="-"/>
      <w:lvlJc w:val="left"/>
      <w:pPr>
        <w:ind w:left="644" w:hanging="360"/>
      </w:pPr>
      <w:rPr>
        <w:rFonts w:ascii="David" w:eastAsiaTheme="minorEastAsia" w:hAnsi="David" w:cs="David" w:hint="default"/>
        <w:b/>
        <w:bCs w:val="0"/>
        <w:color w:val="auto"/>
        <w:lang w:bidi="he-IL"/>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65122189"/>
    <w:multiLevelType w:val="hybridMultilevel"/>
    <w:tmpl w:val="8648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F8"/>
    <w:rsid w:val="0001735F"/>
    <w:rsid w:val="000309DB"/>
    <w:rsid w:val="00050F9D"/>
    <w:rsid w:val="00064AC2"/>
    <w:rsid w:val="00074759"/>
    <w:rsid w:val="000E757D"/>
    <w:rsid w:val="00106ADB"/>
    <w:rsid w:val="0011469A"/>
    <w:rsid w:val="00122F86"/>
    <w:rsid w:val="001550F8"/>
    <w:rsid w:val="00162E20"/>
    <w:rsid w:val="00170F4A"/>
    <w:rsid w:val="001716DC"/>
    <w:rsid w:val="001F333B"/>
    <w:rsid w:val="002022E6"/>
    <w:rsid w:val="00237F74"/>
    <w:rsid w:val="00245EE3"/>
    <w:rsid w:val="002925B5"/>
    <w:rsid w:val="002A4C4D"/>
    <w:rsid w:val="002B31CB"/>
    <w:rsid w:val="002D73DA"/>
    <w:rsid w:val="002E38FB"/>
    <w:rsid w:val="00343AB8"/>
    <w:rsid w:val="00371D3E"/>
    <w:rsid w:val="003A2927"/>
    <w:rsid w:val="003A47FE"/>
    <w:rsid w:val="003D7911"/>
    <w:rsid w:val="003F2591"/>
    <w:rsid w:val="00406964"/>
    <w:rsid w:val="004369A5"/>
    <w:rsid w:val="0046641E"/>
    <w:rsid w:val="00473AD5"/>
    <w:rsid w:val="0048550E"/>
    <w:rsid w:val="00511E2D"/>
    <w:rsid w:val="00542098"/>
    <w:rsid w:val="00551478"/>
    <w:rsid w:val="005A6147"/>
    <w:rsid w:val="00601D6F"/>
    <w:rsid w:val="00617D1A"/>
    <w:rsid w:val="00647897"/>
    <w:rsid w:val="00671905"/>
    <w:rsid w:val="00692223"/>
    <w:rsid w:val="006B3EA8"/>
    <w:rsid w:val="006C7067"/>
    <w:rsid w:val="006F2580"/>
    <w:rsid w:val="00732603"/>
    <w:rsid w:val="007348DA"/>
    <w:rsid w:val="0073701D"/>
    <w:rsid w:val="00770429"/>
    <w:rsid w:val="007A7C38"/>
    <w:rsid w:val="007D3482"/>
    <w:rsid w:val="007E0788"/>
    <w:rsid w:val="007E22FF"/>
    <w:rsid w:val="00800331"/>
    <w:rsid w:val="00804CD7"/>
    <w:rsid w:val="0080573C"/>
    <w:rsid w:val="00811799"/>
    <w:rsid w:val="0081731C"/>
    <w:rsid w:val="00840578"/>
    <w:rsid w:val="00856B25"/>
    <w:rsid w:val="0085793B"/>
    <w:rsid w:val="00873471"/>
    <w:rsid w:val="008A1495"/>
    <w:rsid w:val="008A26BC"/>
    <w:rsid w:val="008C2CC3"/>
    <w:rsid w:val="008C6562"/>
    <w:rsid w:val="008E3AC4"/>
    <w:rsid w:val="008E4284"/>
    <w:rsid w:val="008F1DE1"/>
    <w:rsid w:val="00911218"/>
    <w:rsid w:val="00954053"/>
    <w:rsid w:val="009760E4"/>
    <w:rsid w:val="009D22DC"/>
    <w:rsid w:val="009D385E"/>
    <w:rsid w:val="00A131F8"/>
    <w:rsid w:val="00A14D8E"/>
    <w:rsid w:val="00A52D2E"/>
    <w:rsid w:val="00A5386E"/>
    <w:rsid w:val="00A64219"/>
    <w:rsid w:val="00AA3E68"/>
    <w:rsid w:val="00AB4765"/>
    <w:rsid w:val="00B179AC"/>
    <w:rsid w:val="00B413EC"/>
    <w:rsid w:val="00B47561"/>
    <w:rsid w:val="00B52934"/>
    <w:rsid w:val="00B6142C"/>
    <w:rsid w:val="00B61615"/>
    <w:rsid w:val="00BD00B4"/>
    <w:rsid w:val="00BE2AD0"/>
    <w:rsid w:val="00C02E7A"/>
    <w:rsid w:val="00C06FB1"/>
    <w:rsid w:val="00C1010A"/>
    <w:rsid w:val="00C228A3"/>
    <w:rsid w:val="00C45DE3"/>
    <w:rsid w:val="00C46533"/>
    <w:rsid w:val="00C601B4"/>
    <w:rsid w:val="00C9673B"/>
    <w:rsid w:val="00CB0353"/>
    <w:rsid w:val="00CC03E7"/>
    <w:rsid w:val="00D240C9"/>
    <w:rsid w:val="00D54933"/>
    <w:rsid w:val="00D70298"/>
    <w:rsid w:val="00D7554A"/>
    <w:rsid w:val="00D841C2"/>
    <w:rsid w:val="00D86C7C"/>
    <w:rsid w:val="00DB3236"/>
    <w:rsid w:val="00DE4124"/>
    <w:rsid w:val="00E401CE"/>
    <w:rsid w:val="00E43EAA"/>
    <w:rsid w:val="00E60841"/>
    <w:rsid w:val="00E62D3F"/>
    <w:rsid w:val="00EA4F2E"/>
    <w:rsid w:val="00F25000"/>
    <w:rsid w:val="00F30075"/>
    <w:rsid w:val="00F95AB0"/>
    <w:rsid w:val="00FA40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tyle 2"/>
    <w:basedOn w:val="a"/>
    <w:link w:val="a4"/>
    <w:uiPriority w:val="34"/>
    <w:qFormat/>
    <w:rsid w:val="007E22FF"/>
    <w:pPr>
      <w:ind w:left="720"/>
      <w:contextualSpacing/>
    </w:pPr>
  </w:style>
  <w:style w:type="paragraph" w:styleId="a5">
    <w:name w:val="Balloon Text"/>
    <w:basedOn w:val="a"/>
    <w:link w:val="a6"/>
    <w:uiPriority w:val="99"/>
    <w:semiHidden/>
    <w:unhideWhenUsed/>
    <w:rsid w:val="0040696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406964"/>
    <w:rPr>
      <w:rFonts w:ascii="Tahoma" w:hAnsi="Tahoma" w:cs="Tahoma"/>
      <w:sz w:val="16"/>
      <w:szCs w:val="16"/>
    </w:rPr>
  </w:style>
  <w:style w:type="character" w:styleId="a7">
    <w:name w:val="annotation reference"/>
    <w:basedOn w:val="a0"/>
    <w:uiPriority w:val="99"/>
    <w:unhideWhenUsed/>
    <w:rsid w:val="00064AC2"/>
    <w:rPr>
      <w:sz w:val="16"/>
      <w:szCs w:val="16"/>
    </w:rPr>
  </w:style>
  <w:style w:type="paragraph" w:styleId="a8">
    <w:name w:val="annotation text"/>
    <w:basedOn w:val="a"/>
    <w:link w:val="a9"/>
    <w:uiPriority w:val="99"/>
    <w:unhideWhenUsed/>
    <w:rsid w:val="00064AC2"/>
    <w:pPr>
      <w:spacing w:line="240" w:lineRule="auto"/>
    </w:pPr>
    <w:rPr>
      <w:sz w:val="20"/>
      <w:szCs w:val="20"/>
    </w:rPr>
  </w:style>
  <w:style w:type="character" w:customStyle="1" w:styleId="a9">
    <w:name w:val="טקסט הערה תו"/>
    <w:basedOn w:val="a0"/>
    <w:link w:val="a8"/>
    <w:uiPriority w:val="99"/>
    <w:rsid w:val="00064AC2"/>
    <w:rPr>
      <w:sz w:val="20"/>
      <w:szCs w:val="20"/>
    </w:rPr>
  </w:style>
  <w:style w:type="paragraph" w:styleId="aa">
    <w:name w:val="annotation subject"/>
    <w:basedOn w:val="a8"/>
    <w:next w:val="a8"/>
    <w:link w:val="ab"/>
    <w:uiPriority w:val="99"/>
    <w:semiHidden/>
    <w:unhideWhenUsed/>
    <w:rsid w:val="00064AC2"/>
    <w:rPr>
      <w:b/>
      <w:bCs/>
    </w:rPr>
  </w:style>
  <w:style w:type="character" w:customStyle="1" w:styleId="ab">
    <w:name w:val="נושא הערה תו"/>
    <w:basedOn w:val="a9"/>
    <w:link w:val="aa"/>
    <w:uiPriority w:val="99"/>
    <w:semiHidden/>
    <w:rsid w:val="00064AC2"/>
    <w:rPr>
      <w:b/>
      <w:bCs/>
      <w:sz w:val="20"/>
      <w:szCs w:val="20"/>
    </w:rPr>
  </w:style>
  <w:style w:type="paragraph" w:styleId="ac">
    <w:name w:val="Revision"/>
    <w:hidden/>
    <w:uiPriority w:val="99"/>
    <w:semiHidden/>
    <w:rsid w:val="00064AC2"/>
    <w:pPr>
      <w:spacing w:after="0" w:line="240" w:lineRule="auto"/>
    </w:pPr>
  </w:style>
  <w:style w:type="paragraph" w:styleId="ad">
    <w:name w:val="footnote text"/>
    <w:aliases w:val="fn,fn Char,single space,Footnote Text Char Char Char Char Char Char,Footnote Text Char1,Footnote Text Char Char,Footnote,Fußnote,FSR footnote,lábléc,FOOTNOTES,Footnote Text Char2 Char,Footnote Text Char1 Char Char,תו תו תו, תו תו,תו, תו"/>
    <w:basedOn w:val="a"/>
    <w:link w:val="ae"/>
    <w:uiPriority w:val="99"/>
    <w:unhideWhenUsed/>
    <w:rsid w:val="0048550E"/>
    <w:pPr>
      <w:spacing w:after="0" w:line="240" w:lineRule="auto"/>
    </w:pPr>
    <w:rPr>
      <w:sz w:val="20"/>
      <w:szCs w:val="20"/>
    </w:rPr>
  </w:style>
  <w:style w:type="character" w:customStyle="1" w:styleId="ae">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d"/>
    <w:uiPriority w:val="99"/>
    <w:rsid w:val="0048550E"/>
    <w:rPr>
      <w:sz w:val="20"/>
      <w:szCs w:val="20"/>
    </w:rPr>
  </w:style>
  <w:style w:type="character" w:styleId="af">
    <w:name w:val="footnote reference"/>
    <w:aliases w:val="טקסט הערת שוליים חדש,Footnote Reference Number,Footnote Reference_LVL6,Footnote Reference_LVL61,Footnote Reference_LVL62,Footnote Reference_LVL63,Footnote Reference_LVL64,fr,SUPERS,EN Footnote Reference,number,Footnote symbol"/>
    <w:basedOn w:val="a0"/>
    <w:uiPriority w:val="99"/>
    <w:unhideWhenUsed/>
    <w:rsid w:val="0048550E"/>
    <w:rPr>
      <w:vertAlign w:val="superscript"/>
    </w:rPr>
  </w:style>
  <w:style w:type="table" w:styleId="af0">
    <w:name w:val="Table Grid"/>
    <w:basedOn w:val="a1"/>
    <w:rsid w:val="002E3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פיסקת רשימה תו"/>
    <w:aliases w:val="style 2 תו"/>
    <w:link w:val="a3"/>
    <w:uiPriority w:val="34"/>
    <w:qFormat/>
    <w:locked/>
    <w:rsid w:val="0011469A"/>
  </w:style>
  <w:style w:type="paragraph" w:styleId="NormalWeb">
    <w:name w:val="Normal (Web)"/>
    <w:basedOn w:val="a"/>
    <w:uiPriority w:val="99"/>
    <w:unhideWhenUsed/>
    <w:rsid w:val="00D240C9"/>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B413EC"/>
    <w:pPr>
      <w:tabs>
        <w:tab w:val="center" w:pos="4153"/>
        <w:tab w:val="right" w:pos="8306"/>
      </w:tabs>
      <w:spacing w:after="0" w:line="240" w:lineRule="auto"/>
    </w:pPr>
  </w:style>
  <w:style w:type="character" w:customStyle="1" w:styleId="af2">
    <w:name w:val="כותרת עליונה תו"/>
    <w:basedOn w:val="a0"/>
    <w:link w:val="af1"/>
    <w:uiPriority w:val="99"/>
    <w:rsid w:val="00B413EC"/>
  </w:style>
  <w:style w:type="paragraph" w:styleId="af3">
    <w:name w:val="footer"/>
    <w:basedOn w:val="a"/>
    <w:link w:val="af4"/>
    <w:uiPriority w:val="99"/>
    <w:unhideWhenUsed/>
    <w:rsid w:val="00B413EC"/>
    <w:pPr>
      <w:tabs>
        <w:tab w:val="center" w:pos="4153"/>
        <w:tab w:val="right" w:pos="8306"/>
      </w:tabs>
      <w:spacing w:after="0" w:line="240" w:lineRule="auto"/>
    </w:pPr>
  </w:style>
  <w:style w:type="character" w:customStyle="1" w:styleId="af4">
    <w:name w:val="כותרת תחתונה תו"/>
    <w:basedOn w:val="a0"/>
    <w:link w:val="af3"/>
    <w:uiPriority w:val="99"/>
    <w:rsid w:val="00B4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EB50-1958-41BF-BA01-DE3516FA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4185</Characters>
  <Application>Microsoft Office Word</Application>
  <DocSecurity>0</DocSecurity>
  <Lines>34</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2023-04-30T07:40:00Z</dcterms:created>
  <dcterms:modified xsi:type="dcterms:W3CDTF">2023-04-30T07:40:00Z</dcterms:modified>
</cp:coreProperties>
</file>