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755249" w:rsidRPr="00C004D3" w14:paraId="52730272" w14:textId="77777777" w:rsidTr="002B2D74">
        <w:tc>
          <w:tcPr>
            <w:tcW w:w="2840" w:type="dxa"/>
            <w:tcBorders>
              <w:top w:val="nil"/>
              <w:left w:val="nil"/>
              <w:bottom w:val="nil"/>
              <w:right w:val="nil"/>
            </w:tcBorders>
            <w:vAlign w:val="center"/>
          </w:tcPr>
          <w:p w14:paraId="35B58758" w14:textId="77777777" w:rsidR="00755249" w:rsidRPr="00C004D3" w:rsidRDefault="00755249" w:rsidP="002B2D74">
            <w:pPr>
              <w:tabs>
                <w:tab w:val="left" w:pos="567"/>
                <w:tab w:val="left" w:pos="1134"/>
                <w:tab w:val="left" w:pos="1814"/>
                <w:tab w:val="left" w:pos="2665"/>
              </w:tabs>
              <w:spacing w:after="0" w:line="360" w:lineRule="auto"/>
              <w:jc w:val="center"/>
              <w:rPr>
                <w:rFonts w:ascii="Times New Roman" w:eastAsia="Times New Roman" w:hAnsi="Times New Roman" w:cs="David"/>
                <w:b/>
                <w:bCs/>
                <w:sz w:val="28"/>
                <w:szCs w:val="28"/>
              </w:rPr>
            </w:pPr>
            <w:r w:rsidRPr="00C004D3">
              <w:rPr>
                <w:rFonts w:ascii="Times New Roman" w:eastAsia="Times New Roman" w:hAnsi="Times New Roman" w:cs="David"/>
                <w:b/>
                <w:bCs/>
                <w:sz w:val="28"/>
                <w:szCs w:val="28"/>
                <w:rtl/>
              </w:rPr>
              <w:t>בנ</w:t>
            </w:r>
            <w:r w:rsidRPr="00C004D3">
              <w:rPr>
                <w:rFonts w:ascii="Times New Roman" w:eastAsia="Times New Roman" w:hAnsi="Times New Roman" w:cs="David" w:hint="cs"/>
                <w:b/>
                <w:bCs/>
                <w:sz w:val="28"/>
                <w:szCs w:val="28"/>
                <w:rtl/>
              </w:rPr>
              <w:t xml:space="preserve">ק </w:t>
            </w:r>
            <w:r w:rsidRPr="00C004D3">
              <w:rPr>
                <w:rFonts w:ascii="Times New Roman" w:eastAsia="Times New Roman" w:hAnsi="Times New Roman" w:cs="David"/>
                <w:b/>
                <w:bCs/>
                <w:sz w:val="28"/>
                <w:szCs w:val="28"/>
                <w:rtl/>
              </w:rPr>
              <w:t>יש</w:t>
            </w:r>
            <w:r w:rsidRPr="00C004D3">
              <w:rPr>
                <w:rFonts w:ascii="Times New Roman" w:eastAsia="Times New Roman" w:hAnsi="Times New Roman" w:cs="David" w:hint="cs"/>
                <w:b/>
                <w:bCs/>
                <w:sz w:val="28"/>
                <w:szCs w:val="28"/>
                <w:rtl/>
              </w:rPr>
              <w:t>ראל</w:t>
            </w:r>
          </w:p>
          <w:p w14:paraId="10161423" w14:textId="77777777" w:rsidR="00755249" w:rsidRPr="00C004D3" w:rsidRDefault="00755249" w:rsidP="002B2D74">
            <w:pPr>
              <w:tabs>
                <w:tab w:val="left" w:pos="567"/>
                <w:tab w:val="left" w:pos="1134"/>
                <w:tab w:val="left" w:pos="1814"/>
                <w:tab w:val="left" w:pos="2665"/>
              </w:tabs>
              <w:spacing w:after="0" w:line="360" w:lineRule="auto"/>
              <w:ind w:right="-101"/>
              <w:jc w:val="center"/>
              <w:rPr>
                <w:rFonts w:ascii="Times New Roman" w:eastAsia="Times New Roman" w:hAnsi="Times New Roman" w:cs="David"/>
                <w:sz w:val="24"/>
                <w:szCs w:val="24"/>
              </w:rPr>
            </w:pPr>
            <w:r w:rsidRPr="00C004D3">
              <w:rPr>
                <w:rFonts w:ascii="Times New Roman" w:eastAsia="Times New Roman" w:hAnsi="Times New Roman" w:cs="David"/>
                <w:sz w:val="24"/>
                <w:szCs w:val="24"/>
                <w:rtl/>
              </w:rPr>
              <w:t>דו</w:t>
            </w:r>
            <w:r w:rsidRPr="00C004D3">
              <w:rPr>
                <w:rFonts w:ascii="Times New Roman" w:eastAsia="Times New Roman" w:hAnsi="Times New Roman" w:cs="David" w:hint="cs"/>
                <w:sz w:val="24"/>
                <w:szCs w:val="24"/>
                <w:rtl/>
              </w:rPr>
              <w:t>בר</w:t>
            </w:r>
            <w:r w:rsidRPr="00C004D3">
              <w:rPr>
                <w:rFonts w:ascii="Times New Roman" w:eastAsia="Times New Roman" w:hAnsi="Times New Roman" w:cs="David"/>
                <w:sz w:val="24"/>
                <w:szCs w:val="24"/>
                <w:rtl/>
              </w:rPr>
              <w:t>ות</w:t>
            </w:r>
            <w:r w:rsidRPr="00C004D3">
              <w:rPr>
                <w:rFonts w:ascii="Times New Roman" w:eastAsia="Times New Roman" w:hAnsi="Times New Roman" w:cs="David" w:hint="cs"/>
                <w:sz w:val="24"/>
                <w:szCs w:val="24"/>
                <w:rtl/>
              </w:rPr>
              <w:t xml:space="preserve"> והסברה כלכלית</w:t>
            </w:r>
          </w:p>
        </w:tc>
        <w:tc>
          <w:tcPr>
            <w:tcW w:w="2596" w:type="dxa"/>
            <w:tcBorders>
              <w:top w:val="nil"/>
              <w:left w:val="nil"/>
              <w:bottom w:val="nil"/>
              <w:right w:val="nil"/>
            </w:tcBorders>
          </w:tcPr>
          <w:p w14:paraId="3A0F3C09" w14:textId="77777777" w:rsidR="00755249" w:rsidRPr="00C004D3" w:rsidRDefault="00755249" w:rsidP="002B2D74">
            <w:pPr>
              <w:tabs>
                <w:tab w:val="left" w:pos="567"/>
                <w:tab w:val="left" w:pos="1134"/>
                <w:tab w:val="left" w:pos="1814"/>
                <w:tab w:val="left" w:pos="2665"/>
              </w:tabs>
              <w:spacing w:after="0" w:line="360" w:lineRule="auto"/>
              <w:jc w:val="center"/>
              <w:rPr>
                <w:rFonts w:ascii="Times New Roman" w:eastAsia="Times New Roman" w:hAnsi="Times New Roman" w:cs="David"/>
                <w:sz w:val="24"/>
                <w:szCs w:val="24"/>
              </w:rPr>
            </w:pPr>
            <w:r w:rsidRPr="00C004D3">
              <w:rPr>
                <w:rFonts w:ascii="Times New Roman" w:eastAsia="Times New Roman" w:hAnsi="Times New Roman" w:cs="David"/>
                <w:noProof/>
                <w:sz w:val="24"/>
                <w:szCs w:val="24"/>
              </w:rPr>
              <w:drawing>
                <wp:inline distT="0" distB="0" distL="0" distR="0" wp14:anchorId="45C7D6EE" wp14:editId="1E8D5256">
                  <wp:extent cx="781050" cy="714375"/>
                  <wp:effectExtent l="0" t="0" r="0" b="9525"/>
                  <wp:docPr id="7" name="תמונה 4"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נק ישרא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757EFD62" w14:textId="64E1D620" w:rsidR="00755249" w:rsidRPr="00C004D3" w:rsidRDefault="00755249" w:rsidP="00A36D3A">
            <w:pPr>
              <w:tabs>
                <w:tab w:val="left" w:pos="567"/>
                <w:tab w:val="left" w:pos="1134"/>
                <w:tab w:val="left" w:pos="1814"/>
                <w:tab w:val="left" w:pos="2665"/>
              </w:tabs>
              <w:spacing w:after="0" w:line="480" w:lineRule="auto"/>
              <w:jc w:val="right"/>
              <w:rPr>
                <w:rFonts w:ascii="Times New Roman" w:eastAsia="Times New Roman" w:hAnsi="Times New Roman" w:cs="David"/>
                <w:sz w:val="24"/>
                <w:szCs w:val="24"/>
              </w:rPr>
            </w:pPr>
            <w:r w:rsidRPr="00C004D3">
              <w:rPr>
                <w:rFonts w:ascii="Times New Roman" w:eastAsia="Times New Roman" w:hAnsi="Times New Roman" w:cs="David" w:hint="eastAsia"/>
                <w:sz w:val="24"/>
                <w:szCs w:val="24"/>
                <w:rtl/>
              </w:rPr>
              <w:t>‏</w:t>
            </w:r>
            <w:r w:rsidRPr="00C004D3">
              <w:rPr>
                <w:rFonts w:ascii="Times New Roman" w:eastAsia="Times New Roman" w:hAnsi="Times New Roman" w:cs="David" w:hint="cs"/>
                <w:sz w:val="24"/>
                <w:szCs w:val="24"/>
                <w:rtl/>
              </w:rPr>
              <w:t xml:space="preserve">ירושלים, </w:t>
            </w:r>
            <w:r w:rsidR="00A36D3A">
              <w:rPr>
                <w:rFonts w:ascii="Times New Roman" w:eastAsia="Times New Roman" w:hAnsi="Times New Roman" w:cs="David" w:hint="cs"/>
                <w:sz w:val="24"/>
                <w:szCs w:val="24"/>
                <w:rtl/>
              </w:rPr>
              <w:t>י"א בחשבון, תשפ"ב</w:t>
            </w:r>
          </w:p>
          <w:p w14:paraId="23CB89D2" w14:textId="28287CCC" w:rsidR="00755249" w:rsidRPr="00C004D3" w:rsidRDefault="00755249" w:rsidP="00A36D3A">
            <w:pPr>
              <w:tabs>
                <w:tab w:val="left" w:pos="567"/>
                <w:tab w:val="left" w:pos="1134"/>
                <w:tab w:val="left" w:pos="1814"/>
                <w:tab w:val="left" w:pos="2665"/>
              </w:tabs>
              <w:spacing w:line="480" w:lineRule="auto"/>
              <w:jc w:val="right"/>
              <w:rPr>
                <w:rFonts w:ascii="Times New Roman" w:eastAsia="Times New Roman" w:hAnsi="Times New Roman" w:cs="David"/>
                <w:sz w:val="24"/>
                <w:szCs w:val="24"/>
              </w:rPr>
            </w:pPr>
            <w:r w:rsidRPr="00C004D3">
              <w:rPr>
                <w:rFonts w:ascii="Times New Roman" w:eastAsia="Times New Roman" w:hAnsi="Times New Roman" w:cs="David" w:hint="eastAsia"/>
                <w:sz w:val="24"/>
                <w:szCs w:val="24"/>
                <w:rtl/>
              </w:rPr>
              <w:t>‏</w:t>
            </w:r>
            <w:r>
              <w:rPr>
                <w:rFonts w:ascii="Times New Roman" w:eastAsia="Times New Roman" w:hAnsi="Times New Roman" w:cs="David" w:hint="eastAsia"/>
                <w:sz w:val="24"/>
                <w:szCs w:val="24"/>
                <w:rtl/>
              </w:rPr>
              <w:t>‏</w:t>
            </w:r>
            <w:r w:rsidR="00A36D3A">
              <w:rPr>
                <w:rFonts w:cs="David" w:hint="cs"/>
                <w:sz w:val="24"/>
                <w:szCs w:val="24"/>
                <w:rtl/>
              </w:rPr>
              <w:t>17</w:t>
            </w:r>
            <w:r w:rsidR="00450512">
              <w:rPr>
                <w:rFonts w:ascii="Times New Roman" w:eastAsia="Times New Roman" w:hAnsi="Times New Roman" w:cs="David"/>
                <w:sz w:val="24"/>
                <w:szCs w:val="24"/>
                <w:rtl/>
              </w:rPr>
              <w:t xml:space="preserve"> </w:t>
            </w:r>
            <w:r w:rsidR="00C96A97">
              <w:rPr>
                <w:rFonts w:ascii="Times New Roman" w:eastAsia="Times New Roman" w:hAnsi="Times New Roman" w:cs="David" w:hint="cs"/>
                <w:sz w:val="24"/>
                <w:szCs w:val="24"/>
                <w:rtl/>
              </w:rPr>
              <w:t>אוקטובר</w:t>
            </w:r>
            <w:r w:rsidR="00450512">
              <w:rPr>
                <w:rFonts w:ascii="Times New Roman" w:eastAsia="Times New Roman" w:hAnsi="Times New Roman" w:cs="David"/>
                <w:sz w:val="24"/>
                <w:szCs w:val="24"/>
                <w:rtl/>
              </w:rPr>
              <w:t xml:space="preserve"> </w:t>
            </w:r>
            <w:r>
              <w:rPr>
                <w:rFonts w:ascii="Times New Roman" w:eastAsia="Times New Roman" w:hAnsi="Times New Roman" w:cs="David"/>
                <w:sz w:val="24"/>
                <w:szCs w:val="24"/>
                <w:rtl/>
              </w:rPr>
              <w:t>20</w:t>
            </w:r>
            <w:r w:rsidR="00C96A97">
              <w:rPr>
                <w:rFonts w:ascii="Times New Roman" w:eastAsia="Times New Roman" w:hAnsi="Times New Roman" w:cs="David" w:hint="cs"/>
                <w:sz w:val="24"/>
                <w:szCs w:val="24"/>
                <w:rtl/>
              </w:rPr>
              <w:t>21</w:t>
            </w:r>
          </w:p>
        </w:tc>
      </w:tr>
    </w:tbl>
    <w:p w14:paraId="2131C25B" w14:textId="77777777" w:rsidR="00755249" w:rsidRDefault="00755249" w:rsidP="00755249">
      <w:pPr>
        <w:spacing w:after="240" w:line="360" w:lineRule="auto"/>
        <w:ind w:right="-101"/>
        <w:rPr>
          <w:rFonts w:asciiTheme="minorBidi" w:hAnsiTheme="minorBidi" w:cs="David"/>
          <w:sz w:val="24"/>
          <w:szCs w:val="24"/>
          <w:rtl/>
        </w:rPr>
      </w:pPr>
      <w:r w:rsidRPr="00D74B3F">
        <w:rPr>
          <w:rFonts w:asciiTheme="minorBidi" w:hAnsiTheme="minorBidi" w:cs="David"/>
          <w:sz w:val="24"/>
          <w:szCs w:val="24"/>
          <w:rtl/>
        </w:rPr>
        <w:t>הודעה לעיתונות:</w:t>
      </w:r>
    </w:p>
    <w:p w14:paraId="0CF9E8F7" w14:textId="77777777" w:rsidR="00755249" w:rsidRDefault="00755249" w:rsidP="002E1B8C">
      <w:pPr>
        <w:spacing w:line="360" w:lineRule="auto"/>
        <w:ind w:right="-101"/>
        <w:jc w:val="center"/>
        <w:rPr>
          <w:rFonts w:cs="David"/>
          <w:sz w:val="24"/>
          <w:szCs w:val="24"/>
          <w:rtl/>
        </w:rPr>
      </w:pPr>
      <w:r w:rsidRPr="005A37A3">
        <w:rPr>
          <w:rFonts w:cs="David" w:hint="cs"/>
          <w:sz w:val="24"/>
          <w:szCs w:val="24"/>
          <w:rtl/>
        </w:rPr>
        <w:t xml:space="preserve">קטע מתוך </w:t>
      </w:r>
      <w:r>
        <w:rPr>
          <w:rFonts w:cs="David" w:hint="cs"/>
          <w:sz w:val="24"/>
          <w:szCs w:val="24"/>
          <w:rtl/>
        </w:rPr>
        <w:t>לקט ניתוחי מדיניות וסוגיות מחקריות:</w:t>
      </w:r>
    </w:p>
    <w:p w14:paraId="6A6AFF47" w14:textId="77777777" w:rsidR="005A7A4A" w:rsidRDefault="005A7A4A" w:rsidP="00F62DDB">
      <w:pPr>
        <w:spacing w:line="360" w:lineRule="auto"/>
        <w:jc w:val="center"/>
        <w:rPr>
          <w:rFonts w:ascii="David" w:hAnsi="David" w:cs="David"/>
          <w:b/>
          <w:bCs/>
          <w:sz w:val="24"/>
          <w:szCs w:val="24"/>
          <w:rtl/>
        </w:rPr>
      </w:pPr>
      <w:bookmarkStart w:id="0" w:name="_GoBack"/>
      <w:r>
        <w:rPr>
          <w:rFonts w:ascii="David" w:hAnsi="David" w:cs="David" w:hint="cs"/>
          <w:b/>
          <w:bCs/>
          <w:sz w:val="24"/>
          <w:szCs w:val="24"/>
          <w:rtl/>
        </w:rPr>
        <w:t>רפורמת "שמיים פתוחים" והשפעתה על ענפי התיירות ועל הצרכן הישראלי</w:t>
      </w:r>
    </w:p>
    <w:bookmarkEnd w:id="0"/>
    <w:p w14:paraId="25D045CC" w14:textId="38856D32" w:rsidR="005A7A4A" w:rsidRDefault="005A7A4A" w:rsidP="00F00123">
      <w:pPr>
        <w:pStyle w:val="a3"/>
        <w:numPr>
          <w:ilvl w:val="0"/>
          <w:numId w:val="4"/>
        </w:numPr>
        <w:spacing w:after="0" w:line="360" w:lineRule="auto"/>
        <w:jc w:val="both"/>
        <w:rPr>
          <w:rFonts w:ascii="David" w:hAnsi="David" w:cs="David"/>
          <w:sz w:val="24"/>
          <w:szCs w:val="24"/>
        </w:rPr>
      </w:pPr>
      <w:r>
        <w:rPr>
          <w:rFonts w:ascii="David" w:hAnsi="David" w:cs="David" w:hint="cs"/>
          <w:sz w:val="24"/>
          <w:szCs w:val="24"/>
          <w:rtl/>
        </w:rPr>
        <w:t>רפורמת "שמיים פתוחים" יו</w:t>
      </w:r>
      <w:r w:rsidRPr="00BA09BC">
        <w:rPr>
          <w:rFonts w:ascii="David" w:hAnsi="David" w:cs="David" w:hint="cs"/>
          <w:sz w:val="24"/>
          <w:szCs w:val="24"/>
          <w:rtl/>
        </w:rPr>
        <w:t xml:space="preserve">שמה </w:t>
      </w:r>
      <w:r>
        <w:rPr>
          <w:rFonts w:ascii="David" w:hAnsi="David" w:cs="David" w:hint="cs"/>
          <w:sz w:val="24"/>
          <w:szCs w:val="24"/>
          <w:rtl/>
        </w:rPr>
        <w:t>בהדרגה בשנים 2013</w:t>
      </w:r>
      <w:r w:rsidR="00F00123">
        <w:rPr>
          <w:rFonts w:ascii="David" w:hAnsi="David" w:cs="David" w:hint="cs"/>
          <w:sz w:val="24"/>
          <w:szCs w:val="24"/>
          <w:rtl/>
        </w:rPr>
        <w:t>–</w:t>
      </w:r>
      <w:r w:rsidRPr="00BA09BC">
        <w:rPr>
          <w:rFonts w:ascii="David" w:hAnsi="David" w:cs="David" w:hint="cs"/>
          <w:sz w:val="24"/>
          <w:szCs w:val="24"/>
          <w:rtl/>
        </w:rPr>
        <w:t>20</w:t>
      </w:r>
      <w:r>
        <w:rPr>
          <w:rFonts w:ascii="David" w:hAnsi="David" w:cs="David" w:hint="cs"/>
          <w:sz w:val="24"/>
          <w:szCs w:val="24"/>
          <w:rtl/>
        </w:rPr>
        <w:t>18, ובמסגרתה הוגברה התחרות בתחום הטיסות</w:t>
      </w:r>
      <w:r w:rsidRPr="00BA09BC">
        <w:rPr>
          <w:rFonts w:ascii="David" w:hAnsi="David" w:cs="David" w:hint="cs"/>
          <w:sz w:val="24"/>
          <w:szCs w:val="24"/>
          <w:rtl/>
        </w:rPr>
        <w:t xml:space="preserve">. </w:t>
      </w:r>
    </w:p>
    <w:p w14:paraId="29863CB2" w14:textId="3A6D42E3" w:rsidR="005C641D" w:rsidRDefault="005A7A4A" w:rsidP="006E290B">
      <w:pPr>
        <w:pStyle w:val="a3"/>
        <w:numPr>
          <w:ilvl w:val="0"/>
          <w:numId w:val="4"/>
        </w:numPr>
        <w:spacing w:after="0" w:line="360" w:lineRule="auto"/>
        <w:jc w:val="both"/>
        <w:rPr>
          <w:rFonts w:ascii="David" w:hAnsi="David" w:cs="David"/>
          <w:sz w:val="24"/>
          <w:szCs w:val="24"/>
        </w:rPr>
      </w:pPr>
      <w:r w:rsidRPr="005C641D">
        <w:rPr>
          <w:rFonts w:cs="David" w:hint="cs"/>
          <w:sz w:val="24"/>
          <w:szCs w:val="24"/>
          <w:rtl/>
        </w:rPr>
        <w:t xml:space="preserve">בעקבות הרפורמה </w:t>
      </w:r>
      <w:r w:rsidR="00F00123" w:rsidRPr="005C641D">
        <w:rPr>
          <w:rFonts w:cs="David" w:hint="cs"/>
          <w:sz w:val="24"/>
          <w:szCs w:val="24"/>
          <w:rtl/>
        </w:rPr>
        <w:t>גדל מאוד בהשוואה בין-לאומית מספר היציאות לחו"ל של ישראלים מכל חמישוני ההכנסות</w:t>
      </w:r>
      <w:r w:rsidR="00F00123" w:rsidRPr="005C641D">
        <w:rPr>
          <w:rFonts w:ascii="David" w:hAnsi="David" w:cs="David" w:hint="cs"/>
          <w:sz w:val="24"/>
          <w:szCs w:val="24"/>
          <w:rtl/>
        </w:rPr>
        <w:t>. מספר הטיסות והנוסעים ב</w:t>
      </w:r>
      <w:r w:rsidRPr="005C641D">
        <w:rPr>
          <w:rFonts w:ascii="David" w:hAnsi="David" w:cs="David" w:hint="cs"/>
          <w:sz w:val="24"/>
          <w:szCs w:val="24"/>
          <w:rtl/>
        </w:rPr>
        <w:t xml:space="preserve">חברות התעופה הישראליות, שהושפעו באופן ישיר מהרפורמה, </w:t>
      </w:r>
      <w:r w:rsidR="00F00123" w:rsidRPr="005C641D">
        <w:rPr>
          <w:rFonts w:ascii="David" w:hAnsi="David" w:cs="David" w:hint="cs"/>
          <w:sz w:val="24"/>
          <w:szCs w:val="24"/>
          <w:rtl/>
        </w:rPr>
        <w:t xml:space="preserve">המשיך </w:t>
      </w:r>
      <w:r w:rsidRPr="005C641D">
        <w:rPr>
          <w:rFonts w:ascii="David" w:hAnsi="David" w:cs="David" w:hint="cs"/>
          <w:sz w:val="24"/>
          <w:szCs w:val="24"/>
          <w:rtl/>
        </w:rPr>
        <w:t>לגד</w:t>
      </w:r>
      <w:r w:rsidR="00F00123" w:rsidRPr="005C641D">
        <w:rPr>
          <w:rFonts w:ascii="David" w:hAnsi="David" w:cs="David" w:hint="cs"/>
          <w:sz w:val="24"/>
          <w:szCs w:val="24"/>
          <w:rtl/>
        </w:rPr>
        <w:t>ו</w:t>
      </w:r>
      <w:r w:rsidRPr="005C641D">
        <w:rPr>
          <w:rFonts w:ascii="David" w:hAnsi="David" w:cs="David" w:hint="cs"/>
          <w:sz w:val="24"/>
          <w:szCs w:val="24"/>
          <w:rtl/>
        </w:rPr>
        <w:t xml:space="preserve">ל בתקופת הרפורמה. </w:t>
      </w:r>
    </w:p>
    <w:p w14:paraId="7C0824AC" w14:textId="13454D44" w:rsidR="00DD164D" w:rsidRDefault="005C641D" w:rsidP="007A77C0">
      <w:pPr>
        <w:pStyle w:val="a3"/>
        <w:numPr>
          <w:ilvl w:val="0"/>
          <w:numId w:val="4"/>
        </w:numPr>
        <w:spacing w:after="0" w:line="360" w:lineRule="auto"/>
        <w:jc w:val="both"/>
        <w:rPr>
          <w:rFonts w:ascii="David" w:hAnsi="David" w:cs="David"/>
          <w:sz w:val="24"/>
          <w:szCs w:val="24"/>
        </w:rPr>
      </w:pPr>
      <w:r w:rsidRPr="005C641D">
        <w:rPr>
          <w:rFonts w:ascii="David" w:hAnsi="David" w:cs="David" w:hint="cs"/>
          <w:sz w:val="24"/>
          <w:szCs w:val="24"/>
          <w:rtl/>
        </w:rPr>
        <w:t xml:space="preserve">לא נמצאה תרומה של הרפורמה להגדלת מספר התיירים הנכנסים לישראל. עם זאת קשה יותר לזהות מבחינה סטטיסטית את השפעת הרפורמה על כניסות תיירים מכיוון שהתנודות במצב הביטחוני משפיעות באופן ניכר על כניסות התיירים. </w:t>
      </w:r>
    </w:p>
    <w:p w14:paraId="64B1E485" w14:textId="5CDEDEBE" w:rsidR="00CF20ED" w:rsidRDefault="00CF20ED" w:rsidP="006E290B">
      <w:pPr>
        <w:pStyle w:val="a3"/>
        <w:numPr>
          <w:ilvl w:val="0"/>
          <w:numId w:val="4"/>
        </w:numPr>
        <w:spacing w:after="0" w:line="360" w:lineRule="auto"/>
        <w:jc w:val="both"/>
        <w:rPr>
          <w:rFonts w:ascii="David" w:hAnsi="David" w:cs="David"/>
          <w:sz w:val="24"/>
          <w:szCs w:val="24"/>
        </w:rPr>
      </w:pPr>
      <w:r>
        <w:rPr>
          <w:rFonts w:ascii="David" w:hAnsi="David" w:cs="David" w:hint="cs"/>
          <w:sz w:val="24"/>
          <w:szCs w:val="24"/>
          <w:rtl/>
        </w:rPr>
        <w:t xml:space="preserve">הגברת התחרות בתחום הטיסות, לרבות השפעתה להגברת היציאות של תיירים ישראלים לחו"ל, לא פגעה </w:t>
      </w:r>
      <w:r w:rsidR="006E290B">
        <w:rPr>
          <w:rFonts w:ascii="David" w:hAnsi="David" w:cs="David" w:hint="cs"/>
          <w:sz w:val="24"/>
          <w:szCs w:val="24"/>
          <w:rtl/>
        </w:rPr>
        <w:t xml:space="preserve">ככל הנראה </w:t>
      </w:r>
      <w:r>
        <w:rPr>
          <w:rFonts w:ascii="David" w:hAnsi="David" w:cs="David" w:hint="cs"/>
          <w:sz w:val="24"/>
          <w:szCs w:val="24"/>
          <w:rtl/>
        </w:rPr>
        <w:t xml:space="preserve">בפעילות של ענפי התיירות, </w:t>
      </w:r>
      <w:r w:rsidR="006E290B">
        <w:rPr>
          <w:rFonts w:ascii="David" w:hAnsi="David" w:cs="David" w:hint="cs"/>
          <w:sz w:val="24"/>
          <w:szCs w:val="24"/>
          <w:rtl/>
        </w:rPr>
        <w:t>ש</w:t>
      </w:r>
      <w:r>
        <w:rPr>
          <w:rFonts w:ascii="David" w:hAnsi="David" w:cs="David" w:hint="cs"/>
          <w:sz w:val="24"/>
          <w:szCs w:val="24"/>
          <w:rtl/>
        </w:rPr>
        <w:t>היקף הפעילות והתעסוקה ב</w:t>
      </w:r>
      <w:r w:rsidR="006E290B">
        <w:rPr>
          <w:rFonts w:ascii="David" w:hAnsi="David" w:cs="David" w:hint="cs"/>
          <w:sz w:val="24"/>
          <w:szCs w:val="24"/>
          <w:rtl/>
        </w:rPr>
        <w:t>הם</w:t>
      </w:r>
      <w:r>
        <w:rPr>
          <w:rFonts w:ascii="David" w:hAnsi="David" w:cs="David" w:hint="cs"/>
          <w:sz w:val="24"/>
          <w:szCs w:val="24"/>
          <w:rtl/>
        </w:rPr>
        <w:t xml:space="preserve"> בשנות הרפורמה גדל בקצב דומה לקצב הממוצע במדינות </w:t>
      </w:r>
      <w:r>
        <w:rPr>
          <w:rFonts w:ascii="David" w:hAnsi="David" w:cs="David" w:hint="cs"/>
          <w:sz w:val="24"/>
          <w:szCs w:val="24"/>
        </w:rPr>
        <w:t>OECD</w:t>
      </w:r>
    </w:p>
    <w:p w14:paraId="1DD35427" w14:textId="77777777" w:rsidR="005C641D" w:rsidRPr="005C641D" w:rsidRDefault="005C641D" w:rsidP="007A77C0">
      <w:pPr>
        <w:pStyle w:val="a3"/>
        <w:spacing w:after="0" w:line="360" w:lineRule="auto"/>
        <w:jc w:val="both"/>
        <w:rPr>
          <w:rFonts w:ascii="David" w:hAnsi="David" w:cs="David"/>
          <w:sz w:val="24"/>
          <w:szCs w:val="24"/>
          <w:rtl/>
        </w:rPr>
      </w:pPr>
    </w:p>
    <w:p w14:paraId="04B07E80" w14:textId="2C4BB1DE" w:rsidR="008B1777" w:rsidRDefault="001A1D54" w:rsidP="006E290B">
      <w:pPr>
        <w:spacing w:line="360" w:lineRule="auto"/>
        <w:jc w:val="both"/>
        <w:rPr>
          <w:rFonts w:ascii="David" w:hAnsi="David" w:cs="David"/>
          <w:sz w:val="24"/>
          <w:szCs w:val="24"/>
          <w:rtl/>
        </w:rPr>
      </w:pPr>
      <w:r w:rsidRPr="00B35118">
        <w:rPr>
          <w:rFonts w:ascii="David" w:hAnsi="David" w:cs="David"/>
          <w:sz w:val="24"/>
          <w:szCs w:val="24"/>
          <w:rtl/>
        </w:rPr>
        <w:t xml:space="preserve">ממשלת ישראל </w:t>
      </w:r>
      <w:r w:rsidRPr="00C60279">
        <w:rPr>
          <w:rFonts w:ascii="David" w:hAnsi="David" w:cs="David"/>
          <w:sz w:val="24"/>
          <w:szCs w:val="24"/>
          <w:rtl/>
        </w:rPr>
        <w:t xml:space="preserve">ניהלה </w:t>
      </w:r>
      <w:r>
        <w:rPr>
          <w:rFonts w:ascii="David" w:hAnsi="David" w:cs="David" w:hint="cs"/>
          <w:sz w:val="24"/>
          <w:szCs w:val="24"/>
          <w:rtl/>
        </w:rPr>
        <w:t xml:space="preserve">בעבר </w:t>
      </w:r>
      <w:r w:rsidRPr="00C60279">
        <w:rPr>
          <w:rFonts w:ascii="David" w:hAnsi="David" w:cs="David"/>
          <w:sz w:val="24"/>
          <w:szCs w:val="24"/>
          <w:rtl/>
        </w:rPr>
        <w:t>מדיניות תעופה שמרנית</w:t>
      </w:r>
      <w:r>
        <w:rPr>
          <w:rFonts w:ascii="David" w:hAnsi="David" w:cs="David" w:hint="cs"/>
          <w:sz w:val="24"/>
          <w:szCs w:val="24"/>
          <w:rtl/>
        </w:rPr>
        <w:t>,</w:t>
      </w:r>
      <w:r w:rsidRPr="00C60279">
        <w:rPr>
          <w:rFonts w:ascii="David" w:hAnsi="David" w:cs="David"/>
          <w:sz w:val="24"/>
          <w:szCs w:val="24"/>
          <w:rtl/>
        </w:rPr>
        <w:t xml:space="preserve"> </w:t>
      </w:r>
      <w:r>
        <w:rPr>
          <w:rFonts w:ascii="David" w:hAnsi="David" w:cs="David" w:hint="cs"/>
          <w:sz w:val="24"/>
          <w:szCs w:val="24"/>
          <w:rtl/>
        </w:rPr>
        <w:t xml:space="preserve">אשר </w:t>
      </w:r>
      <w:r w:rsidRPr="00C60279">
        <w:rPr>
          <w:rFonts w:ascii="David" w:hAnsi="David" w:cs="David"/>
          <w:sz w:val="24"/>
          <w:szCs w:val="24"/>
          <w:rtl/>
        </w:rPr>
        <w:t>התאפיינה בהסכמי תעופה בילטרליים שכללו</w:t>
      </w:r>
      <w:r w:rsidR="000B134B">
        <w:rPr>
          <w:rFonts w:ascii="David" w:hAnsi="David" w:cs="David" w:hint="cs"/>
          <w:sz w:val="24"/>
          <w:szCs w:val="24"/>
          <w:rtl/>
        </w:rPr>
        <w:t xml:space="preserve"> הגבלות </w:t>
      </w:r>
      <w:r w:rsidRPr="00C60279">
        <w:rPr>
          <w:rFonts w:ascii="David" w:hAnsi="David" w:cs="David"/>
          <w:sz w:val="24"/>
          <w:szCs w:val="24"/>
          <w:rtl/>
        </w:rPr>
        <w:t>על מספר החברות הרשאיות להפעיל טיסות סדירות</w:t>
      </w:r>
      <w:r w:rsidR="00536530">
        <w:rPr>
          <w:rFonts w:ascii="David" w:hAnsi="David" w:cs="David"/>
          <w:sz w:val="24"/>
          <w:szCs w:val="24"/>
          <w:rtl/>
        </w:rPr>
        <w:t xml:space="preserve"> בקווים המוסכמים ("מוביל נקוב")</w:t>
      </w:r>
      <w:r w:rsidR="00F44863">
        <w:rPr>
          <w:rFonts w:ascii="David" w:hAnsi="David" w:cs="David" w:hint="cs"/>
          <w:sz w:val="24"/>
          <w:szCs w:val="24"/>
          <w:rtl/>
        </w:rPr>
        <w:t>,</w:t>
      </w:r>
      <w:r w:rsidR="00536530">
        <w:rPr>
          <w:rFonts w:ascii="David" w:hAnsi="David" w:cs="David"/>
          <w:sz w:val="24"/>
          <w:szCs w:val="24"/>
          <w:rtl/>
        </w:rPr>
        <w:t xml:space="preserve"> </w:t>
      </w:r>
      <w:r w:rsidRPr="00C60279">
        <w:rPr>
          <w:rFonts w:ascii="David" w:hAnsi="David" w:cs="David"/>
          <w:sz w:val="24"/>
          <w:szCs w:val="24"/>
          <w:rtl/>
        </w:rPr>
        <w:t xml:space="preserve">על הקיבולת המוצעת </w:t>
      </w:r>
      <w:r w:rsidR="008D7076">
        <w:rPr>
          <w:rFonts w:ascii="David" w:hAnsi="David" w:cs="David" w:hint="cs"/>
          <w:sz w:val="24"/>
          <w:szCs w:val="24"/>
          <w:rtl/>
        </w:rPr>
        <w:t>ו</w:t>
      </w:r>
      <w:r w:rsidRPr="00C60279">
        <w:rPr>
          <w:rFonts w:ascii="David" w:hAnsi="David" w:cs="David"/>
          <w:sz w:val="24"/>
          <w:szCs w:val="24"/>
          <w:rtl/>
        </w:rPr>
        <w:t xml:space="preserve">על יעדי הקווים המאושרים להפעלה. </w:t>
      </w:r>
      <w:r w:rsidR="00BC0895">
        <w:rPr>
          <w:rFonts w:ascii="David" w:hAnsi="David" w:cs="David"/>
          <w:rtl/>
        </w:rPr>
        <w:t xml:space="preserve">בשנת 2006 פנה האיחוד האירופי לממשלת ישראל בדבר קידום הסכם תעופה גלובלי אחיד מול מדינות האיחוד. במענה לפנייה זו, החליטה ממשלת ישראל להתחיל תהליך של ליברליזציה הדרגתית לפתיחת שמי המדינה לתחרות. </w:t>
      </w:r>
    </w:p>
    <w:p w14:paraId="5F73E28D" w14:textId="77777777" w:rsidR="001A1D54" w:rsidRDefault="00CF6D63" w:rsidP="00BC0895">
      <w:pPr>
        <w:spacing w:line="360" w:lineRule="auto"/>
        <w:jc w:val="both"/>
        <w:rPr>
          <w:rFonts w:ascii="David" w:hAnsi="David" w:cs="David"/>
          <w:sz w:val="24"/>
          <w:szCs w:val="24"/>
          <w:rtl/>
        </w:rPr>
      </w:pPr>
      <w:r>
        <w:rPr>
          <w:rFonts w:ascii="David" w:hAnsi="David" w:cs="David" w:hint="cs"/>
          <w:sz w:val="24"/>
          <w:szCs w:val="24"/>
          <w:rtl/>
        </w:rPr>
        <w:t>רפורמת "שמיים פתוחים", שיישומ</w:t>
      </w:r>
      <w:r>
        <w:rPr>
          <w:rFonts w:ascii="David" w:hAnsi="David" w:cs="David" w:hint="eastAsia"/>
          <w:sz w:val="24"/>
          <w:szCs w:val="24"/>
          <w:rtl/>
        </w:rPr>
        <w:t>ה</w:t>
      </w:r>
      <w:r>
        <w:rPr>
          <w:rFonts w:ascii="David" w:hAnsi="David" w:cs="David" w:hint="cs"/>
          <w:sz w:val="24"/>
          <w:szCs w:val="24"/>
          <w:rtl/>
        </w:rPr>
        <w:t xml:space="preserve"> החל ב-2013 והסתיים ב-2018, </w:t>
      </w:r>
      <w:r w:rsidRPr="00E93630">
        <w:rPr>
          <w:rFonts w:ascii="David" w:hAnsi="David" w:cs="David" w:hint="cs"/>
          <w:sz w:val="24"/>
          <w:szCs w:val="24"/>
          <w:rtl/>
        </w:rPr>
        <w:t>הגבירה את התחרות בענף הטיסות לישראל וממנה בהסירה מגבלות על חברות המפעילות טיסות ממדינות האיחוד האירופי לישראל</w:t>
      </w:r>
      <w:r>
        <w:rPr>
          <w:rFonts w:ascii="David" w:hAnsi="David" w:cs="David" w:hint="cs"/>
          <w:sz w:val="24"/>
          <w:szCs w:val="24"/>
          <w:rtl/>
        </w:rPr>
        <w:t>.</w:t>
      </w:r>
    </w:p>
    <w:p w14:paraId="7BC73607" w14:textId="2CA681D0" w:rsidR="001B3028" w:rsidRDefault="00CF6D63" w:rsidP="00DF7151">
      <w:pPr>
        <w:spacing w:line="360" w:lineRule="auto"/>
        <w:jc w:val="both"/>
        <w:rPr>
          <w:rFonts w:ascii="David" w:hAnsi="David" w:cs="David"/>
          <w:sz w:val="24"/>
          <w:szCs w:val="24"/>
          <w:rtl/>
        </w:rPr>
      </w:pPr>
      <w:r>
        <w:rPr>
          <w:rFonts w:ascii="David" w:hAnsi="David" w:cs="David" w:hint="cs"/>
          <w:sz w:val="24"/>
          <w:szCs w:val="24"/>
          <w:rtl/>
        </w:rPr>
        <w:t>ניתוח שערכו ד"ר רן שהרבני וד"ר אלה שחר מחטיבת המחקר של בנק ישראל בחן את השפעות הרפורמה על ענף התיירות ועל הצרכן הישראלי.</w:t>
      </w:r>
      <w:r w:rsidR="001B3028">
        <w:rPr>
          <w:rFonts w:ascii="David" w:hAnsi="David" w:cs="David" w:hint="cs"/>
          <w:sz w:val="24"/>
          <w:szCs w:val="24"/>
          <w:rtl/>
        </w:rPr>
        <w:t xml:space="preserve"> הרפורמה </w:t>
      </w:r>
      <w:r w:rsidR="00DF7151">
        <w:rPr>
          <w:rFonts w:ascii="David" w:hAnsi="David" w:cs="David" w:hint="cs"/>
          <w:sz w:val="24"/>
          <w:szCs w:val="24"/>
          <w:rtl/>
        </w:rPr>
        <w:t>הגדילה את</w:t>
      </w:r>
      <w:r w:rsidR="001B3028">
        <w:rPr>
          <w:rFonts w:ascii="David" w:hAnsi="David" w:cs="David" w:hint="cs"/>
          <w:sz w:val="24"/>
          <w:szCs w:val="24"/>
          <w:rtl/>
        </w:rPr>
        <w:t xml:space="preserve"> היצע הטיסות לישראל</w:t>
      </w:r>
      <w:r w:rsidR="001B3028" w:rsidRPr="00174C7F">
        <w:rPr>
          <w:rFonts w:ascii="David" w:hAnsi="David" w:cs="David" w:hint="cs"/>
          <w:sz w:val="24"/>
          <w:szCs w:val="24"/>
          <w:rtl/>
        </w:rPr>
        <w:t xml:space="preserve"> </w:t>
      </w:r>
      <w:r w:rsidR="001B3028">
        <w:rPr>
          <w:rFonts w:ascii="David" w:hAnsi="David" w:cs="David" w:hint="cs"/>
          <w:sz w:val="24"/>
          <w:szCs w:val="24"/>
          <w:rtl/>
        </w:rPr>
        <w:t>במידה משמעותית</w:t>
      </w:r>
      <w:r w:rsidR="00DF7151">
        <w:rPr>
          <w:rFonts w:ascii="David" w:hAnsi="David" w:cs="David" w:hint="cs"/>
          <w:sz w:val="24"/>
          <w:szCs w:val="24"/>
          <w:rtl/>
        </w:rPr>
        <w:t xml:space="preserve"> בזכות הפחתת הרגולציה</w:t>
      </w:r>
      <w:r w:rsidR="001B3028">
        <w:rPr>
          <w:rFonts w:ascii="David" w:hAnsi="David" w:cs="David" w:hint="cs"/>
          <w:sz w:val="24"/>
          <w:szCs w:val="24"/>
          <w:rtl/>
        </w:rPr>
        <w:t xml:space="preserve"> </w:t>
      </w:r>
      <w:r w:rsidR="00DF7151">
        <w:rPr>
          <w:rFonts w:ascii="David" w:hAnsi="David" w:cs="David" w:hint="cs"/>
          <w:sz w:val="24"/>
          <w:szCs w:val="24"/>
          <w:rtl/>
        </w:rPr>
        <w:t>וכתוצאה מכך</w:t>
      </w:r>
      <w:r w:rsidR="001B3028">
        <w:rPr>
          <w:rFonts w:ascii="David" w:hAnsi="David" w:cs="David" w:hint="cs"/>
          <w:sz w:val="24"/>
          <w:szCs w:val="24"/>
          <w:rtl/>
        </w:rPr>
        <w:t xml:space="preserve"> גדל מספרן של הנסיעות לחו"ל של ישראלים </w:t>
      </w:r>
      <w:r w:rsidR="00DF7151">
        <w:rPr>
          <w:rFonts w:ascii="David" w:hAnsi="David" w:cs="David" w:hint="cs"/>
          <w:sz w:val="24"/>
          <w:szCs w:val="24"/>
          <w:rtl/>
        </w:rPr>
        <w:t xml:space="preserve">בשיעור </w:t>
      </w:r>
      <w:r w:rsidR="001B3028">
        <w:rPr>
          <w:rFonts w:ascii="David" w:hAnsi="David" w:cs="David" w:hint="cs"/>
          <w:sz w:val="24"/>
          <w:szCs w:val="24"/>
          <w:rtl/>
        </w:rPr>
        <w:t>חריג יחסית לגידול טרום הרפורמה</w:t>
      </w:r>
      <w:r w:rsidR="00577C96">
        <w:rPr>
          <w:rFonts w:ascii="David" w:hAnsi="David" w:cs="David" w:hint="cs"/>
          <w:sz w:val="24"/>
          <w:szCs w:val="24"/>
          <w:rtl/>
        </w:rPr>
        <w:t xml:space="preserve"> (איור 1)</w:t>
      </w:r>
      <w:r w:rsidR="003D7E01">
        <w:rPr>
          <w:rFonts w:ascii="David" w:hAnsi="David" w:cs="David" w:hint="cs"/>
          <w:sz w:val="24"/>
          <w:szCs w:val="24"/>
          <w:rtl/>
        </w:rPr>
        <w:t xml:space="preserve">, וגם בהשוואה בין-לאומית. </w:t>
      </w:r>
      <w:r w:rsidR="00B56FC2">
        <w:rPr>
          <w:rFonts w:ascii="David" w:hAnsi="David" w:cs="David" w:hint="cs"/>
          <w:sz w:val="24"/>
          <w:szCs w:val="24"/>
          <w:rtl/>
        </w:rPr>
        <w:t>הניתוח האקונומטרי מלמד ש</w:t>
      </w:r>
      <w:r w:rsidR="00B56FC2" w:rsidRPr="0082439D">
        <w:rPr>
          <w:rFonts w:ascii="David" w:hAnsi="David" w:cs="David" w:hint="cs"/>
          <w:sz w:val="24"/>
          <w:szCs w:val="24"/>
          <w:rtl/>
        </w:rPr>
        <w:t xml:space="preserve">הודות לרפורמה </w:t>
      </w:r>
      <w:r w:rsidR="00B56FC2">
        <w:rPr>
          <w:rFonts w:ascii="David" w:hAnsi="David" w:cs="David" w:hint="cs"/>
          <w:sz w:val="24"/>
          <w:szCs w:val="24"/>
          <w:rtl/>
        </w:rPr>
        <w:t>עלה מספר היציאות</w:t>
      </w:r>
      <w:r w:rsidR="00DF7151">
        <w:rPr>
          <w:rFonts w:ascii="David" w:hAnsi="David" w:cs="David" w:hint="cs"/>
          <w:sz w:val="24"/>
          <w:szCs w:val="24"/>
          <w:rtl/>
        </w:rPr>
        <w:t xml:space="preserve"> לחו"ל</w:t>
      </w:r>
      <w:r w:rsidR="00B56FC2">
        <w:rPr>
          <w:rFonts w:ascii="David" w:hAnsi="David" w:cs="David" w:hint="cs"/>
          <w:sz w:val="24"/>
          <w:szCs w:val="24"/>
          <w:rtl/>
        </w:rPr>
        <w:t>-לנפש של ישראלים בכ-50% מעבר לגידול הנובע מהשפעת גורמי בסיס כגון התוצר לנפש, שער החליפין הריאלי והמגמה העולמית. גידולו של מספר היציאות לחו"ל הקיף את כל חמישוני ההכנסה.</w:t>
      </w:r>
    </w:p>
    <w:p w14:paraId="24709F95" w14:textId="77777777" w:rsidR="00323D83" w:rsidRDefault="00323D83" w:rsidP="00AD033D">
      <w:pPr>
        <w:spacing w:after="0" w:line="240" w:lineRule="auto"/>
        <w:jc w:val="center"/>
        <w:rPr>
          <w:rFonts w:ascii="David" w:hAnsi="David" w:cs="David"/>
          <w:b/>
          <w:bCs/>
          <w:sz w:val="24"/>
          <w:szCs w:val="24"/>
          <w:rtl/>
        </w:rPr>
      </w:pPr>
    </w:p>
    <w:p w14:paraId="0FA6E67B" w14:textId="77777777" w:rsidR="00323D83" w:rsidRDefault="00323D83" w:rsidP="00AD033D">
      <w:pPr>
        <w:spacing w:after="0" w:line="240" w:lineRule="auto"/>
        <w:jc w:val="center"/>
        <w:rPr>
          <w:rFonts w:ascii="David" w:hAnsi="David" w:cs="David"/>
          <w:b/>
          <w:bCs/>
          <w:sz w:val="24"/>
          <w:szCs w:val="24"/>
          <w:rtl/>
        </w:rPr>
      </w:pPr>
    </w:p>
    <w:p w14:paraId="10E4BDE0" w14:textId="77777777" w:rsidR="00323D83" w:rsidRDefault="00323D83" w:rsidP="00AD033D">
      <w:pPr>
        <w:spacing w:after="0" w:line="240" w:lineRule="auto"/>
        <w:jc w:val="center"/>
        <w:rPr>
          <w:rFonts w:ascii="David" w:hAnsi="David" w:cs="David"/>
          <w:b/>
          <w:bCs/>
          <w:sz w:val="24"/>
          <w:szCs w:val="24"/>
          <w:rtl/>
        </w:rPr>
      </w:pPr>
    </w:p>
    <w:p w14:paraId="4F502DB0" w14:textId="77777777" w:rsidR="005C641D" w:rsidRDefault="005C641D" w:rsidP="00AD033D">
      <w:pPr>
        <w:spacing w:after="0" w:line="240" w:lineRule="auto"/>
        <w:jc w:val="center"/>
        <w:rPr>
          <w:rFonts w:ascii="David" w:hAnsi="David" w:cs="David"/>
          <w:b/>
          <w:bCs/>
          <w:sz w:val="24"/>
          <w:szCs w:val="24"/>
          <w:rtl/>
        </w:rPr>
      </w:pPr>
    </w:p>
    <w:p w14:paraId="3254EEE7" w14:textId="23FFAF85" w:rsidR="00DA522A" w:rsidRDefault="00577C96" w:rsidP="00654CA9">
      <w:pPr>
        <w:spacing w:after="0" w:line="240" w:lineRule="auto"/>
        <w:jc w:val="center"/>
        <w:rPr>
          <w:rFonts w:ascii="David" w:hAnsi="David" w:cs="David"/>
          <w:b/>
          <w:bCs/>
          <w:sz w:val="24"/>
          <w:szCs w:val="24"/>
          <w:rtl/>
        </w:rPr>
      </w:pPr>
      <w:r>
        <w:rPr>
          <w:rFonts w:ascii="David" w:hAnsi="David" w:cs="David" w:hint="cs"/>
          <w:b/>
          <w:bCs/>
          <w:sz w:val="24"/>
          <w:szCs w:val="24"/>
          <w:rtl/>
        </w:rPr>
        <w:lastRenderedPageBreak/>
        <w:t xml:space="preserve">איור 1: </w:t>
      </w:r>
      <w:r w:rsidR="00DA522A" w:rsidRPr="00BB425C">
        <w:rPr>
          <w:rFonts w:ascii="David" w:hAnsi="David" w:cs="David" w:hint="cs"/>
          <w:b/>
          <w:bCs/>
          <w:sz w:val="24"/>
          <w:szCs w:val="24"/>
          <w:rtl/>
        </w:rPr>
        <w:t>יציאות ישראלים</w:t>
      </w:r>
      <w:r w:rsidR="00DA522A">
        <w:rPr>
          <w:rFonts w:ascii="David" w:hAnsi="David" w:cs="David" w:hint="cs"/>
          <w:b/>
          <w:bCs/>
          <w:sz w:val="24"/>
          <w:szCs w:val="24"/>
          <w:rtl/>
        </w:rPr>
        <w:t xml:space="preserve"> לחו"ל 1995–2019 </w:t>
      </w:r>
    </w:p>
    <w:p w14:paraId="7F5DD40E" w14:textId="77777777" w:rsidR="00AD033D" w:rsidRDefault="00AD033D" w:rsidP="00323D83">
      <w:pPr>
        <w:spacing w:after="0" w:line="240" w:lineRule="auto"/>
        <w:jc w:val="center"/>
        <w:rPr>
          <w:rFonts w:ascii="David" w:hAnsi="David" w:cs="David"/>
          <w:b/>
          <w:bCs/>
          <w:sz w:val="24"/>
          <w:szCs w:val="24"/>
          <w:rtl/>
        </w:rPr>
      </w:pPr>
      <w:r>
        <w:rPr>
          <w:rFonts w:ascii="David" w:hAnsi="David" w:cs="David"/>
          <w:b/>
          <w:bCs/>
          <w:noProof/>
          <w:sz w:val="24"/>
          <w:szCs w:val="24"/>
        </w:rPr>
        <w:drawing>
          <wp:inline distT="0" distB="0" distL="0" distR="0" wp14:anchorId="2E9C79F8" wp14:editId="43FFF8EF">
            <wp:extent cx="4462896" cy="219456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2475" cy="2228774"/>
                    </a:xfrm>
                    <a:prstGeom prst="rect">
                      <a:avLst/>
                    </a:prstGeom>
                    <a:noFill/>
                  </pic:spPr>
                </pic:pic>
              </a:graphicData>
            </a:graphic>
          </wp:inline>
        </w:drawing>
      </w:r>
    </w:p>
    <w:p w14:paraId="4D9D0982" w14:textId="77777777" w:rsidR="00DA522A" w:rsidRPr="00E46057" w:rsidRDefault="00DA522A" w:rsidP="00417824">
      <w:pPr>
        <w:spacing w:line="240" w:lineRule="auto"/>
        <w:rPr>
          <w:rFonts w:ascii="David" w:hAnsi="David" w:cs="David"/>
          <w:sz w:val="20"/>
          <w:szCs w:val="20"/>
          <w:rtl/>
        </w:rPr>
      </w:pPr>
      <w:r w:rsidRPr="00E46057">
        <w:rPr>
          <w:rFonts w:ascii="David" w:hAnsi="David" w:cs="David" w:hint="cs"/>
          <w:sz w:val="20"/>
          <w:szCs w:val="20"/>
          <w:rtl/>
        </w:rPr>
        <w:t>המקור: הלמ"ס.</w:t>
      </w:r>
    </w:p>
    <w:p w14:paraId="1C8293C6" w14:textId="07A239D5" w:rsidR="001B3028" w:rsidRDefault="001B3028" w:rsidP="009C3487">
      <w:pPr>
        <w:spacing w:line="360" w:lineRule="auto"/>
        <w:jc w:val="both"/>
        <w:rPr>
          <w:rFonts w:ascii="David" w:hAnsi="David" w:cs="David"/>
          <w:sz w:val="24"/>
          <w:szCs w:val="24"/>
          <w:rtl/>
        </w:rPr>
      </w:pPr>
      <w:r>
        <w:rPr>
          <w:rFonts w:ascii="David" w:hAnsi="David" w:cs="David" w:hint="cs"/>
          <w:sz w:val="24"/>
          <w:szCs w:val="24"/>
          <w:rtl/>
        </w:rPr>
        <w:t xml:space="preserve">לצד העלייה ביציאות לחו"ל נראה שהרפורמה לא פגעה בפעילות של ענפי התיירות המקומית. למרות הכניסה המסיבית של חברות תעופה בין-לאומיות לשוק הישראלי, מספר הטיסות והנוסעים של החברות הישראליות המשיך </w:t>
      </w:r>
      <w:r w:rsidRPr="00A850F0">
        <w:rPr>
          <w:rFonts w:ascii="David" w:hAnsi="David" w:cs="David" w:hint="cs"/>
          <w:sz w:val="24"/>
          <w:szCs w:val="24"/>
          <w:rtl/>
        </w:rPr>
        <w:t>לעלות</w:t>
      </w:r>
      <w:r w:rsidRPr="00BA0B52">
        <w:rPr>
          <w:rFonts w:ascii="David" w:hAnsi="David" w:cs="David" w:hint="cs"/>
          <w:sz w:val="24"/>
          <w:szCs w:val="24"/>
          <w:rtl/>
        </w:rPr>
        <w:t xml:space="preserve">, </w:t>
      </w:r>
      <w:r>
        <w:rPr>
          <w:rFonts w:ascii="David" w:hAnsi="David" w:cs="David" w:hint="cs"/>
          <w:sz w:val="24"/>
          <w:szCs w:val="24"/>
          <w:rtl/>
        </w:rPr>
        <w:t>גם אם</w:t>
      </w:r>
      <w:r w:rsidRPr="00476098">
        <w:rPr>
          <w:rFonts w:ascii="David" w:hAnsi="David" w:cs="David"/>
          <w:sz w:val="24"/>
          <w:szCs w:val="24"/>
          <w:rtl/>
        </w:rPr>
        <w:t xml:space="preserve"> ב</w:t>
      </w:r>
      <w:r w:rsidRPr="00476098">
        <w:rPr>
          <w:rFonts w:ascii="David" w:hAnsi="David" w:cs="David" w:hint="eastAsia"/>
          <w:sz w:val="24"/>
          <w:szCs w:val="24"/>
          <w:rtl/>
        </w:rPr>
        <w:t>קצב</w:t>
      </w:r>
      <w:r w:rsidRPr="00A850F0">
        <w:rPr>
          <w:rFonts w:ascii="David" w:hAnsi="David" w:cs="David" w:hint="cs"/>
          <w:sz w:val="24"/>
          <w:szCs w:val="24"/>
          <w:rtl/>
        </w:rPr>
        <w:t xml:space="preserve"> נמוך</w:t>
      </w:r>
      <w:r>
        <w:rPr>
          <w:rFonts w:ascii="David" w:hAnsi="David" w:cs="David" w:hint="cs"/>
          <w:sz w:val="24"/>
          <w:szCs w:val="24"/>
          <w:rtl/>
        </w:rPr>
        <w:t xml:space="preserve"> מזה של טיסות החברות הזרות. היקף התיירות הנכנסת בשנים האחרונות עלה משמעותית, </w:t>
      </w:r>
      <w:r w:rsidRPr="005C641D">
        <w:rPr>
          <w:rFonts w:ascii="David" w:hAnsi="David" w:cs="David" w:hint="cs"/>
          <w:sz w:val="24"/>
          <w:szCs w:val="24"/>
          <w:rtl/>
        </w:rPr>
        <w:t>אך</w:t>
      </w:r>
      <w:r w:rsidRPr="005C641D">
        <w:rPr>
          <w:rFonts w:ascii="David" w:hAnsi="David" w:cs="David"/>
          <w:sz w:val="24"/>
          <w:szCs w:val="24"/>
          <w:rtl/>
        </w:rPr>
        <w:t xml:space="preserve"> </w:t>
      </w:r>
      <w:r w:rsidRPr="005C641D">
        <w:rPr>
          <w:rFonts w:ascii="David" w:hAnsi="David" w:cs="David" w:hint="cs"/>
          <w:sz w:val="24"/>
          <w:szCs w:val="24"/>
          <w:rtl/>
        </w:rPr>
        <w:t>תוצאות</w:t>
      </w:r>
      <w:r w:rsidRPr="005C641D">
        <w:rPr>
          <w:rFonts w:ascii="David" w:hAnsi="David" w:cs="David"/>
          <w:sz w:val="24"/>
          <w:szCs w:val="24"/>
          <w:rtl/>
        </w:rPr>
        <w:t xml:space="preserve"> </w:t>
      </w:r>
      <w:r w:rsidRPr="005C641D">
        <w:rPr>
          <w:rFonts w:ascii="David" w:hAnsi="David" w:cs="David" w:hint="cs"/>
          <w:sz w:val="24"/>
          <w:szCs w:val="24"/>
          <w:rtl/>
        </w:rPr>
        <w:t>אמידת</w:t>
      </w:r>
      <w:r w:rsidRPr="005C641D">
        <w:rPr>
          <w:rFonts w:ascii="David" w:hAnsi="David" w:cs="David"/>
          <w:sz w:val="24"/>
          <w:szCs w:val="24"/>
          <w:rtl/>
        </w:rPr>
        <w:t xml:space="preserve"> </w:t>
      </w:r>
      <w:r w:rsidRPr="005C641D">
        <w:rPr>
          <w:rFonts w:ascii="David" w:hAnsi="David" w:cs="David" w:hint="cs"/>
          <w:sz w:val="24"/>
          <w:szCs w:val="24"/>
          <w:rtl/>
        </w:rPr>
        <w:t>רגרסיית</w:t>
      </w:r>
      <w:r w:rsidRPr="005C641D">
        <w:rPr>
          <w:rFonts w:ascii="David" w:hAnsi="David" w:cs="David"/>
          <w:sz w:val="24"/>
          <w:szCs w:val="24"/>
          <w:rtl/>
        </w:rPr>
        <w:t xml:space="preserve"> </w:t>
      </w:r>
      <w:r w:rsidRPr="005C641D">
        <w:rPr>
          <w:rFonts w:ascii="David" w:hAnsi="David" w:cs="David" w:hint="cs"/>
          <w:sz w:val="24"/>
          <w:szCs w:val="24"/>
          <w:rtl/>
        </w:rPr>
        <w:t>הביקוש</w:t>
      </w:r>
      <w:r w:rsidRPr="005C641D">
        <w:rPr>
          <w:rFonts w:ascii="David" w:hAnsi="David" w:cs="David"/>
          <w:sz w:val="24"/>
          <w:szCs w:val="24"/>
          <w:rtl/>
        </w:rPr>
        <w:t xml:space="preserve"> </w:t>
      </w:r>
      <w:r w:rsidRPr="005C641D">
        <w:rPr>
          <w:rFonts w:ascii="David" w:hAnsi="David" w:cs="David" w:hint="cs"/>
          <w:sz w:val="24"/>
          <w:szCs w:val="24"/>
          <w:rtl/>
        </w:rPr>
        <w:t>של</w:t>
      </w:r>
      <w:r w:rsidRPr="005C641D">
        <w:rPr>
          <w:rFonts w:ascii="David" w:hAnsi="David" w:cs="David"/>
          <w:sz w:val="24"/>
          <w:szCs w:val="24"/>
          <w:rtl/>
        </w:rPr>
        <w:t xml:space="preserve"> </w:t>
      </w:r>
      <w:r w:rsidRPr="005C641D">
        <w:rPr>
          <w:rFonts w:ascii="David" w:hAnsi="David" w:cs="David" w:hint="cs"/>
          <w:sz w:val="24"/>
          <w:szCs w:val="24"/>
          <w:rtl/>
        </w:rPr>
        <w:t>תיירים</w:t>
      </w:r>
      <w:r w:rsidRPr="005C641D">
        <w:rPr>
          <w:rFonts w:ascii="David" w:hAnsi="David" w:cs="David"/>
          <w:sz w:val="24"/>
          <w:szCs w:val="24"/>
          <w:rtl/>
        </w:rPr>
        <w:t xml:space="preserve"> </w:t>
      </w:r>
      <w:r w:rsidRPr="005C641D">
        <w:rPr>
          <w:rFonts w:ascii="David" w:hAnsi="David" w:cs="David" w:hint="cs"/>
          <w:sz w:val="24"/>
          <w:szCs w:val="24"/>
          <w:rtl/>
        </w:rPr>
        <w:t>להגעה</w:t>
      </w:r>
      <w:r w:rsidRPr="005C641D">
        <w:rPr>
          <w:rFonts w:ascii="David" w:hAnsi="David" w:cs="David"/>
          <w:sz w:val="24"/>
          <w:szCs w:val="24"/>
          <w:rtl/>
        </w:rPr>
        <w:t xml:space="preserve"> </w:t>
      </w:r>
      <w:r w:rsidRPr="005C641D">
        <w:rPr>
          <w:rFonts w:ascii="David" w:hAnsi="David" w:cs="David" w:hint="cs"/>
          <w:sz w:val="24"/>
          <w:szCs w:val="24"/>
          <w:rtl/>
        </w:rPr>
        <w:t>לישראל</w:t>
      </w:r>
      <w:r w:rsidRPr="005C641D">
        <w:rPr>
          <w:rFonts w:ascii="David" w:hAnsi="David" w:cs="David"/>
          <w:sz w:val="24"/>
          <w:szCs w:val="24"/>
          <w:rtl/>
        </w:rPr>
        <w:t xml:space="preserve"> </w:t>
      </w:r>
      <w:r w:rsidRPr="005C641D">
        <w:rPr>
          <w:rFonts w:ascii="David" w:hAnsi="David" w:cs="David" w:hint="cs"/>
          <w:sz w:val="24"/>
          <w:szCs w:val="24"/>
          <w:rtl/>
        </w:rPr>
        <w:t>מלמדות</w:t>
      </w:r>
      <w:r w:rsidRPr="005C641D">
        <w:rPr>
          <w:rFonts w:ascii="David" w:hAnsi="David" w:cs="David"/>
          <w:sz w:val="24"/>
          <w:szCs w:val="24"/>
          <w:rtl/>
        </w:rPr>
        <w:t xml:space="preserve"> </w:t>
      </w:r>
      <w:r w:rsidRPr="005C641D">
        <w:rPr>
          <w:rFonts w:ascii="David" w:hAnsi="David" w:cs="David" w:hint="cs"/>
          <w:sz w:val="24"/>
          <w:szCs w:val="24"/>
          <w:rtl/>
        </w:rPr>
        <w:t>שלרפורמה</w:t>
      </w:r>
      <w:r w:rsidRPr="005C641D">
        <w:rPr>
          <w:rFonts w:ascii="David" w:hAnsi="David" w:cs="David"/>
          <w:sz w:val="24"/>
          <w:szCs w:val="24"/>
          <w:rtl/>
        </w:rPr>
        <w:t xml:space="preserve"> </w:t>
      </w:r>
      <w:r w:rsidRPr="005C641D">
        <w:rPr>
          <w:rFonts w:ascii="David" w:hAnsi="David" w:cs="David" w:hint="cs"/>
          <w:sz w:val="24"/>
          <w:szCs w:val="24"/>
          <w:rtl/>
        </w:rPr>
        <w:t>לא</w:t>
      </w:r>
      <w:r w:rsidRPr="005C641D">
        <w:rPr>
          <w:rFonts w:ascii="David" w:hAnsi="David" w:cs="David"/>
          <w:sz w:val="24"/>
          <w:szCs w:val="24"/>
          <w:rtl/>
        </w:rPr>
        <w:t xml:space="preserve"> </w:t>
      </w:r>
      <w:r w:rsidRPr="005C641D">
        <w:rPr>
          <w:rFonts w:ascii="David" w:hAnsi="David" w:cs="David" w:hint="cs"/>
          <w:sz w:val="24"/>
          <w:szCs w:val="24"/>
          <w:rtl/>
        </w:rPr>
        <w:t>הייתה</w:t>
      </w:r>
      <w:r w:rsidRPr="005C641D">
        <w:rPr>
          <w:rFonts w:ascii="David" w:hAnsi="David" w:cs="David"/>
          <w:sz w:val="24"/>
          <w:szCs w:val="24"/>
          <w:rtl/>
        </w:rPr>
        <w:t xml:space="preserve"> </w:t>
      </w:r>
      <w:r w:rsidRPr="005C641D">
        <w:rPr>
          <w:rFonts w:ascii="David" w:hAnsi="David" w:cs="David" w:hint="cs"/>
          <w:sz w:val="24"/>
          <w:szCs w:val="24"/>
          <w:rtl/>
        </w:rPr>
        <w:t>השפעה</w:t>
      </w:r>
      <w:r w:rsidRPr="005C641D">
        <w:rPr>
          <w:rFonts w:ascii="David" w:hAnsi="David" w:cs="David"/>
          <w:sz w:val="24"/>
          <w:szCs w:val="24"/>
          <w:rtl/>
        </w:rPr>
        <w:t xml:space="preserve"> </w:t>
      </w:r>
      <w:r w:rsidRPr="005C641D">
        <w:rPr>
          <w:rFonts w:ascii="David" w:hAnsi="David" w:cs="David" w:hint="cs"/>
          <w:sz w:val="24"/>
          <w:szCs w:val="24"/>
          <w:rtl/>
        </w:rPr>
        <w:t>מובהקת</w:t>
      </w:r>
      <w:r w:rsidRPr="005C641D">
        <w:rPr>
          <w:rFonts w:ascii="David" w:hAnsi="David" w:cs="David"/>
          <w:sz w:val="24"/>
          <w:szCs w:val="24"/>
          <w:rtl/>
        </w:rPr>
        <w:t xml:space="preserve"> </w:t>
      </w:r>
      <w:r w:rsidRPr="005C641D">
        <w:rPr>
          <w:rFonts w:ascii="David" w:hAnsi="David" w:cs="David" w:hint="cs"/>
          <w:sz w:val="24"/>
          <w:szCs w:val="24"/>
          <w:rtl/>
        </w:rPr>
        <w:t>על</w:t>
      </w:r>
      <w:r w:rsidRPr="005C641D">
        <w:rPr>
          <w:rFonts w:ascii="David" w:hAnsi="David" w:cs="David"/>
          <w:sz w:val="24"/>
          <w:szCs w:val="24"/>
          <w:rtl/>
        </w:rPr>
        <w:t xml:space="preserve"> </w:t>
      </w:r>
      <w:r w:rsidRPr="005C641D">
        <w:rPr>
          <w:rFonts w:ascii="David" w:hAnsi="David" w:cs="David" w:hint="cs"/>
          <w:sz w:val="24"/>
          <w:szCs w:val="24"/>
          <w:rtl/>
        </w:rPr>
        <w:t>מספר</w:t>
      </w:r>
      <w:r w:rsidRPr="005C641D">
        <w:rPr>
          <w:rFonts w:ascii="David" w:hAnsi="David" w:cs="David"/>
          <w:sz w:val="24"/>
          <w:szCs w:val="24"/>
          <w:rtl/>
        </w:rPr>
        <w:t xml:space="preserve"> </w:t>
      </w:r>
      <w:r w:rsidRPr="005C641D">
        <w:rPr>
          <w:rFonts w:ascii="David" w:hAnsi="David" w:cs="David" w:hint="cs"/>
          <w:sz w:val="24"/>
          <w:szCs w:val="24"/>
          <w:rtl/>
        </w:rPr>
        <w:t>התיירים</w:t>
      </w:r>
      <w:r w:rsidRPr="005C641D">
        <w:rPr>
          <w:rFonts w:ascii="David" w:hAnsi="David" w:cs="David"/>
          <w:sz w:val="24"/>
          <w:szCs w:val="24"/>
          <w:rtl/>
        </w:rPr>
        <w:t xml:space="preserve"> </w:t>
      </w:r>
      <w:r w:rsidRPr="005C641D">
        <w:rPr>
          <w:rFonts w:ascii="David" w:hAnsi="David" w:cs="David" w:hint="cs"/>
          <w:sz w:val="24"/>
          <w:szCs w:val="24"/>
          <w:rtl/>
        </w:rPr>
        <w:t>המגיעים</w:t>
      </w:r>
      <w:r w:rsidRPr="005C641D">
        <w:rPr>
          <w:rFonts w:ascii="David" w:hAnsi="David" w:cs="David"/>
          <w:sz w:val="24"/>
          <w:szCs w:val="24"/>
          <w:rtl/>
        </w:rPr>
        <w:t xml:space="preserve"> </w:t>
      </w:r>
      <w:r w:rsidRPr="005C641D">
        <w:rPr>
          <w:rFonts w:ascii="David" w:hAnsi="David" w:cs="David" w:hint="cs"/>
          <w:sz w:val="24"/>
          <w:szCs w:val="24"/>
          <w:rtl/>
        </w:rPr>
        <w:t>לכאן</w:t>
      </w:r>
      <w:r w:rsidRPr="005C641D">
        <w:rPr>
          <w:rFonts w:ascii="David" w:hAnsi="David" w:cs="David"/>
          <w:sz w:val="24"/>
          <w:szCs w:val="24"/>
          <w:rtl/>
        </w:rPr>
        <w:t xml:space="preserve">, </w:t>
      </w:r>
      <w:r w:rsidRPr="005C641D">
        <w:rPr>
          <w:rFonts w:ascii="David" w:hAnsi="David" w:cs="David" w:hint="cs"/>
          <w:sz w:val="24"/>
          <w:szCs w:val="24"/>
          <w:rtl/>
        </w:rPr>
        <w:t>ואת</w:t>
      </w:r>
      <w:r w:rsidRPr="005C641D">
        <w:rPr>
          <w:rFonts w:ascii="David" w:hAnsi="David" w:cs="David"/>
          <w:sz w:val="24"/>
          <w:szCs w:val="24"/>
          <w:rtl/>
        </w:rPr>
        <w:t xml:space="preserve"> </w:t>
      </w:r>
      <w:r w:rsidRPr="005C641D">
        <w:rPr>
          <w:rFonts w:ascii="David" w:hAnsi="David" w:cs="David" w:hint="cs"/>
          <w:sz w:val="24"/>
          <w:szCs w:val="24"/>
          <w:rtl/>
        </w:rPr>
        <w:t>העלייה</w:t>
      </w:r>
      <w:r w:rsidRPr="005C641D">
        <w:rPr>
          <w:rFonts w:ascii="David" w:hAnsi="David" w:cs="David"/>
          <w:sz w:val="24"/>
          <w:szCs w:val="24"/>
          <w:rtl/>
        </w:rPr>
        <w:t xml:space="preserve"> </w:t>
      </w:r>
      <w:r w:rsidRPr="005C641D">
        <w:rPr>
          <w:rFonts w:ascii="David" w:hAnsi="David" w:cs="David" w:hint="cs"/>
          <w:sz w:val="24"/>
          <w:szCs w:val="24"/>
          <w:rtl/>
        </w:rPr>
        <w:t>המהירה</w:t>
      </w:r>
      <w:r w:rsidRPr="005C641D">
        <w:rPr>
          <w:rFonts w:ascii="David" w:hAnsi="David" w:cs="David"/>
          <w:sz w:val="24"/>
          <w:szCs w:val="24"/>
          <w:rtl/>
        </w:rPr>
        <w:t xml:space="preserve"> </w:t>
      </w:r>
      <w:r w:rsidRPr="005C641D">
        <w:rPr>
          <w:rFonts w:ascii="David" w:hAnsi="David" w:cs="David" w:hint="cs"/>
          <w:sz w:val="24"/>
          <w:szCs w:val="24"/>
          <w:rtl/>
        </w:rPr>
        <w:t>בתיירות</w:t>
      </w:r>
      <w:r w:rsidRPr="005C641D">
        <w:rPr>
          <w:rFonts w:ascii="David" w:hAnsi="David" w:cs="David"/>
          <w:sz w:val="24"/>
          <w:szCs w:val="24"/>
          <w:rtl/>
        </w:rPr>
        <w:t xml:space="preserve"> </w:t>
      </w:r>
      <w:r w:rsidRPr="005C641D">
        <w:rPr>
          <w:rFonts w:ascii="David" w:hAnsi="David" w:cs="David" w:hint="cs"/>
          <w:sz w:val="24"/>
          <w:szCs w:val="24"/>
          <w:rtl/>
        </w:rPr>
        <w:t>הנכנסת</w:t>
      </w:r>
      <w:r w:rsidRPr="005C641D">
        <w:rPr>
          <w:rFonts w:ascii="David" w:hAnsi="David" w:cs="David"/>
          <w:sz w:val="24"/>
          <w:szCs w:val="24"/>
          <w:rtl/>
        </w:rPr>
        <w:t xml:space="preserve"> </w:t>
      </w:r>
      <w:r w:rsidRPr="005C641D">
        <w:rPr>
          <w:rFonts w:ascii="David" w:hAnsi="David" w:cs="David" w:hint="cs"/>
          <w:sz w:val="24"/>
          <w:szCs w:val="24"/>
          <w:rtl/>
        </w:rPr>
        <w:t>ניתן</w:t>
      </w:r>
      <w:r w:rsidRPr="005C641D">
        <w:rPr>
          <w:rFonts w:ascii="David" w:hAnsi="David" w:cs="David"/>
          <w:sz w:val="24"/>
          <w:szCs w:val="24"/>
          <w:rtl/>
        </w:rPr>
        <w:t xml:space="preserve"> </w:t>
      </w:r>
      <w:r w:rsidRPr="005C641D">
        <w:rPr>
          <w:rFonts w:ascii="David" w:hAnsi="David" w:cs="David" w:hint="cs"/>
          <w:sz w:val="24"/>
          <w:szCs w:val="24"/>
          <w:rtl/>
        </w:rPr>
        <w:t>לייחס</w:t>
      </w:r>
      <w:r w:rsidRPr="005C641D">
        <w:rPr>
          <w:rFonts w:ascii="David" w:hAnsi="David" w:cs="David"/>
          <w:sz w:val="24"/>
          <w:szCs w:val="24"/>
          <w:rtl/>
        </w:rPr>
        <w:t xml:space="preserve"> </w:t>
      </w:r>
      <w:r w:rsidRPr="005C641D">
        <w:rPr>
          <w:rFonts w:ascii="David" w:hAnsi="David" w:cs="David" w:hint="cs"/>
          <w:sz w:val="24"/>
          <w:szCs w:val="24"/>
          <w:rtl/>
        </w:rPr>
        <w:t>לגורמים</w:t>
      </w:r>
      <w:r w:rsidRPr="005C641D">
        <w:rPr>
          <w:rFonts w:ascii="David" w:hAnsi="David" w:cs="David"/>
          <w:sz w:val="24"/>
          <w:szCs w:val="24"/>
          <w:rtl/>
        </w:rPr>
        <w:t xml:space="preserve"> אחרים, כגון צמיחת התוצר במדינות </w:t>
      </w:r>
      <w:r w:rsidRPr="005C641D">
        <w:rPr>
          <w:rFonts w:ascii="David" w:hAnsi="David" w:cs="David"/>
          <w:sz w:val="24"/>
          <w:szCs w:val="24"/>
        </w:rPr>
        <w:t>OECD</w:t>
      </w:r>
      <w:r w:rsidRPr="005C641D">
        <w:rPr>
          <w:rFonts w:ascii="David" w:hAnsi="David" w:cs="David"/>
          <w:sz w:val="24"/>
          <w:szCs w:val="24"/>
          <w:rtl/>
        </w:rPr>
        <w:t xml:space="preserve"> ושיפור המצב הביטחוני בישראל.</w:t>
      </w:r>
      <w:r>
        <w:rPr>
          <w:rFonts w:ascii="David" w:hAnsi="David" w:cs="David" w:hint="cs"/>
          <w:sz w:val="24"/>
          <w:szCs w:val="24"/>
          <w:rtl/>
        </w:rPr>
        <w:t xml:space="preserve"> בסופו של דבר הגברת התחרות בתחום הטיסות, לרבות השפעתה להגברת היציאות של תיירים ישראלים לחו"ל, לא פגעה בפעילות של ענפי התיירות, והיקף הפעילות והתעסוקה בתיירות בשנות הרפורמה גדל בקצב דומה לקצב הממוצע במדינות </w:t>
      </w:r>
      <w:r>
        <w:rPr>
          <w:rFonts w:ascii="David" w:hAnsi="David" w:cs="David" w:hint="cs"/>
          <w:sz w:val="24"/>
          <w:szCs w:val="24"/>
        </w:rPr>
        <w:t>OECD</w:t>
      </w:r>
      <w:r w:rsidR="00577C96">
        <w:rPr>
          <w:rFonts w:ascii="David" w:hAnsi="David" w:cs="David" w:hint="cs"/>
          <w:sz w:val="24"/>
          <w:szCs w:val="24"/>
          <w:rtl/>
        </w:rPr>
        <w:t xml:space="preserve"> (איור 2)</w:t>
      </w:r>
      <w:r>
        <w:rPr>
          <w:rFonts w:ascii="David" w:hAnsi="David" w:cs="David" w:hint="cs"/>
          <w:sz w:val="24"/>
          <w:szCs w:val="24"/>
          <w:rtl/>
        </w:rPr>
        <w:t xml:space="preserve">. </w:t>
      </w:r>
    </w:p>
    <w:p w14:paraId="586BDAB6" w14:textId="77777777" w:rsidR="00577C96" w:rsidRDefault="00577C96" w:rsidP="00AA423D">
      <w:pPr>
        <w:spacing w:before="240" w:after="0" w:line="360" w:lineRule="auto"/>
        <w:jc w:val="center"/>
        <w:rPr>
          <w:rFonts w:ascii="David" w:hAnsi="David" w:cs="David"/>
          <w:b/>
          <w:bCs/>
          <w:sz w:val="24"/>
          <w:szCs w:val="24"/>
          <w:rtl/>
        </w:rPr>
      </w:pPr>
      <w:r>
        <w:rPr>
          <w:rFonts w:ascii="David" w:hAnsi="David" w:cs="David" w:hint="cs"/>
          <w:b/>
          <w:bCs/>
          <w:sz w:val="24"/>
          <w:szCs w:val="24"/>
          <w:rtl/>
        </w:rPr>
        <w:t xml:space="preserve">איור 2: שיעור השינוי במספר המועסקים בענפי התיירות 2012 עד </w:t>
      </w:r>
      <w:r w:rsidR="00D73DF2" w:rsidRPr="00D73DF2">
        <w:rPr>
          <w:rFonts w:ascii="David" w:hAnsi="David" w:cs="David" w:hint="cs"/>
          <w:b/>
          <w:bCs/>
          <w:sz w:val="24"/>
          <w:szCs w:val="24"/>
          <w:vertAlign w:val="superscript"/>
          <w:rtl/>
        </w:rPr>
        <w:t>1</w:t>
      </w:r>
      <w:r>
        <w:rPr>
          <w:rFonts w:ascii="David" w:hAnsi="David" w:cs="David" w:hint="cs"/>
          <w:b/>
          <w:bCs/>
          <w:sz w:val="24"/>
          <w:szCs w:val="24"/>
          <w:rtl/>
        </w:rPr>
        <w:t>2017</w:t>
      </w:r>
      <w:r w:rsidR="00D73DF2">
        <w:rPr>
          <w:rFonts w:ascii="David" w:hAnsi="David" w:cs="David" w:hint="cs"/>
          <w:b/>
          <w:bCs/>
          <w:sz w:val="24"/>
          <w:szCs w:val="24"/>
          <w:rtl/>
        </w:rPr>
        <w:t xml:space="preserve"> </w:t>
      </w:r>
      <w:r w:rsidR="00D73DF2" w:rsidRPr="00D73DF2">
        <w:rPr>
          <w:rFonts w:ascii="David" w:hAnsi="David" w:cs="David" w:hint="cs"/>
          <w:b/>
          <w:bCs/>
          <w:sz w:val="24"/>
          <w:szCs w:val="24"/>
          <w:vertAlign w:val="superscript"/>
          <w:rtl/>
        </w:rPr>
        <w:t>2</w:t>
      </w:r>
    </w:p>
    <w:p w14:paraId="3CB25268" w14:textId="77777777" w:rsidR="00577C96" w:rsidRDefault="00577C96" w:rsidP="00417824">
      <w:pPr>
        <w:spacing w:after="0" w:line="360" w:lineRule="auto"/>
        <w:jc w:val="center"/>
        <w:rPr>
          <w:rFonts w:ascii="David" w:hAnsi="David" w:cs="David"/>
          <w:b/>
          <w:bCs/>
          <w:sz w:val="24"/>
          <w:szCs w:val="24"/>
          <w:rtl/>
        </w:rPr>
      </w:pPr>
      <w:r>
        <w:rPr>
          <w:rFonts w:ascii="David" w:hAnsi="David" w:cs="David"/>
          <w:b/>
          <w:bCs/>
          <w:noProof/>
          <w:sz w:val="24"/>
          <w:szCs w:val="24"/>
        </w:rPr>
        <w:drawing>
          <wp:inline distT="0" distB="0" distL="0" distR="0" wp14:anchorId="4DFDBA7F" wp14:editId="19E87387">
            <wp:extent cx="5397748" cy="2803484"/>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1398" cy="2831349"/>
                    </a:xfrm>
                    <a:prstGeom prst="rect">
                      <a:avLst/>
                    </a:prstGeom>
                    <a:noFill/>
                  </pic:spPr>
                </pic:pic>
              </a:graphicData>
            </a:graphic>
          </wp:inline>
        </w:drawing>
      </w:r>
    </w:p>
    <w:p w14:paraId="201034E7" w14:textId="77777777" w:rsidR="00577C96" w:rsidRDefault="00D73DF2" w:rsidP="0078296C">
      <w:pPr>
        <w:spacing w:after="0" w:line="240" w:lineRule="auto"/>
        <w:jc w:val="both"/>
        <w:rPr>
          <w:rFonts w:ascii="David" w:hAnsi="David" w:cs="David"/>
          <w:sz w:val="20"/>
          <w:szCs w:val="20"/>
          <w:rtl/>
        </w:rPr>
      </w:pPr>
      <w:r w:rsidRPr="00D73DF2">
        <w:rPr>
          <w:rFonts w:ascii="David" w:hAnsi="David" w:cs="David" w:hint="cs"/>
          <w:sz w:val="20"/>
          <w:szCs w:val="20"/>
          <w:vertAlign w:val="superscript"/>
          <w:rtl/>
        </w:rPr>
        <w:t>1</w:t>
      </w:r>
      <w:r w:rsidR="00577C96" w:rsidRPr="00954392">
        <w:rPr>
          <w:rFonts w:ascii="David" w:hAnsi="David" w:cs="David"/>
          <w:sz w:val="20"/>
          <w:szCs w:val="20"/>
          <w:rtl/>
        </w:rPr>
        <w:t xml:space="preserve">ההשוואה </w:t>
      </w:r>
      <w:r w:rsidR="00577C96" w:rsidRPr="00954392">
        <w:rPr>
          <w:rFonts w:ascii="David" w:hAnsi="David" w:cs="David" w:hint="eastAsia"/>
          <w:sz w:val="20"/>
          <w:szCs w:val="20"/>
          <w:rtl/>
        </w:rPr>
        <w:t>כוללת</w:t>
      </w:r>
      <w:r w:rsidR="00577C96" w:rsidRPr="00954392">
        <w:rPr>
          <w:rFonts w:ascii="David" w:hAnsi="David" w:cs="David"/>
          <w:sz w:val="20"/>
          <w:szCs w:val="20"/>
          <w:rtl/>
        </w:rPr>
        <w:t xml:space="preserve"> </w:t>
      </w:r>
      <w:r w:rsidR="00577C96" w:rsidRPr="00954392">
        <w:rPr>
          <w:rFonts w:ascii="David" w:hAnsi="David" w:cs="David" w:hint="eastAsia"/>
          <w:sz w:val="20"/>
          <w:szCs w:val="20"/>
          <w:rtl/>
        </w:rPr>
        <w:t>את</w:t>
      </w:r>
      <w:r w:rsidR="00577C96" w:rsidRPr="00954392">
        <w:rPr>
          <w:rFonts w:ascii="David" w:hAnsi="David" w:cs="David"/>
          <w:sz w:val="20"/>
          <w:szCs w:val="20"/>
          <w:rtl/>
        </w:rPr>
        <w:t xml:space="preserve"> </w:t>
      </w:r>
      <w:r w:rsidR="00577C96" w:rsidRPr="00954392">
        <w:rPr>
          <w:rFonts w:ascii="David" w:hAnsi="David" w:cs="David" w:hint="eastAsia"/>
          <w:sz w:val="20"/>
          <w:szCs w:val="20"/>
          <w:rtl/>
        </w:rPr>
        <w:t>כל</w:t>
      </w:r>
      <w:r w:rsidR="00577C96" w:rsidRPr="00954392">
        <w:rPr>
          <w:rFonts w:ascii="David" w:hAnsi="David" w:cs="David"/>
          <w:sz w:val="20"/>
          <w:szCs w:val="20"/>
          <w:rtl/>
        </w:rPr>
        <w:t xml:space="preserve"> </w:t>
      </w:r>
      <w:r w:rsidR="00577C96" w:rsidRPr="00954392">
        <w:rPr>
          <w:rFonts w:ascii="David" w:hAnsi="David" w:cs="David" w:hint="eastAsia"/>
          <w:sz w:val="20"/>
          <w:szCs w:val="20"/>
          <w:rtl/>
        </w:rPr>
        <w:t>המדינות</w:t>
      </w:r>
      <w:r w:rsidR="00577C96" w:rsidRPr="00954392">
        <w:rPr>
          <w:rFonts w:ascii="David" w:hAnsi="David" w:cs="David"/>
          <w:sz w:val="20"/>
          <w:szCs w:val="20"/>
          <w:rtl/>
        </w:rPr>
        <w:t xml:space="preserve"> </w:t>
      </w:r>
      <w:r w:rsidR="00577C96" w:rsidRPr="00954392">
        <w:rPr>
          <w:rFonts w:ascii="David" w:hAnsi="David" w:cs="David" w:hint="eastAsia"/>
          <w:sz w:val="20"/>
          <w:szCs w:val="20"/>
          <w:rtl/>
        </w:rPr>
        <w:t>שיש</w:t>
      </w:r>
      <w:r w:rsidR="00577C96" w:rsidRPr="00954392">
        <w:rPr>
          <w:rFonts w:ascii="David" w:hAnsi="David" w:cs="David"/>
          <w:sz w:val="20"/>
          <w:szCs w:val="20"/>
          <w:rtl/>
        </w:rPr>
        <w:t xml:space="preserve"> </w:t>
      </w:r>
      <w:r w:rsidR="0078296C" w:rsidRPr="00954392">
        <w:rPr>
          <w:rFonts w:ascii="David" w:hAnsi="David" w:cs="David" w:hint="eastAsia"/>
          <w:sz w:val="20"/>
          <w:szCs w:val="20"/>
          <w:rtl/>
        </w:rPr>
        <w:t>לגביה</w:t>
      </w:r>
      <w:r w:rsidR="0078296C">
        <w:rPr>
          <w:rFonts w:ascii="David" w:hAnsi="David" w:cs="David" w:hint="cs"/>
          <w:sz w:val="20"/>
          <w:szCs w:val="20"/>
          <w:rtl/>
        </w:rPr>
        <w:t>ן</w:t>
      </w:r>
      <w:r w:rsidR="0078296C" w:rsidRPr="00954392">
        <w:rPr>
          <w:rFonts w:ascii="David" w:hAnsi="David" w:cs="David"/>
          <w:sz w:val="20"/>
          <w:szCs w:val="20"/>
          <w:rtl/>
        </w:rPr>
        <w:t xml:space="preserve"> </w:t>
      </w:r>
      <w:r w:rsidR="00577C96" w:rsidRPr="00954392">
        <w:rPr>
          <w:rFonts w:ascii="David" w:hAnsi="David" w:cs="David" w:hint="eastAsia"/>
          <w:sz w:val="20"/>
          <w:szCs w:val="20"/>
          <w:rtl/>
        </w:rPr>
        <w:t>נתונים</w:t>
      </w:r>
      <w:r w:rsidR="00577C96" w:rsidRPr="00954392">
        <w:rPr>
          <w:rFonts w:ascii="David" w:hAnsi="David" w:cs="David"/>
          <w:sz w:val="20"/>
          <w:szCs w:val="20"/>
          <w:rtl/>
        </w:rPr>
        <w:t>.</w:t>
      </w:r>
    </w:p>
    <w:p w14:paraId="28CA4295" w14:textId="77777777" w:rsidR="00981273" w:rsidRPr="0035769C" w:rsidRDefault="00D73DF2" w:rsidP="006E290B">
      <w:pPr>
        <w:spacing w:after="0" w:line="240" w:lineRule="auto"/>
        <w:jc w:val="both"/>
        <w:rPr>
          <w:rFonts w:ascii="David" w:hAnsi="David" w:cs="David"/>
          <w:sz w:val="20"/>
          <w:szCs w:val="20"/>
          <w:rtl/>
        </w:rPr>
      </w:pPr>
      <w:r w:rsidRPr="00D73DF2">
        <w:rPr>
          <w:rFonts w:ascii="David" w:hAnsi="David" w:cs="David" w:hint="cs"/>
          <w:sz w:val="20"/>
          <w:szCs w:val="20"/>
          <w:vertAlign w:val="superscript"/>
          <w:rtl/>
        </w:rPr>
        <w:t>2</w:t>
      </w:r>
      <w:r w:rsidR="00981273" w:rsidRPr="0035769C">
        <w:rPr>
          <w:rFonts w:ascii="David" w:hAnsi="David" w:cs="David"/>
          <w:sz w:val="20"/>
          <w:szCs w:val="20"/>
          <w:rtl/>
        </w:rPr>
        <w:t xml:space="preserve">כולל את המועסקים בתיירות נכנסת, תיירות פנים </w:t>
      </w:r>
      <w:r w:rsidR="00981273">
        <w:rPr>
          <w:rFonts w:ascii="David" w:hAnsi="David" w:cs="David" w:hint="cs"/>
          <w:sz w:val="20"/>
          <w:szCs w:val="20"/>
          <w:rtl/>
        </w:rPr>
        <w:t>עבור חופשה בארץ ועבור נסיעה לחו"ל</w:t>
      </w:r>
      <w:r w:rsidR="00981273" w:rsidRPr="0035769C">
        <w:rPr>
          <w:rFonts w:ascii="David" w:hAnsi="David" w:cs="David"/>
          <w:sz w:val="20"/>
          <w:szCs w:val="20"/>
          <w:rtl/>
        </w:rPr>
        <w:t>.</w:t>
      </w:r>
      <w:r w:rsidR="00981273">
        <w:rPr>
          <w:rFonts w:ascii="David" w:hAnsi="David" w:cs="David" w:hint="cs"/>
          <w:sz w:val="20"/>
          <w:szCs w:val="20"/>
          <w:rtl/>
        </w:rPr>
        <w:t xml:space="preserve"> הענפים העיקריים הם </w:t>
      </w:r>
      <w:r w:rsidR="00981273" w:rsidRPr="0035769C">
        <w:rPr>
          <w:rFonts w:ascii="David" w:hAnsi="David" w:cs="David"/>
          <w:sz w:val="20"/>
          <w:szCs w:val="20"/>
          <w:rtl/>
        </w:rPr>
        <w:t xml:space="preserve">שירותי אירוח, שירותי </w:t>
      </w:r>
      <w:r w:rsidR="00981273">
        <w:rPr>
          <w:rFonts w:ascii="David" w:hAnsi="David" w:cs="David" w:hint="cs"/>
          <w:sz w:val="20"/>
          <w:szCs w:val="20"/>
          <w:rtl/>
        </w:rPr>
        <w:t>מזון ומשקאות</w:t>
      </w:r>
      <w:r w:rsidR="00981273" w:rsidRPr="0035769C">
        <w:rPr>
          <w:rFonts w:ascii="David" w:hAnsi="David" w:cs="David"/>
          <w:sz w:val="20"/>
          <w:szCs w:val="20"/>
          <w:rtl/>
        </w:rPr>
        <w:t xml:space="preserve">, </w:t>
      </w:r>
      <w:r w:rsidR="00981273" w:rsidRPr="00037B07">
        <w:rPr>
          <w:rFonts w:ascii="David" w:hAnsi="David" w:cs="David"/>
          <w:sz w:val="20"/>
          <w:szCs w:val="20"/>
          <w:rtl/>
        </w:rPr>
        <w:t>הובלה אווירית של נוסעים ושירותים של שדות תעופה ושל נמלים</w:t>
      </w:r>
      <w:r w:rsidR="00981273">
        <w:rPr>
          <w:rFonts w:ascii="David" w:hAnsi="David" w:cs="David" w:hint="cs"/>
          <w:sz w:val="20"/>
          <w:szCs w:val="20"/>
          <w:rtl/>
        </w:rPr>
        <w:t>,</w:t>
      </w:r>
      <w:r w:rsidR="00981273" w:rsidRPr="0035769C">
        <w:rPr>
          <w:rFonts w:ascii="David" w:hAnsi="David" w:cs="David"/>
          <w:sz w:val="20"/>
          <w:szCs w:val="20"/>
          <w:rtl/>
        </w:rPr>
        <w:t xml:space="preserve"> </w:t>
      </w:r>
      <w:r w:rsidR="00981273">
        <w:rPr>
          <w:rFonts w:ascii="David" w:hAnsi="David" w:cs="David" w:hint="cs"/>
          <w:sz w:val="20"/>
          <w:szCs w:val="20"/>
          <w:rtl/>
        </w:rPr>
        <w:t xml:space="preserve">שירותי תחבורה ציבורית </w:t>
      </w:r>
      <w:r w:rsidR="00981273" w:rsidRPr="0060199D">
        <w:rPr>
          <w:rFonts w:ascii="David" w:hAnsi="David" w:cs="David" w:hint="eastAsia"/>
          <w:sz w:val="20"/>
          <w:szCs w:val="20"/>
          <w:rtl/>
        </w:rPr>
        <w:t>יבשתית</w:t>
      </w:r>
      <w:r w:rsidR="00981273" w:rsidRPr="0060199D">
        <w:rPr>
          <w:rFonts w:ascii="David" w:hAnsi="David" w:cs="David"/>
          <w:sz w:val="20"/>
          <w:szCs w:val="20"/>
          <w:rtl/>
        </w:rPr>
        <w:t xml:space="preserve"> </w:t>
      </w:r>
      <w:r w:rsidR="00981273" w:rsidRPr="0060199D">
        <w:rPr>
          <w:rFonts w:ascii="David" w:hAnsi="David" w:cs="David" w:hint="eastAsia"/>
          <w:sz w:val="20"/>
          <w:szCs w:val="20"/>
          <w:rtl/>
        </w:rPr>
        <w:t>ורכב</w:t>
      </w:r>
      <w:r w:rsidR="00981273" w:rsidRPr="0060199D">
        <w:rPr>
          <w:rFonts w:ascii="David" w:hAnsi="David" w:cs="David"/>
          <w:sz w:val="20"/>
          <w:szCs w:val="20"/>
          <w:rtl/>
        </w:rPr>
        <w:t xml:space="preserve"> </w:t>
      </w:r>
      <w:r w:rsidR="00981273">
        <w:rPr>
          <w:rFonts w:ascii="David" w:hAnsi="David" w:cs="David" w:hint="cs"/>
          <w:sz w:val="20"/>
          <w:szCs w:val="20"/>
          <w:rtl/>
        </w:rPr>
        <w:t xml:space="preserve">שכור, </w:t>
      </w:r>
      <w:r w:rsidR="00981273" w:rsidRPr="0060199D">
        <w:rPr>
          <w:rFonts w:ascii="David" w:hAnsi="David" w:cs="David" w:hint="eastAsia"/>
          <w:sz w:val="20"/>
          <w:szCs w:val="20"/>
          <w:rtl/>
        </w:rPr>
        <w:t>פעילות</w:t>
      </w:r>
      <w:r w:rsidR="00981273" w:rsidRPr="0060199D">
        <w:rPr>
          <w:rFonts w:ascii="David" w:hAnsi="David" w:cs="David"/>
          <w:sz w:val="20"/>
          <w:szCs w:val="20"/>
          <w:rtl/>
        </w:rPr>
        <w:t xml:space="preserve"> </w:t>
      </w:r>
      <w:r w:rsidR="00981273">
        <w:rPr>
          <w:rFonts w:ascii="David" w:hAnsi="David" w:cs="David" w:hint="cs"/>
          <w:sz w:val="20"/>
          <w:szCs w:val="20"/>
          <w:rtl/>
        </w:rPr>
        <w:t>של סוכנויות נסיעות ומארגני טיולים ופעילויות פנאי, נופש ובילויים.</w:t>
      </w:r>
    </w:p>
    <w:p w14:paraId="72691E99" w14:textId="77777777" w:rsidR="00981273" w:rsidRDefault="00981273" w:rsidP="00BE2EE3">
      <w:pPr>
        <w:spacing w:after="0" w:line="240" w:lineRule="auto"/>
        <w:rPr>
          <w:rFonts w:ascii="David" w:hAnsi="David" w:cs="David"/>
          <w:sz w:val="20"/>
          <w:szCs w:val="20"/>
          <w:rtl/>
        </w:rPr>
      </w:pPr>
      <w:r w:rsidRPr="0035769C">
        <w:rPr>
          <w:rFonts w:ascii="David" w:hAnsi="David" w:cs="David"/>
          <w:sz w:val="20"/>
          <w:szCs w:val="20"/>
          <w:rtl/>
        </w:rPr>
        <w:t xml:space="preserve">המקור: </w:t>
      </w:r>
      <w:r w:rsidRPr="0035769C">
        <w:rPr>
          <w:rFonts w:ascii="David" w:hAnsi="David" w:cs="David"/>
          <w:sz w:val="20"/>
          <w:szCs w:val="20"/>
        </w:rPr>
        <w:t>OECD</w:t>
      </w:r>
      <w:r>
        <w:rPr>
          <w:rFonts w:ascii="David" w:hAnsi="David" w:cs="David" w:hint="cs"/>
          <w:sz w:val="20"/>
          <w:szCs w:val="20"/>
          <w:rtl/>
        </w:rPr>
        <w:t>.</w:t>
      </w:r>
    </w:p>
    <w:sectPr w:rsidR="00981273" w:rsidSect="002E1B8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9E4B" w14:textId="77777777" w:rsidR="00325199" w:rsidRDefault="00325199" w:rsidP="005A7A4A">
      <w:pPr>
        <w:spacing w:after="0" w:line="240" w:lineRule="auto"/>
      </w:pPr>
      <w:r>
        <w:separator/>
      </w:r>
    </w:p>
  </w:endnote>
  <w:endnote w:type="continuationSeparator" w:id="0">
    <w:p w14:paraId="30C3231E" w14:textId="77777777" w:rsidR="00325199" w:rsidRDefault="00325199" w:rsidP="005A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0C95" w14:textId="77777777" w:rsidR="00325199" w:rsidRDefault="00325199" w:rsidP="005A7A4A">
      <w:pPr>
        <w:spacing w:after="0" w:line="240" w:lineRule="auto"/>
      </w:pPr>
      <w:r>
        <w:separator/>
      </w:r>
    </w:p>
  </w:footnote>
  <w:footnote w:type="continuationSeparator" w:id="0">
    <w:p w14:paraId="4E28F48D" w14:textId="77777777" w:rsidR="00325199" w:rsidRDefault="00325199" w:rsidP="005A7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720"/>
    <w:multiLevelType w:val="hybridMultilevel"/>
    <w:tmpl w:val="65445E00"/>
    <w:lvl w:ilvl="0" w:tplc="723E379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7CE4"/>
    <w:multiLevelType w:val="hybridMultilevel"/>
    <w:tmpl w:val="703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37995"/>
    <w:multiLevelType w:val="hybridMultilevel"/>
    <w:tmpl w:val="160A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10531"/>
    <w:multiLevelType w:val="hybridMultilevel"/>
    <w:tmpl w:val="3F483D36"/>
    <w:lvl w:ilvl="0" w:tplc="FD02C0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8056B"/>
    <w:multiLevelType w:val="hybridMultilevel"/>
    <w:tmpl w:val="0CF2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755A5"/>
    <w:multiLevelType w:val="hybridMultilevel"/>
    <w:tmpl w:val="BBF2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9C7ABC"/>
    <w:multiLevelType w:val="hybridMultilevel"/>
    <w:tmpl w:val="9FA4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59"/>
    <w:rsid w:val="000014B8"/>
    <w:rsid w:val="00017141"/>
    <w:rsid w:val="00032FAE"/>
    <w:rsid w:val="000B134B"/>
    <w:rsid w:val="001138A8"/>
    <w:rsid w:val="00135BFD"/>
    <w:rsid w:val="00140916"/>
    <w:rsid w:val="00165332"/>
    <w:rsid w:val="00194683"/>
    <w:rsid w:val="001A1D54"/>
    <w:rsid w:val="001B3028"/>
    <w:rsid w:val="001F0FB5"/>
    <w:rsid w:val="0020783D"/>
    <w:rsid w:val="002754EA"/>
    <w:rsid w:val="00285659"/>
    <w:rsid w:val="002928F6"/>
    <w:rsid w:val="002C6BE5"/>
    <w:rsid w:val="002E0A10"/>
    <w:rsid w:val="002E1B8C"/>
    <w:rsid w:val="002F5B5F"/>
    <w:rsid w:val="00323D83"/>
    <w:rsid w:val="00325199"/>
    <w:rsid w:val="003C3087"/>
    <w:rsid w:val="003D411F"/>
    <w:rsid w:val="003D4EAD"/>
    <w:rsid w:val="003D7BFE"/>
    <w:rsid w:val="003D7E01"/>
    <w:rsid w:val="00413696"/>
    <w:rsid w:val="00417824"/>
    <w:rsid w:val="00417F3C"/>
    <w:rsid w:val="00436EBB"/>
    <w:rsid w:val="00446BC4"/>
    <w:rsid w:val="00450512"/>
    <w:rsid w:val="00454293"/>
    <w:rsid w:val="00461C07"/>
    <w:rsid w:val="004B39B8"/>
    <w:rsid w:val="0050380F"/>
    <w:rsid w:val="00536530"/>
    <w:rsid w:val="00577C96"/>
    <w:rsid w:val="005852FC"/>
    <w:rsid w:val="00585A9B"/>
    <w:rsid w:val="005A7A4A"/>
    <w:rsid w:val="005B5CE3"/>
    <w:rsid w:val="005C641D"/>
    <w:rsid w:val="005D644D"/>
    <w:rsid w:val="005D69F2"/>
    <w:rsid w:val="00654CA9"/>
    <w:rsid w:val="00693CB4"/>
    <w:rsid w:val="006C036F"/>
    <w:rsid w:val="006E290B"/>
    <w:rsid w:val="007069A0"/>
    <w:rsid w:val="00740666"/>
    <w:rsid w:val="00755249"/>
    <w:rsid w:val="0078296C"/>
    <w:rsid w:val="007A77C0"/>
    <w:rsid w:val="007F3168"/>
    <w:rsid w:val="00822A2F"/>
    <w:rsid w:val="00827BC6"/>
    <w:rsid w:val="008506DC"/>
    <w:rsid w:val="008837C5"/>
    <w:rsid w:val="008B1777"/>
    <w:rsid w:val="008D7066"/>
    <w:rsid w:val="008D7076"/>
    <w:rsid w:val="008E2337"/>
    <w:rsid w:val="009142D6"/>
    <w:rsid w:val="00940BE7"/>
    <w:rsid w:val="00965C3A"/>
    <w:rsid w:val="00981273"/>
    <w:rsid w:val="009843A8"/>
    <w:rsid w:val="00993DC9"/>
    <w:rsid w:val="0099754E"/>
    <w:rsid w:val="009B3E68"/>
    <w:rsid w:val="009C3487"/>
    <w:rsid w:val="009D4F0C"/>
    <w:rsid w:val="009E04E6"/>
    <w:rsid w:val="009F2F64"/>
    <w:rsid w:val="00A234F8"/>
    <w:rsid w:val="00A36D3A"/>
    <w:rsid w:val="00A53BCD"/>
    <w:rsid w:val="00A735AB"/>
    <w:rsid w:val="00AA0F5B"/>
    <w:rsid w:val="00AA423D"/>
    <w:rsid w:val="00AB1189"/>
    <w:rsid w:val="00AB6BC4"/>
    <w:rsid w:val="00AC78B3"/>
    <w:rsid w:val="00AD033D"/>
    <w:rsid w:val="00AD2C21"/>
    <w:rsid w:val="00AF53A2"/>
    <w:rsid w:val="00B05F29"/>
    <w:rsid w:val="00B06D59"/>
    <w:rsid w:val="00B0754E"/>
    <w:rsid w:val="00B56FC2"/>
    <w:rsid w:val="00B97C08"/>
    <w:rsid w:val="00BA71BB"/>
    <w:rsid w:val="00BC0895"/>
    <w:rsid w:val="00BE2EE3"/>
    <w:rsid w:val="00BE6DA2"/>
    <w:rsid w:val="00C11CD4"/>
    <w:rsid w:val="00C24C8F"/>
    <w:rsid w:val="00C3297D"/>
    <w:rsid w:val="00C54A8C"/>
    <w:rsid w:val="00C64FBA"/>
    <w:rsid w:val="00C95FDB"/>
    <w:rsid w:val="00C96A97"/>
    <w:rsid w:val="00CB2AB3"/>
    <w:rsid w:val="00CF20ED"/>
    <w:rsid w:val="00CF6D63"/>
    <w:rsid w:val="00D62C99"/>
    <w:rsid w:val="00D72265"/>
    <w:rsid w:val="00D73DF2"/>
    <w:rsid w:val="00DA522A"/>
    <w:rsid w:val="00DD164D"/>
    <w:rsid w:val="00DE0E80"/>
    <w:rsid w:val="00DE1669"/>
    <w:rsid w:val="00DE1872"/>
    <w:rsid w:val="00DE4101"/>
    <w:rsid w:val="00DF2196"/>
    <w:rsid w:val="00DF2725"/>
    <w:rsid w:val="00DF7151"/>
    <w:rsid w:val="00E05A4B"/>
    <w:rsid w:val="00E33752"/>
    <w:rsid w:val="00E63E44"/>
    <w:rsid w:val="00E84D09"/>
    <w:rsid w:val="00E93630"/>
    <w:rsid w:val="00EA4CAD"/>
    <w:rsid w:val="00EC6956"/>
    <w:rsid w:val="00EE4324"/>
    <w:rsid w:val="00F00123"/>
    <w:rsid w:val="00F44863"/>
    <w:rsid w:val="00F4683D"/>
    <w:rsid w:val="00F62DDB"/>
    <w:rsid w:val="00FB55AC"/>
    <w:rsid w:val="00FB6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06DB"/>
  <w15:docId w15:val="{347B01F4-C94C-4F30-B12B-6E509ADB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D59"/>
    <w:pPr>
      <w:ind w:left="720"/>
      <w:contextualSpacing/>
    </w:pPr>
  </w:style>
  <w:style w:type="paragraph" w:styleId="a4">
    <w:name w:val="Balloon Text"/>
    <w:basedOn w:val="a"/>
    <w:link w:val="a5"/>
    <w:uiPriority w:val="99"/>
    <w:semiHidden/>
    <w:unhideWhenUsed/>
    <w:rsid w:val="0075524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55249"/>
    <w:rPr>
      <w:rFonts w:ascii="Tahoma" w:hAnsi="Tahoma" w:cs="Tahoma"/>
      <w:sz w:val="16"/>
      <w:szCs w:val="16"/>
    </w:rPr>
  </w:style>
  <w:style w:type="table" w:styleId="a6">
    <w:name w:val="Table Grid"/>
    <w:basedOn w:val="a1"/>
    <w:uiPriority w:val="59"/>
    <w:rsid w:val="00AC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140916"/>
    <w:rPr>
      <w:sz w:val="16"/>
      <w:szCs w:val="16"/>
    </w:rPr>
  </w:style>
  <w:style w:type="paragraph" w:styleId="a8">
    <w:name w:val="annotation text"/>
    <w:basedOn w:val="a"/>
    <w:link w:val="a9"/>
    <w:uiPriority w:val="99"/>
    <w:unhideWhenUsed/>
    <w:rsid w:val="00140916"/>
    <w:pPr>
      <w:spacing w:line="240" w:lineRule="auto"/>
    </w:pPr>
    <w:rPr>
      <w:sz w:val="20"/>
      <w:szCs w:val="20"/>
    </w:rPr>
  </w:style>
  <w:style w:type="character" w:customStyle="1" w:styleId="a9">
    <w:name w:val="טקסט הערה תו"/>
    <w:basedOn w:val="a0"/>
    <w:link w:val="a8"/>
    <w:uiPriority w:val="99"/>
    <w:rsid w:val="00140916"/>
    <w:rPr>
      <w:sz w:val="20"/>
      <w:szCs w:val="20"/>
    </w:rPr>
  </w:style>
  <w:style w:type="paragraph" w:styleId="aa">
    <w:name w:val="annotation subject"/>
    <w:basedOn w:val="a8"/>
    <w:next w:val="a8"/>
    <w:link w:val="ab"/>
    <w:uiPriority w:val="99"/>
    <w:semiHidden/>
    <w:unhideWhenUsed/>
    <w:rsid w:val="00140916"/>
    <w:rPr>
      <w:b/>
      <w:bCs/>
    </w:rPr>
  </w:style>
  <w:style w:type="character" w:customStyle="1" w:styleId="ab">
    <w:name w:val="נושא הערה תו"/>
    <w:basedOn w:val="a9"/>
    <w:link w:val="aa"/>
    <w:uiPriority w:val="99"/>
    <w:semiHidden/>
    <w:rsid w:val="00140916"/>
    <w:rPr>
      <w:b/>
      <w:bCs/>
      <w:sz w:val="20"/>
      <w:szCs w:val="20"/>
    </w:rPr>
  </w:style>
  <w:style w:type="paragraph" w:styleId="NormalWeb">
    <w:name w:val="Normal (Web)"/>
    <w:basedOn w:val="a"/>
    <w:uiPriority w:val="99"/>
    <w:semiHidden/>
    <w:unhideWhenUsed/>
    <w:rsid w:val="00EC695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c">
    <w:name w:val="Revision"/>
    <w:hidden/>
    <w:uiPriority w:val="99"/>
    <w:semiHidden/>
    <w:rsid w:val="00EC6956"/>
    <w:pPr>
      <w:spacing w:after="0" w:line="240" w:lineRule="auto"/>
    </w:pPr>
  </w:style>
  <w:style w:type="paragraph" w:styleId="ad">
    <w:name w:val="footnote text"/>
    <w:basedOn w:val="a"/>
    <w:link w:val="ae"/>
    <w:unhideWhenUsed/>
    <w:rsid w:val="005A7A4A"/>
    <w:pPr>
      <w:spacing w:after="0" w:line="240" w:lineRule="auto"/>
    </w:pPr>
    <w:rPr>
      <w:rFonts w:ascii="Calibri" w:hAnsi="Calibri" w:cs="Calibri"/>
      <w:sz w:val="20"/>
      <w:szCs w:val="20"/>
    </w:rPr>
  </w:style>
  <w:style w:type="character" w:customStyle="1" w:styleId="ae">
    <w:name w:val="טקסט הערת שוליים תו"/>
    <w:basedOn w:val="a0"/>
    <w:link w:val="ad"/>
    <w:uiPriority w:val="99"/>
    <w:rsid w:val="005A7A4A"/>
    <w:rPr>
      <w:rFonts w:ascii="Calibri" w:hAnsi="Calibri" w:cs="Calibri"/>
      <w:sz w:val="20"/>
      <w:szCs w:val="20"/>
    </w:rPr>
  </w:style>
  <w:style w:type="character" w:styleId="af">
    <w:name w:val="footnote reference"/>
    <w:basedOn w:val="a0"/>
    <w:semiHidden/>
    <w:unhideWhenUsed/>
    <w:rsid w:val="005A7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3946C-DF63-4264-9BDC-DB9CA5377775}"/>
</file>

<file path=customXml/itemProps2.xml><?xml version="1.0" encoding="utf-8"?>
<ds:datastoreItem xmlns:ds="http://schemas.openxmlformats.org/officeDocument/2006/customXml" ds:itemID="{AD2AD2F5-AE33-429A-A231-A22CA22A3BE9}"/>
</file>

<file path=customXml/itemProps3.xml><?xml version="1.0" encoding="utf-8"?>
<ds:datastoreItem xmlns:ds="http://schemas.openxmlformats.org/officeDocument/2006/customXml" ds:itemID="{C0E2B6AD-FE34-4F8E-ACBA-ED1C1E84DB81}"/>
</file>

<file path=customXml/itemProps4.xml><?xml version="1.0" encoding="utf-8"?>
<ds:datastoreItem xmlns:ds="http://schemas.openxmlformats.org/officeDocument/2006/customXml" ds:itemID="{BF49A0FB-87AD-41E8-8841-B46AAE1E4261}"/>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2724</Characters>
  <Application>Microsoft Office Word</Application>
  <DocSecurity>4</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רן שהרבני</dc:creator>
  <cp:lastModifiedBy>מיטל רולניצקי</cp:lastModifiedBy>
  <cp:revision>2</cp:revision>
  <dcterms:created xsi:type="dcterms:W3CDTF">2021-10-17T06:54:00Z</dcterms:created>
  <dcterms:modified xsi:type="dcterms:W3CDTF">2021-10-17T06:54:00Z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