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C7BB6" w14:textId="77777777" w:rsidR="00A8350C" w:rsidRPr="002E424B" w:rsidRDefault="006A64CB" w:rsidP="00A8350C">
      <w:pPr>
        <w:bidi/>
        <w:rPr>
          <w:rFonts w:ascii="Calibri" w:hAnsi="Calibri" w:cs="Calibri" w:hint="default"/>
        </w:rPr>
      </w:pPr>
      <w:bookmarkStart w:id="0" w:name="_GoBack"/>
      <w:bookmarkEnd w:id="0"/>
      <w:r w:rsidRPr="002E424B">
        <w:rPr>
          <w:rFonts w:ascii="Calibri" w:hAnsi="Calibri" w:cs="Calibri" w:hint="default"/>
          <w:rtl/>
        </w:rPr>
        <w:t xml:space="preserve"> </w:t>
      </w:r>
    </w:p>
    <w:tbl>
      <w:tblPr>
        <w:bidiVisual/>
        <w:tblW w:w="8520" w:type="dxa"/>
        <w:jc w:val="center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317000" w:rsidRPr="002E424B" w14:paraId="538DE21E" w14:textId="77777777" w:rsidTr="00C0702C"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2D76C" w14:textId="77777777" w:rsidR="00317000" w:rsidRPr="002E424B" w:rsidRDefault="00317000" w:rsidP="00A71B81">
            <w:pPr>
              <w:bidi/>
              <w:spacing w:line="360" w:lineRule="auto"/>
              <w:jc w:val="center"/>
              <w:rPr>
                <w:rFonts w:ascii="Calibri" w:hAnsi="Calibri" w:cs="Calibri" w:hint="default"/>
                <w:b/>
                <w:bCs/>
                <w:sz w:val="28"/>
                <w:szCs w:val="28"/>
              </w:rPr>
            </w:pPr>
            <w:r w:rsidRPr="002E424B">
              <w:rPr>
                <w:rFonts w:ascii="Calibri" w:hAnsi="Calibri" w:cs="Calibri" w:hint="default"/>
                <w:b/>
                <w:bCs/>
                <w:sz w:val="28"/>
                <w:szCs w:val="28"/>
                <w:rtl/>
              </w:rPr>
              <w:t>בנק ישראל</w:t>
            </w:r>
          </w:p>
          <w:p w14:paraId="53FF3010" w14:textId="77777777" w:rsidR="00317000" w:rsidRPr="002E424B" w:rsidRDefault="00317000" w:rsidP="00A71B81">
            <w:pPr>
              <w:bidi/>
              <w:spacing w:line="360" w:lineRule="auto"/>
              <w:ind w:right="-101"/>
              <w:jc w:val="center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7FE3A9E1" w14:textId="77777777" w:rsidR="00317000" w:rsidRPr="002E424B" w:rsidRDefault="0095765F" w:rsidP="00A71B81">
            <w:pPr>
              <w:bidi/>
              <w:jc w:val="center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noProof/>
                <w:lang w:eastAsia="en-US"/>
              </w:rPr>
              <w:drawing>
                <wp:inline distT="0" distB="0" distL="0" distR="0" wp14:anchorId="3C26B4ED" wp14:editId="33F7C8AE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9154C" w14:textId="3A56DA22" w:rsidR="00317000" w:rsidRPr="002E424B" w:rsidRDefault="00317000" w:rsidP="002713A8">
            <w:pPr>
              <w:bidi/>
              <w:spacing w:line="480" w:lineRule="auto"/>
              <w:jc w:val="right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rtl/>
              </w:rPr>
              <w:t>‏</w:t>
            </w:r>
            <w:r w:rsidR="00A42218" w:rsidRPr="002E424B">
              <w:rPr>
                <w:rFonts w:ascii="Calibri" w:hAnsi="Calibri" w:cs="Calibri" w:hint="default"/>
                <w:rtl/>
              </w:rPr>
              <w:t xml:space="preserve"> ירושלים, </w:t>
            </w:r>
            <w:r w:rsidR="002713A8">
              <w:rPr>
                <w:rFonts w:ascii="Calibri" w:hAnsi="Calibri" w:cs="Calibri"/>
                <w:rtl/>
              </w:rPr>
              <w:t>א</w:t>
            </w:r>
            <w:r w:rsidR="008B2D9F" w:rsidRPr="002E424B">
              <w:rPr>
                <w:rFonts w:ascii="Calibri" w:hAnsi="Calibri" w:cs="Calibri" w:hint="default"/>
                <w:rtl/>
              </w:rPr>
              <w:t xml:space="preserve"> </w:t>
            </w:r>
            <w:r w:rsidR="002713A8">
              <w:rPr>
                <w:rFonts w:ascii="Calibri" w:hAnsi="Calibri" w:cs="Calibri"/>
                <w:rtl/>
              </w:rPr>
              <w:t>אדר</w:t>
            </w:r>
            <w:r w:rsidR="00030A90">
              <w:rPr>
                <w:rFonts w:ascii="Calibri" w:hAnsi="Calibri" w:cs="Calibri"/>
                <w:rtl/>
              </w:rPr>
              <w:t>,</w:t>
            </w:r>
            <w:r w:rsidR="00A42218" w:rsidRPr="002E424B">
              <w:rPr>
                <w:rFonts w:ascii="Calibri" w:hAnsi="Calibri" w:cs="Calibri" w:hint="default"/>
                <w:rtl/>
              </w:rPr>
              <w:t xml:space="preserve"> </w:t>
            </w:r>
            <w:proofErr w:type="spellStart"/>
            <w:r w:rsidR="00A42218" w:rsidRPr="002E424B">
              <w:rPr>
                <w:rFonts w:ascii="Calibri" w:hAnsi="Calibri" w:cs="Calibri" w:hint="default"/>
                <w:rtl/>
              </w:rPr>
              <w:t>התשפ"</w:t>
            </w:r>
            <w:r w:rsidR="00696E52">
              <w:rPr>
                <w:rFonts w:ascii="Calibri" w:hAnsi="Calibri" w:cs="Calibri"/>
                <w:rtl/>
              </w:rPr>
              <w:t>ו</w:t>
            </w:r>
            <w:proofErr w:type="spellEnd"/>
          </w:p>
          <w:p w14:paraId="7DB2E87C" w14:textId="6632B200" w:rsidR="00317000" w:rsidRPr="002E424B" w:rsidRDefault="00317000" w:rsidP="002713A8">
            <w:pPr>
              <w:bidi/>
              <w:spacing w:line="480" w:lineRule="auto"/>
              <w:jc w:val="right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rtl/>
              </w:rPr>
              <w:t>‏‏</w:t>
            </w:r>
            <w:r w:rsidR="00B35B99">
              <w:rPr>
                <w:rFonts w:ascii="Calibri" w:hAnsi="Calibri" w:cs="Calibri"/>
                <w:rtl/>
              </w:rPr>
              <w:t>1</w:t>
            </w:r>
            <w:r w:rsidR="002713A8">
              <w:rPr>
                <w:rFonts w:ascii="Calibri" w:hAnsi="Calibri" w:cs="Calibri"/>
                <w:rtl/>
              </w:rPr>
              <w:t>8</w:t>
            </w:r>
            <w:r w:rsidR="008B2D9F">
              <w:rPr>
                <w:rFonts w:ascii="Calibri" w:hAnsi="Calibri" w:cs="Calibri"/>
                <w:rtl/>
              </w:rPr>
              <w:t xml:space="preserve"> </w:t>
            </w:r>
            <w:r w:rsidR="002713A8">
              <w:rPr>
                <w:rFonts w:ascii="Calibri" w:hAnsi="Calibri" w:cs="Calibri"/>
                <w:rtl/>
              </w:rPr>
              <w:t>פבר</w:t>
            </w:r>
            <w:r w:rsidR="00B35B99">
              <w:rPr>
                <w:rFonts w:ascii="Calibri" w:hAnsi="Calibri" w:cs="Calibri"/>
                <w:rtl/>
              </w:rPr>
              <w:t>ואר</w:t>
            </w:r>
            <w:r w:rsidR="008B2D9F" w:rsidRPr="002E424B">
              <w:rPr>
                <w:rFonts w:ascii="Calibri" w:hAnsi="Calibri" w:cs="Calibri" w:hint="default"/>
                <w:rtl/>
              </w:rPr>
              <w:t xml:space="preserve"> </w:t>
            </w:r>
            <w:r w:rsidR="00F30A02" w:rsidRPr="002E424B">
              <w:rPr>
                <w:rFonts w:ascii="Calibri" w:hAnsi="Calibri" w:cs="Calibri" w:hint="default"/>
                <w:rtl/>
              </w:rPr>
              <w:t>202</w:t>
            </w:r>
            <w:r w:rsidR="00B35B99">
              <w:rPr>
                <w:rFonts w:ascii="Calibri" w:hAnsi="Calibri" w:cs="Calibri"/>
                <w:rtl/>
              </w:rPr>
              <w:t>6</w:t>
            </w:r>
          </w:p>
        </w:tc>
      </w:tr>
    </w:tbl>
    <w:p w14:paraId="05288985" w14:textId="77777777" w:rsidR="00317000" w:rsidRPr="002E424B" w:rsidRDefault="00317000" w:rsidP="00196CE1">
      <w:pPr>
        <w:bidi/>
        <w:spacing w:before="240" w:line="360" w:lineRule="auto"/>
        <w:ind w:right="-102"/>
        <w:rPr>
          <w:rFonts w:ascii="Calibri" w:hAnsi="Calibri" w:cs="Calibri" w:hint="default"/>
          <w:rtl/>
        </w:rPr>
      </w:pPr>
      <w:r w:rsidRPr="002E424B">
        <w:rPr>
          <w:rFonts w:ascii="Calibri" w:hAnsi="Calibri" w:cs="Calibri" w:hint="default"/>
          <w:rtl/>
        </w:rPr>
        <w:t>הודעה לעיתונות:</w:t>
      </w:r>
    </w:p>
    <w:p w14:paraId="7F306703" w14:textId="77777777" w:rsidR="006E6D23" w:rsidRDefault="006E6D23" w:rsidP="008B2D9F">
      <w:pPr>
        <w:pStyle w:val="af4"/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7EECEB07" w14:textId="61DE7011" w:rsidR="008D3688" w:rsidRPr="002E424B" w:rsidRDefault="007D133B" w:rsidP="002713A8">
      <w:pPr>
        <w:pStyle w:val="af4"/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2E424B">
        <w:rPr>
          <w:rFonts w:ascii="Calibri" w:hAnsi="Calibri" w:cs="Calibri" w:hint="default"/>
          <w:b/>
          <w:bCs/>
          <w:sz w:val="28"/>
          <w:szCs w:val="28"/>
          <w:rtl/>
        </w:rPr>
        <w:t>ה</w:t>
      </w:r>
      <w:r w:rsidR="00D74ED2" w:rsidRPr="002E424B">
        <w:rPr>
          <w:rFonts w:ascii="Calibri" w:hAnsi="Calibri" w:cs="Calibri" w:hint="default"/>
          <w:b/>
          <w:bCs/>
          <w:sz w:val="28"/>
          <w:szCs w:val="28"/>
          <w:rtl/>
        </w:rPr>
        <w:t xml:space="preserve">מדד </w:t>
      </w:r>
      <w:r w:rsidRPr="002E424B">
        <w:rPr>
          <w:rFonts w:ascii="Calibri" w:hAnsi="Calibri" w:cs="Calibri" w:hint="default"/>
          <w:b/>
          <w:bCs/>
          <w:sz w:val="28"/>
          <w:szCs w:val="28"/>
          <w:rtl/>
        </w:rPr>
        <w:t xml:space="preserve">החודשי לפעילות המשק </w:t>
      </w:r>
      <w:r w:rsidR="00CC377B">
        <w:rPr>
          <w:rFonts w:ascii="Calibri" w:hAnsi="Calibri" w:cs="Calibri"/>
          <w:b/>
          <w:bCs/>
          <w:sz w:val="28"/>
          <w:szCs w:val="28"/>
          <w:rtl/>
        </w:rPr>
        <w:t xml:space="preserve">בחודש </w:t>
      </w:r>
      <w:r w:rsidR="002713A8">
        <w:rPr>
          <w:rFonts w:ascii="Calibri" w:hAnsi="Calibri" w:cs="Calibri"/>
          <w:b/>
          <w:bCs/>
          <w:sz w:val="28"/>
          <w:szCs w:val="28"/>
          <w:rtl/>
        </w:rPr>
        <w:t>ינואר</w:t>
      </w:r>
      <w:r w:rsidR="00EC1813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030A90">
        <w:rPr>
          <w:rFonts w:ascii="Calibri" w:hAnsi="Calibri" w:cs="Calibri"/>
          <w:b/>
          <w:bCs/>
          <w:sz w:val="28"/>
          <w:szCs w:val="28"/>
          <w:rtl/>
        </w:rPr>
        <w:t>עלה ב-0.</w:t>
      </w:r>
      <w:r w:rsidR="002713A8">
        <w:rPr>
          <w:rFonts w:ascii="Calibri" w:hAnsi="Calibri" w:cs="Calibri"/>
          <w:b/>
          <w:bCs/>
          <w:sz w:val="28"/>
          <w:szCs w:val="28"/>
          <w:rtl/>
        </w:rPr>
        <w:t>5</w:t>
      </w:r>
      <w:r w:rsidR="00030A90">
        <w:rPr>
          <w:rFonts w:ascii="Calibri" w:hAnsi="Calibri" w:cs="Calibri"/>
          <w:b/>
          <w:bCs/>
          <w:sz w:val="28"/>
          <w:szCs w:val="28"/>
          <w:rtl/>
        </w:rPr>
        <w:t xml:space="preserve"> אחוז.</w:t>
      </w:r>
      <w:r w:rsidR="003C18CE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14:paraId="62015F01" w14:textId="77777777" w:rsidR="003E5BD0" w:rsidRPr="002E424B" w:rsidRDefault="003E5BD0" w:rsidP="00EB6B6C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</w:p>
    <w:p w14:paraId="69A6A61E" w14:textId="24965E83" w:rsidR="00215DAB" w:rsidRPr="000625CE" w:rsidRDefault="00215DAB" w:rsidP="00963806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 w:rsidRPr="000625CE">
        <w:rPr>
          <w:rFonts w:ascii="Calibri" w:hAnsi="Calibri" w:cs="Calibri" w:hint="default"/>
          <w:rtl/>
        </w:rPr>
        <w:t>המדד החודשי לפעילות המשק</w:t>
      </w:r>
      <w:r>
        <w:rPr>
          <w:rStyle w:val="a6"/>
          <w:rFonts w:ascii="Calibri" w:hAnsi="Calibri" w:cs="Calibri" w:hint="default"/>
          <w:rtl/>
        </w:rPr>
        <w:footnoteReference w:id="1"/>
      </w:r>
      <w:r w:rsidRPr="000625CE">
        <w:rPr>
          <w:rFonts w:ascii="Calibri" w:hAnsi="Calibri" w:cs="Calibri" w:hint="default"/>
          <w:rtl/>
        </w:rPr>
        <w:t xml:space="preserve"> בחודש </w:t>
      </w:r>
      <w:r w:rsidR="002713A8">
        <w:rPr>
          <w:rFonts w:ascii="Calibri" w:hAnsi="Calibri" w:cs="Calibri"/>
          <w:rtl/>
        </w:rPr>
        <w:t>ינואר</w:t>
      </w:r>
      <w:r w:rsidR="00030A90">
        <w:rPr>
          <w:rFonts w:ascii="Calibri" w:hAnsi="Calibri" w:cs="Calibri"/>
          <w:rtl/>
        </w:rPr>
        <w:t xml:space="preserve"> </w:t>
      </w:r>
      <w:r w:rsidR="00816A59">
        <w:rPr>
          <w:rFonts w:ascii="Calibri" w:hAnsi="Calibri" w:cs="Calibri"/>
          <w:rtl/>
        </w:rPr>
        <w:t xml:space="preserve">עלה </w:t>
      </w:r>
      <w:r w:rsidR="00030A90">
        <w:rPr>
          <w:rFonts w:ascii="Calibri" w:hAnsi="Calibri" w:cs="Calibri"/>
          <w:rtl/>
        </w:rPr>
        <w:t>ב-0.</w:t>
      </w:r>
      <w:r w:rsidR="002713A8">
        <w:rPr>
          <w:rFonts w:ascii="Calibri" w:hAnsi="Calibri" w:cs="Calibri"/>
          <w:rtl/>
        </w:rPr>
        <w:t>5</w:t>
      </w:r>
      <w:r w:rsidR="00030A90">
        <w:rPr>
          <w:rFonts w:ascii="Calibri" w:hAnsi="Calibri" w:cs="Calibri"/>
          <w:rtl/>
        </w:rPr>
        <w:t xml:space="preserve"> אחוז</w:t>
      </w:r>
      <w:r w:rsidR="00D10F24">
        <w:rPr>
          <w:rFonts w:ascii="Calibri" w:hAnsi="Calibri" w:cs="Calibri"/>
          <w:rtl/>
        </w:rPr>
        <w:t>.</w:t>
      </w:r>
      <w:r w:rsidR="003C18CE">
        <w:rPr>
          <w:rFonts w:ascii="Calibri" w:hAnsi="Calibri" w:cs="Calibri"/>
          <w:rtl/>
        </w:rPr>
        <w:t xml:space="preserve"> </w:t>
      </w:r>
      <w:r w:rsidR="000E710C" w:rsidRPr="000625CE">
        <w:rPr>
          <w:rFonts w:ascii="Calibri" w:hAnsi="Calibri" w:cs="Calibri"/>
          <w:rtl/>
        </w:rPr>
        <w:t xml:space="preserve">המדד משקף </w:t>
      </w:r>
      <w:r w:rsidR="003C18CE">
        <w:rPr>
          <w:rFonts w:ascii="Calibri" w:hAnsi="Calibri" w:cs="Calibri"/>
          <w:rtl/>
        </w:rPr>
        <w:t xml:space="preserve">החודש </w:t>
      </w:r>
      <w:r w:rsidR="000E710C" w:rsidRPr="000625CE">
        <w:rPr>
          <w:rFonts w:ascii="Calibri" w:hAnsi="Calibri" w:cs="Calibri"/>
          <w:rtl/>
        </w:rPr>
        <w:t xml:space="preserve">את אומדן הצמיחה </w:t>
      </w:r>
      <w:r w:rsidR="00E71CFE" w:rsidRPr="000625CE">
        <w:rPr>
          <w:rFonts w:ascii="Calibri" w:hAnsi="Calibri" w:cs="Calibri"/>
          <w:rtl/>
        </w:rPr>
        <w:t xml:space="preserve">החודשית </w:t>
      </w:r>
      <w:r w:rsidR="00842D26">
        <w:rPr>
          <w:rFonts w:ascii="Calibri" w:hAnsi="Calibri" w:cs="Calibri"/>
          <w:rtl/>
        </w:rPr>
        <w:t xml:space="preserve">הממוצעת </w:t>
      </w:r>
      <w:r w:rsidR="000E710C" w:rsidRPr="000625CE">
        <w:rPr>
          <w:rFonts w:ascii="Calibri" w:hAnsi="Calibri" w:cs="Calibri"/>
          <w:rtl/>
        </w:rPr>
        <w:t>בשל</w:t>
      </w:r>
      <w:r w:rsidR="00187A32">
        <w:rPr>
          <w:rFonts w:ascii="Calibri" w:hAnsi="Calibri" w:cs="Calibri"/>
          <w:rtl/>
        </w:rPr>
        <w:t>ו</w:t>
      </w:r>
      <w:r w:rsidR="000E710C" w:rsidRPr="000625CE">
        <w:rPr>
          <w:rFonts w:ascii="Calibri" w:hAnsi="Calibri" w:cs="Calibri"/>
          <w:rtl/>
        </w:rPr>
        <w:t xml:space="preserve">שת החודשים </w:t>
      </w:r>
      <w:r w:rsidR="00816A59">
        <w:rPr>
          <w:rFonts w:ascii="Calibri" w:hAnsi="Calibri" w:cs="Calibri"/>
          <w:rtl/>
        </w:rPr>
        <w:t>נובמבר</w:t>
      </w:r>
      <w:r w:rsidR="000E710C" w:rsidRPr="000625CE">
        <w:rPr>
          <w:rFonts w:ascii="Calibri" w:hAnsi="Calibri" w:cs="Calibri"/>
          <w:rtl/>
        </w:rPr>
        <w:t xml:space="preserve"> </w:t>
      </w:r>
      <w:r w:rsidR="00816A59">
        <w:rPr>
          <w:rFonts w:ascii="Calibri" w:hAnsi="Calibri" w:cs="Calibri"/>
          <w:rtl/>
        </w:rPr>
        <w:t xml:space="preserve">2025 </w:t>
      </w:r>
      <w:r w:rsidR="000E710C" w:rsidRPr="000625CE">
        <w:rPr>
          <w:rFonts w:ascii="Calibri" w:hAnsi="Calibri" w:cs="Calibri"/>
          <w:rtl/>
        </w:rPr>
        <w:t xml:space="preserve">עד </w:t>
      </w:r>
      <w:r w:rsidR="00816A59">
        <w:rPr>
          <w:rFonts w:ascii="Calibri" w:hAnsi="Calibri" w:cs="Calibri"/>
          <w:rtl/>
        </w:rPr>
        <w:t>ינואר 2026</w:t>
      </w:r>
      <w:r w:rsidR="003441EE">
        <w:rPr>
          <w:rFonts w:ascii="Calibri" w:hAnsi="Calibri" w:cs="Calibri"/>
          <w:rtl/>
        </w:rPr>
        <w:t xml:space="preserve">. </w:t>
      </w:r>
      <w:r w:rsidRPr="000625CE">
        <w:rPr>
          <w:rFonts w:ascii="Calibri" w:hAnsi="Calibri" w:cs="Calibri" w:hint="default"/>
          <w:rtl/>
        </w:rPr>
        <w:t>המדד הושפע</w:t>
      </w:r>
      <w:r w:rsidRPr="000625CE">
        <w:rPr>
          <w:rFonts w:ascii="Calibri" w:hAnsi="Calibri" w:cs="Calibri"/>
          <w:rtl/>
        </w:rPr>
        <w:t xml:space="preserve"> </w:t>
      </w:r>
      <w:r w:rsidR="003303E0" w:rsidRPr="000625CE">
        <w:rPr>
          <w:rFonts w:ascii="Calibri" w:hAnsi="Calibri" w:cs="Calibri"/>
          <w:rtl/>
        </w:rPr>
        <w:t>ל</w:t>
      </w:r>
      <w:r w:rsidR="00A37611">
        <w:rPr>
          <w:rFonts w:ascii="Calibri" w:hAnsi="Calibri" w:cs="Calibri"/>
          <w:rtl/>
        </w:rPr>
        <w:t>טובה מ</w:t>
      </w:r>
      <w:r w:rsidR="00433841">
        <w:rPr>
          <w:rFonts w:ascii="Calibri" w:hAnsi="Calibri" w:cs="Calibri"/>
          <w:rtl/>
        </w:rPr>
        <w:t>נתוני הרכישות בכרטיסי אשראי בחודש</w:t>
      </w:r>
      <w:r w:rsidR="001A48AF">
        <w:rPr>
          <w:rFonts w:ascii="Calibri" w:hAnsi="Calibri" w:cs="Calibri"/>
          <w:rtl/>
        </w:rPr>
        <w:t xml:space="preserve"> </w:t>
      </w:r>
      <w:r w:rsidR="00816A59">
        <w:rPr>
          <w:rFonts w:ascii="Calibri" w:hAnsi="Calibri" w:cs="Calibri"/>
          <w:rtl/>
        </w:rPr>
        <w:t>ינואר</w:t>
      </w:r>
      <w:r w:rsidR="00433841">
        <w:rPr>
          <w:rFonts w:ascii="Calibri" w:hAnsi="Calibri" w:cs="Calibri"/>
          <w:rtl/>
        </w:rPr>
        <w:t xml:space="preserve">, </w:t>
      </w:r>
      <w:r w:rsidR="00816A59">
        <w:rPr>
          <w:rFonts w:ascii="Calibri" w:hAnsi="Calibri" w:cs="Calibri"/>
          <w:rtl/>
        </w:rPr>
        <w:t>מנתוני פדיון ענפי המסחר והייצור התעשייתי בחודש נובמבר, מנתוני מדד מסחר קמעונאי לחודשים נובמבר ודצמבר, מנתוני יבוא הסחורות והמדדים הפיננסיים לחודש ינואר</w:t>
      </w:r>
      <w:r w:rsidR="00963806">
        <w:rPr>
          <w:rFonts w:ascii="Calibri" w:hAnsi="Calibri" w:cs="Calibri"/>
          <w:rtl/>
        </w:rPr>
        <w:t xml:space="preserve">. מנגד, נתוני המועסקים בפועל וצריכת הבנזין בחודש דצמבר, נתוני תקבולי המיסים העקיפים ומע"מ נטו בחודשים דצמבר וינואר ונתוני יצוא הסחורות </w:t>
      </w:r>
      <w:r w:rsidR="00670215">
        <w:rPr>
          <w:rFonts w:ascii="Calibri" w:hAnsi="Calibri" w:cs="Calibri"/>
          <w:rtl/>
        </w:rPr>
        <w:t xml:space="preserve">בינואר </w:t>
      </w:r>
      <w:r w:rsidR="00223A80">
        <w:rPr>
          <w:rFonts w:ascii="Calibri" w:hAnsi="Calibri" w:cs="Calibri"/>
          <w:rtl/>
        </w:rPr>
        <w:t>מיתנו את ה</w:t>
      </w:r>
      <w:r w:rsidR="00B0595A">
        <w:rPr>
          <w:rFonts w:ascii="Calibri" w:hAnsi="Calibri" w:cs="Calibri"/>
          <w:rtl/>
        </w:rPr>
        <w:t xml:space="preserve">עלייה </w:t>
      </w:r>
      <w:r w:rsidR="00223A80">
        <w:rPr>
          <w:rFonts w:ascii="Calibri" w:hAnsi="Calibri" w:cs="Calibri"/>
          <w:rtl/>
        </w:rPr>
        <w:t xml:space="preserve">במדד </w:t>
      </w:r>
      <w:r w:rsidR="00000525" w:rsidRPr="000625CE">
        <w:rPr>
          <w:rFonts w:ascii="Calibri" w:hAnsi="Calibri" w:cs="Calibri"/>
          <w:rtl/>
        </w:rPr>
        <w:t>(לוחות 1 ו-2)</w:t>
      </w:r>
      <w:r w:rsidRPr="000625CE">
        <w:rPr>
          <w:rFonts w:ascii="Calibri" w:hAnsi="Calibri" w:cs="Calibri"/>
          <w:rtl/>
        </w:rPr>
        <w:t xml:space="preserve">. </w:t>
      </w:r>
    </w:p>
    <w:p w14:paraId="393FB74C" w14:textId="7ED06EBD" w:rsidR="00BE290D" w:rsidRPr="002E424B" w:rsidRDefault="00BE290D" w:rsidP="00990E19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>
        <w:rPr>
          <w:rFonts w:ascii="Calibri" w:hAnsi="Calibri" w:cs="Calibri"/>
          <w:rtl/>
        </w:rPr>
        <w:t xml:space="preserve">קצב הגידול של המדד </w:t>
      </w:r>
      <w:r w:rsidR="00990E19">
        <w:rPr>
          <w:rFonts w:ascii="Calibri" w:hAnsi="Calibri" w:cs="Calibri"/>
          <w:rtl/>
        </w:rPr>
        <w:t xml:space="preserve">מעל </w:t>
      </w:r>
      <w:r w:rsidR="002C7E3F">
        <w:rPr>
          <w:rFonts w:ascii="Calibri" w:hAnsi="Calibri" w:cs="Calibri"/>
          <w:rtl/>
        </w:rPr>
        <w:t>ל</w:t>
      </w:r>
      <w:r>
        <w:rPr>
          <w:rFonts w:ascii="Calibri" w:hAnsi="Calibri" w:cs="Calibri"/>
          <w:rtl/>
        </w:rPr>
        <w:t xml:space="preserve">מגמה ארוכת הטווח של הצמיחה (כ-0.3). </w:t>
      </w:r>
    </w:p>
    <w:p w14:paraId="2D6C9FF5" w14:textId="77777777" w:rsidR="005A16D8" w:rsidRDefault="00144AC2" w:rsidP="005A16D8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>
        <w:rPr>
          <w:rFonts w:ascii="Calibri" w:hAnsi="Calibri" w:cs="Calibri"/>
          <w:rtl/>
        </w:rPr>
        <w:t>המדד לחודש</w:t>
      </w:r>
      <w:r w:rsidR="00990E19">
        <w:rPr>
          <w:rFonts w:ascii="Calibri" w:hAnsi="Calibri" w:cs="Calibri"/>
          <w:rtl/>
        </w:rPr>
        <w:t xml:space="preserve">ים האחרונים </w:t>
      </w:r>
      <w:r>
        <w:rPr>
          <w:rFonts w:ascii="Calibri" w:hAnsi="Calibri" w:cs="Calibri"/>
          <w:rtl/>
        </w:rPr>
        <w:t xml:space="preserve">עודכן כלפי </w:t>
      </w:r>
      <w:r w:rsidR="00E46013">
        <w:rPr>
          <w:rFonts w:ascii="Calibri" w:hAnsi="Calibri" w:cs="Calibri"/>
          <w:rtl/>
        </w:rPr>
        <w:t>מ</w:t>
      </w:r>
      <w:r w:rsidR="00300FCC">
        <w:rPr>
          <w:rFonts w:ascii="Calibri" w:hAnsi="Calibri" w:cs="Calibri"/>
          <w:rtl/>
        </w:rPr>
        <w:t xml:space="preserve">עלה </w:t>
      </w:r>
      <w:r w:rsidR="001C34F7">
        <w:rPr>
          <w:rFonts w:ascii="Calibri" w:hAnsi="Calibri" w:cs="Calibri"/>
          <w:rtl/>
        </w:rPr>
        <w:t xml:space="preserve">עם </w:t>
      </w:r>
      <w:r>
        <w:rPr>
          <w:rFonts w:ascii="Calibri" w:hAnsi="Calibri" w:cs="Calibri"/>
          <w:rtl/>
        </w:rPr>
        <w:t>השלמת הנתונים שלא היו מלאים מקודם</w:t>
      </w:r>
      <w:r w:rsidR="005A16D8">
        <w:rPr>
          <w:rFonts w:ascii="Calibri" w:hAnsi="Calibri" w:cs="Calibri"/>
          <w:rtl/>
        </w:rPr>
        <w:t xml:space="preserve"> וגם בעקבות עדכון כלפי מעלה של נתוני התוצר בפועל לרביע השלישי של 2025.</w:t>
      </w:r>
    </w:p>
    <w:p w14:paraId="11B46A1C" w14:textId="3B4146CE" w:rsidR="00A5046D" w:rsidRDefault="005A16D8" w:rsidP="005A16D8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>
        <w:rPr>
          <w:rFonts w:ascii="Calibri" w:hAnsi="Calibri" w:cs="Calibri"/>
          <w:rtl/>
        </w:rPr>
        <w:t xml:space="preserve"> </w:t>
      </w:r>
      <w:r w:rsidR="003A7033" w:rsidRPr="002E424B">
        <w:rPr>
          <w:rFonts w:ascii="Calibri" w:hAnsi="Calibri" w:cs="Calibri" w:hint="default"/>
          <w:rtl/>
        </w:rPr>
        <w:t xml:space="preserve">איור 1 מציג את נתוני המדד בשנתיים האחרונות, לוח 1 מציג את תרומת רכיבי המדד לאומדן הכולל </w:t>
      </w:r>
      <w:r w:rsidR="003A7033">
        <w:rPr>
          <w:rFonts w:ascii="Calibri" w:hAnsi="Calibri" w:cs="Calibri"/>
          <w:rtl/>
        </w:rPr>
        <w:t>ו</w:t>
      </w:r>
      <w:r w:rsidR="003A7033" w:rsidRPr="002E424B">
        <w:rPr>
          <w:rFonts w:ascii="Calibri" w:hAnsi="Calibri" w:cs="Calibri" w:hint="default"/>
          <w:rtl/>
        </w:rPr>
        <w:t>העדכונים לאחור במדד</w:t>
      </w:r>
      <w:r w:rsidR="003A7033">
        <w:rPr>
          <w:rFonts w:ascii="Calibri" w:hAnsi="Calibri" w:cs="Calibri"/>
          <w:rtl/>
        </w:rPr>
        <w:t xml:space="preserve">, ולוח 2 מציג את אחוז </w:t>
      </w:r>
      <w:r w:rsidR="003A7033" w:rsidRPr="002E424B">
        <w:rPr>
          <w:rFonts w:ascii="Calibri" w:hAnsi="Calibri" w:cs="Calibri" w:hint="default"/>
          <w:rtl/>
        </w:rPr>
        <w:t xml:space="preserve">השינוי </w:t>
      </w:r>
      <w:r w:rsidR="003A7033">
        <w:rPr>
          <w:rFonts w:ascii="Calibri" w:hAnsi="Calibri" w:cs="Calibri"/>
          <w:rtl/>
        </w:rPr>
        <w:t xml:space="preserve">החודשי </w:t>
      </w:r>
      <w:r w:rsidR="003A7033" w:rsidRPr="002E424B">
        <w:rPr>
          <w:rFonts w:ascii="Calibri" w:hAnsi="Calibri" w:cs="Calibri" w:hint="default"/>
          <w:rtl/>
        </w:rPr>
        <w:t>ב</w:t>
      </w:r>
      <w:r w:rsidR="003A7033">
        <w:rPr>
          <w:rFonts w:ascii="Calibri" w:hAnsi="Calibri" w:cs="Calibri"/>
          <w:rtl/>
        </w:rPr>
        <w:t>רכיבי המדד</w:t>
      </w:r>
      <w:r w:rsidR="003A7033" w:rsidRPr="002E424B">
        <w:rPr>
          <w:rFonts w:ascii="Calibri" w:hAnsi="Calibri" w:cs="Calibri" w:hint="default"/>
          <w:rtl/>
        </w:rPr>
        <w:t xml:space="preserve">. </w:t>
      </w:r>
    </w:p>
    <w:p w14:paraId="5157621A" w14:textId="77777777" w:rsidR="009B635B" w:rsidRDefault="009B635B" w:rsidP="00CB2A2A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205B668D" w14:textId="77777777" w:rsidR="009B635B" w:rsidRDefault="009B635B" w:rsidP="009B635B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6D79E04C" w14:textId="77777777" w:rsidR="003A7033" w:rsidRDefault="003A7033" w:rsidP="009B635B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779EC2D6" w14:textId="77777777"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20A57611" w14:textId="77777777"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06AF3A6E" w14:textId="77777777"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0B612FAF" w14:textId="77777777"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2A6EF603" w14:textId="77777777"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7DE095B9" w14:textId="77777777"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2BDCC2BC" w14:textId="77777777" w:rsidR="00C348B3" w:rsidRDefault="00C348B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4F2768C2" w14:textId="77777777" w:rsidR="00C348B3" w:rsidRDefault="00C348B3" w:rsidP="00C348B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35EAB8BD" w14:textId="77777777" w:rsidR="00C47D9E" w:rsidRDefault="00C47D9E" w:rsidP="00C348B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79B55054" w14:textId="77777777" w:rsidR="001A48AF" w:rsidRDefault="001A48AF" w:rsidP="00C47D9E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08BDF179" w14:textId="62733B42" w:rsidR="00A245A7" w:rsidRPr="001613B4" w:rsidRDefault="00F45C42" w:rsidP="001A48AF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1613B4">
        <w:rPr>
          <w:rFonts w:ascii="Calibri" w:hAnsi="Calibri" w:cs="Calibri"/>
          <w:b/>
          <w:bCs/>
          <w:sz w:val="28"/>
          <w:szCs w:val="28"/>
          <w:rtl/>
        </w:rPr>
        <w:lastRenderedPageBreak/>
        <w:t>איור 1: המדד החודשי לפעילות המשק</w:t>
      </w:r>
    </w:p>
    <w:p w14:paraId="79E55504" w14:textId="77777777" w:rsidR="00F45C42" w:rsidRDefault="00F45C42" w:rsidP="00A245A7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6DFB8525" w14:textId="62337D75" w:rsidR="00F45C42" w:rsidRDefault="00D954C8" w:rsidP="00F46470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D954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46470" w:rsidRPr="00F46470">
        <w:rPr>
          <w:rFonts w:ascii="Calibri" w:hAnsi="Calibri" w:cs="Calibri"/>
          <w:b/>
          <w:bCs/>
          <w:noProof/>
          <w:sz w:val="28"/>
          <w:szCs w:val="28"/>
          <w:lang w:eastAsia="en-US"/>
        </w:rPr>
        <w:drawing>
          <wp:inline distT="0" distB="0" distL="0" distR="0" wp14:anchorId="6C60E903" wp14:editId="3494C680">
            <wp:extent cx="6041445" cy="4484536"/>
            <wp:effectExtent l="0" t="0" r="16510" b="11430"/>
            <wp:docPr id="5" name="תרשים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52FBEAC" w14:textId="77777777" w:rsidR="00F45C42" w:rsidRDefault="00F45C42" w:rsidP="00F45C42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73B2AB6A" w14:textId="77777777" w:rsidR="003619E6" w:rsidRPr="00CB2A2A" w:rsidRDefault="003619E6" w:rsidP="00CB2A2A">
      <w:pPr>
        <w:bidi/>
        <w:jc w:val="center"/>
        <w:rPr>
          <w:rFonts w:ascii="Calibri" w:hAnsi="Calibri" w:cs="Calibri" w:hint="default"/>
          <w:b/>
          <w:bCs/>
          <w:rtl/>
        </w:rPr>
      </w:pPr>
      <w:r w:rsidRPr="00A24717">
        <w:rPr>
          <w:rFonts w:ascii="Calibri" w:hAnsi="Calibri" w:cs="Calibri" w:hint="default"/>
          <w:b/>
          <w:bCs/>
          <w:sz w:val="28"/>
          <w:szCs w:val="28"/>
          <w:rtl/>
        </w:rPr>
        <w:t xml:space="preserve">לוח </w:t>
      </w:r>
      <w:r w:rsidRPr="00CB2A2A">
        <w:rPr>
          <w:rFonts w:ascii="Calibri" w:hAnsi="Calibri" w:cs="Calibri" w:hint="default"/>
          <w:b/>
          <w:bCs/>
          <w:rtl/>
        </w:rPr>
        <w:t>1: תרומת</w:t>
      </w:r>
      <w:r w:rsidR="00E82A4C" w:rsidRPr="00CB2A2A">
        <w:rPr>
          <w:rFonts w:ascii="Calibri" w:hAnsi="Calibri" w:cs="Calibri"/>
          <w:b/>
          <w:bCs/>
          <w:rtl/>
        </w:rPr>
        <w:t>*</w:t>
      </w:r>
      <w:r w:rsidRPr="00CB2A2A">
        <w:rPr>
          <w:rFonts w:ascii="Calibri" w:hAnsi="Calibri" w:cs="Calibri" w:hint="default"/>
          <w:b/>
          <w:bCs/>
          <w:rtl/>
        </w:rPr>
        <w:t xml:space="preserve"> רכיבי המדד לאומדן הכולל בחודשים האחרונים, לפי הקבצות</w:t>
      </w:r>
    </w:p>
    <w:p w14:paraId="28670708" w14:textId="77777777" w:rsidR="00CB2A2A" w:rsidRPr="00CB2A2A" w:rsidRDefault="00CB2A2A" w:rsidP="00CB2A2A">
      <w:pPr>
        <w:bidi/>
        <w:jc w:val="center"/>
        <w:rPr>
          <w:rFonts w:ascii="Calibri" w:hAnsi="Calibri" w:cs="Calibri" w:hint="default"/>
          <w:b/>
          <w:bCs/>
          <w:rtl/>
        </w:rPr>
      </w:pPr>
      <w:r w:rsidRPr="00CB2A2A">
        <w:rPr>
          <w:rFonts w:ascii="Calibri" w:hAnsi="Calibri" w:cs="Calibri"/>
          <w:b/>
          <w:bCs/>
          <w:rtl/>
        </w:rPr>
        <w:t>(נקודות אחוז)</w:t>
      </w:r>
    </w:p>
    <w:p w14:paraId="13858BC3" w14:textId="6109735B" w:rsidR="00CB2A2A" w:rsidRDefault="00C72733" w:rsidP="00666DF1">
      <w:pPr>
        <w:autoSpaceDE w:val="0"/>
        <w:autoSpaceDN w:val="0"/>
        <w:bidi/>
        <w:adjustRightInd w:val="0"/>
        <w:jc w:val="center"/>
        <w:rPr>
          <w:rFonts w:ascii="Calibri" w:hAnsi="Calibri" w:cs="Calibri" w:hint="default"/>
          <w:b/>
          <w:bCs/>
          <w:i/>
          <w:rtl/>
        </w:rPr>
      </w:pPr>
      <w:r w:rsidRPr="00C72733">
        <w:rPr>
          <w:rFonts w:hint="default"/>
          <w:noProof/>
          <w:rtl/>
          <w:lang w:eastAsia="en-US"/>
        </w:rPr>
        <w:drawing>
          <wp:inline distT="0" distB="0" distL="0" distR="0" wp14:anchorId="086673FB" wp14:editId="5BC99FEF">
            <wp:extent cx="4364990" cy="2806700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A2A" w:rsidRPr="00616773">
        <w:rPr>
          <w:rFonts w:ascii="Calibri" w:hAnsi="Calibri" w:cs="Calibri" w:hint="default"/>
          <w:b/>
          <w:bCs/>
          <w:i/>
          <w:rtl/>
        </w:rPr>
        <w:t xml:space="preserve"> </w:t>
      </w:r>
    </w:p>
    <w:p w14:paraId="054F60C1" w14:textId="77777777" w:rsidR="003619E6" w:rsidRDefault="003619E6" w:rsidP="00CB2A2A">
      <w:pPr>
        <w:autoSpaceDE w:val="0"/>
        <w:autoSpaceDN w:val="0"/>
        <w:bidi/>
        <w:adjustRightInd w:val="0"/>
        <w:jc w:val="center"/>
        <w:rPr>
          <w:rFonts w:hint="default"/>
          <w:b/>
          <w:bCs/>
          <w:i/>
          <w:rtl/>
        </w:rPr>
      </w:pPr>
    </w:p>
    <w:p w14:paraId="513F8655" w14:textId="77777777" w:rsidR="003619E6" w:rsidRPr="00BD7373" w:rsidRDefault="00E82A4C" w:rsidP="00AA2BBA">
      <w:pPr>
        <w:bidi/>
        <w:jc w:val="both"/>
        <w:rPr>
          <w:rFonts w:hint="default"/>
          <w:sz w:val="20"/>
          <w:szCs w:val="20"/>
        </w:rPr>
      </w:pPr>
      <w:r w:rsidRPr="00BD7373">
        <w:rPr>
          <w:rFonts w:ascii="Calibri" w:hAnsi="Calibri" w:cs="Calibri"/>
          <w:i/>
          <w:sz w:val="20"/>
          <w:szCs w:val="20"/>
          <w:rtl/>
        </w:rPr>
        <w:t xml:space="preserve">* 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הלוח מציג את התרומה של כל קבוצת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רכיבים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למדד החודשי, כך שהאומדן החודשי מהווה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סכום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של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תרומת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כל אחד מהרכיבים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המפורט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ים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בלוח. חלק מהנתונים הגולמיים משפיעים על האומדן החודשי בפיגור או על אומדני כמה חודשים.</w:t>
      </w:r>
    </w:p>
    <w:p w14:paraId="0D1149E4" w14:textId="77777777" w:rsidR="005423D2" w:rsidRDefault="005423D2" w:rsidP="00A5046D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6B4C6F97" w14:textId="77777777" w:rsidR="008857BA" w:rsidRDefault="008857BA" w:rsidP="00AD7721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14:paraId="3A733D32" w14:textId="1B27871B" w:rsidR="001829AC" w:rsidRPr="002E424B" w:rsidRDefault="001829AC" w:rsidP="001A48AF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2E424B">
        <w:rPr>
          <w:rFonts w:ascii="Calibri" w:hAnsi="Calibri" w:cs="Calibri" w:hint="default"/>
          <w:b/>
          <w:bCs/>
          <w:sz w:val="28"/>
          <w:szCs w:val="28"/>
          <w:rtl/>
        </w:rPr>
        <w:lastRenderedPageBreak/>
        <w:t>לוח 2: השינויים ברכיבי המדד בחודשים האחרונים</w:t>
      </w:r>
    </w:p>
    <w:p w14:paraId="71FF6F8B" w14:textId="77777777" w:rsidR="001829AC" w:rsidRDefault="001829AC" w:rsidP="00595A38">
      <w:pPr>
        <w:autoSpaceDE w:val="0"/>
        <w:autoSpaceDN w:val="0"/>
        <w:bidi/>
        <w:adjustRightInd w:val="0"/>
        <w:jc w:val="center"/>
        <w:rPr>
          <w:rFonts w:ascii="Calibri" w:hAnsi="Calibri" w:cs="Calibri" w:hint="default"/>
          <w:rtl/>
        </w:rPr>
      </w:pPr>
      <w:r w:rsidRPr="002E424B">
        <w:rPr>
          <w:rFonts w:ascii="Calibri" w:hAnsi="Calibri" w:cs="Calibri" w:hint="default"/>
          <w:i/>
          <w:rtl/>
        </w:rPr>
        <w:t xml:space="preserve">(שיעורי שינוי חודשיים באחוזים, </w:t>
      </w:r>
      <w:proofErr w:type="spellStart"/>
      <w:r w:rsidRPr="002E424B">
        <w:rPr>
          <w:rFonts w:ascii="Calibri" w:hAnsi="Calibri" w:cs="Calibri" w:hint="default"/>
          <w:i/>
          <w:rtl/>
        </w:rPr>
        <w:t>מנוכ</w:t>
      </w:r>
      <w:r w:rsidR="00136A65">
        <w:rPr>
          <w:rFonts w:ascii="Calibri" w:hAnsi="Calibri" w:cs="Calibri"/>
          <w:i/>
          <w:rtl/>
        </w:rPr>
        <w:t>י</w:t>
      </w:r>
      <w:proofErr w:type="spellEnd"/>
      <w:r w:rsidRPr="002E424B">
        <w:rPr>
          <w:rFonts w:ascii="Calibri" w:hAnsi="Calibri" w:cs="Calibri" w:hint="default"/>
          <w:i/>
          <w:rtl/>
        </w:rPr>
        <w:t xml:space="preserve"> עונתיות)</w:t>
      </w:r>
    </w:p>
    <w:p w14:paraId="6F67132A" w14:textId="77777777" w:rsidR="009F5836" w:rsidRDefault="009F5836" w:rsidP="009F5836">
      <w:pPr>
        <w:autoSpaceDE w:val="0"/>
        <w:autoSpaceDN w:val="0"/>
        <w:bidi/>
        <w:adjustRightInd w:val="0"/>
        <w:jc w:val="center"/>
        <w:rPr>
          <w:rFonts w:hint="default"/>
          <w:rtl/>
        </w:rPr>
      </w:pPr>
    </w:p>
    <w:p w14:paraId="60573335" w14:textId="77777777" w:rsidR="00CE7E9C" w:rsidRDefault="00CE7E9C" w:rsidP="00CE7E9C">
      <w:pPr>
        <w:autoSpaceDE w:val="0"/>
        <w:autoSpaceDN w:val="0"/>
        <w:bidi/>
        <w:adjustRightInd w:val="0"/>
        <w:jc w:val="center"/>
        <w:rPr>
          <w:rFonts w:ascii="Calibri" w:hAnsi="Calibri" w:cs="Calibri" w:hint="default"/>
          <w:rtl/>
        </w:rPr>
      </w:pPr>
    </w:p>
    <w:p w14:paraId="0C546953" w14:textId="41EBD889" w:rsidR="00553799" w:rsidRDefault="00CE1626" w:rsidP="00E663D4">
      <w:pPr>
        <w:pStyle w:val="af7"/>
        <w:spacing w:after="240" w:line="276" w:lineRule="auto"/>
        <w:ind w:left="-6"/>
        <w:rPr>
          <w:rFonts w:ascii="Calibri" w:hAnsi="Calibri" w:cs="Calibri"/>
          <w:b/>
          <w:bCs/>
          <w:sz w:val="20"/>
          <w:szCs w:val="20"/>
          <w:rtl/>
        </w:rPr>
      </w:pPr>
      <w:r w:rsidRPr="00CE1626">
        <w:rPr>
          <w:noProof/>
          <w:sz w:val="24"/>
          <w:szCs w:val="24"/>
          <w:rtl/>
        </w:rPr>
        <w:drawing>
          <wp:inline distT="0" distB="0" distL="0" distR="0" wp14:anchorId="38E93AB4" wp14:editId="6396F6A9">
            <wp:extent cx="5612765" cy="4754880"/>
            <wp:effectExtent l="0" t="0" r="6985" b="762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044" cy="476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94C4D" w14:textId="77777777" w:rsidR="00B57576" w:rsidRPr="00B57576" w:rsidRDefault="00B57576" w:rsidP="00E663D4">
      <w:pPr>
        <w:pStyle w:val="af7"/>
        <w:spacing w:after="240" w:line="276" w:lineRule="auto"/>
        <w:ind w:left="-6"/>
        <w:rPr>
          <w:rFonts w:ascii="Calibri" w:hAnsi="Calibri" w:cs="Calibri"/>
          <w:sz w:val="20"/>
          <w:szCs w:val="20"/>
        </w:rPr>
      </w:pPr>
      <w:r w:rsidRPr="00B57576">
        <w:rPr>
          <w:rFonts w:ascii="Calibri" w:hAnsi="Calibri" w:cs="Calibri"/>
          <w:b/>
          <w:bCs/>
          <w:sz w:val="20"/>
          <w:szCs w:val="20"/>
          <w:rtl/>
        </w:rPr>
        <w:t>המקור:</w:t>
      </w:r>
      <w:r w:rsidRPr="00B57576">
        <w:rPr>
          <w:rFonts w:ascii="Calibri" w:hAnsi="Calibri" w:cs="Calibri"/>
          <w:sz w:val="20"/>
          <w:szCs w:val="20"/>
          <w:rtl/>
        </w:rPr>
        <w:t xml:space="preserve"> הלשכה המרכזית לסטטיסטיקה, שב"א, משרד האוצר, </w:t>
      </w:r>
      <w:proofErr w:type="spellStart"/>
      <w:r w:rsidRPr="00B57576">
        <w:rPr>
          <w:rFonts w:ascii="Calibri" w:hAnsi="Calibri" w:cs="Calibri"/>
          <w:sz w:val="20"/>
          <w:szCs w:val="20"/>
          <w:rtl/>
        </w:rPr>
        <w:t>בלומברג</w:t>
      </w:r>
      <w:proofErr w:type="spellEnd"/>
      <w:r w:rsidRPr="00B57576">
        <w:rPr>
          <w:rFonts w:ascii="Calibri" w:hAnsi="Calibri" w:cs="Calibri"/>
          <w:sz w:val="20"/>
          <w:szCs w:val="20"/>
          <w:rtl/>
        </w:rPr>
        <w:t xml:space="preserve">, מנהל הדלק, נתוני בנק ישראל ועיבודי בנק ישראל. לפירוט מלא של המקור לכל סדרה – ראו את המסמך המתודולוגי </w:t>
      </w:r>
      <w:r w:rsidR="00E663D4">
        <w:rPr>
          <w:rFonts w:ascii="Calibri" w:hAnsi="Calibri" w:cs="Calibri" w:hint="cs"/>
          <w:sz w:val="20"/>
          <w:szCs w:val="20"/>
          <w:rtl/>
        </w:rPr>
        <w:t xml:space="preserve">שפורסם </w:t>
      </w:r>
      <w:r w:rsidRPr="00B57576">
        <w:rPr>
          <w:rFonts w:ascii="Calibri" w:hAnsi="Calibri" w:cs="Calibri"/>
          <w:sz w:val="20"/>
          <w:szCs w:val="20"/>
          <w:rtl/>
        </w:rPr>
        <w:t>ב</w:t>
      </w:r>
      <w:r w:rsidR="00E663D4">
        <w:rPr>
          <w:rFonts w:ascii="Calibri" w:hAnsi="Calibri" w:cs="Calibri" w:hint="cs"/>
          <w:sz w:val="20"/>
          <w:szCs w:val="20"/>
          <w:rtl/>
        </w:rPr>
        <w:t>אתר הבנק.</w:t>
      </w:r>
    </w:p>
    <w:p w14:paraId="05D0F3D4" w14:textId="77777777" w:rsidR="00B57576" w:rsidRPr="00B57576" w:rsidRDefault="00B57576" w:rsidP="00B57576">
      <w:pPr>
        <w:autoSpaceDE w:val="0"/>
        <w:autoSpaceDN w:val="0"/>
        <w:bidi/>
        <w:adjustRightInd w:val="0"/>
        <w:jc w:val="both"/>
        <w:rPr>
          <w:rStyle w:val="a6"/>
          <w:rFonts w:ascii="Calibri" w:hAnsi="Calibri" w:cs="Calibri" w:hint="default"/>
          <w:rtl/>
        </w:rPr>
      </w:pPr>
    </w:p>
    <w:sectPr w:rsidR="00B57576" w:rsidRPr="00B57576" w:rsidSect="004C0AA3">
      <w:footnotePr>
        <w:pos w:val="beneathText"/>
      </w:footnotePr>
      <w:type w:val="continuous"/>
      <w:pgSz w:w="11906" w:h="16838"/>
      <w:pgMar w:top="1077" w:right="1797" w:bottom="794" w:left="179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6E6AE" w14:textId="77777777" w:rsidR="00CC0647" w:rsidRDefault="00CC0647">
      <w:pPr>
        <w:rPr>
          <w:rFonts w:hint="default"/>
        </w:rPr>
      </w:pPr>
      <w:r>
        <w:separator/>
      </w:r>
    </w:p>
  </w:endnote>
  <w:endnote w:type="continuationSeparator" w:id="0">
    <w:p w14:paraId="177BC83C" w14:textId="77777777" w:rsidR="00CC0647" w:rsidRDefault="00CC064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B316C" w14:textId="77777777" w:rsidR="00CC0647" w:rsidRDefault="00CC0647" w:rsidP="003E369F">
      <w:pPr>
        <w:jc w:val="right"/>
        <w:rPr>
          <w:rFonts w:hint="default"/>
        </w:rPr>
      </w:pPr>
      <w:r>
        <w:separator/>
      </w:r>
    </w:p>
  </w:footnote>
  <w:footnote w:type="continuationSeparator" w:id="0">
    <w:p w14:paraId="783712A4" w14:textId="77777777" w:rsidR="00CC0647" w:rsidRDefault="00CC0647">
      <w:pPr>
        <w:rPr>
          <w:rFonts w:hint="default"/>
        </w:rPr>
      </w:pPr>
      <w:r>
        <w:continuationSeparator/>
      </w:r>
    </w:p>
  </w:footnote>
  <w:footnote w:id="1">
    <w:p w14:paraId="01DDA9E4" w14:textId="77777777" w:rsidR="00215DAB" w:rsidRPr="006E70CF" w:rsidRDefault="00215DAB" w:rsidP="00243746">
      <w:pPr>
        <w:pStyle w:val="a4"/>
        <w:rPr>
          <w:rFonts w:asciiTheme="minorHAnsi" w:hAnsiTheme="minorHAnsi" w:cstheme="minorHAnsi"/>
          <w:i/>
          <w:iCs w:val="0"/>
        </w:rPr>
      </w:pPr>
      <w:r w:rsidRPr="006E70CF">
        <w:rPr>
          <w:rStyle w:val="a6"/>
          <w:rFonts w:asciiTheme="minorHAnsi" w:hAnsiTheme="minorHAnsi" w:cstheme="minorHAnsi"/>
          <w:i/>
          <w:iCs w:val="0"/>
        </w:rPr>
        <w:footnoteRef/>
      </w:r>
      <w:r w:rsidRPr="006E70CF">
        <w:rPr>
          <w:rFonts w:asciiTheme="minorHAnsi" w:hAnsiTheme="minorHAnsi" w:cstheme="minorHAnsi"/>
          <w:i/>
          <w:iCs w:val="0"/>
          <w:rtl/>
        </w:rPr>
        <w:t xml:space="preserve"> המדד החודשי לפעילות המשק משקף את הממוצע התלת-חודשי של אומדן קצב הצמיחה החודשי בתוצר. האומדן מבוסס על מודל שפותח בבנק ישראל (</w:t>
      </w:r>
      <w:proofErr w:type="spellStart"/>
      <w:r w:rsidRPr="006E70CF">
        <w:rPr>
          <w:rFonts w:asciiTheme="minorHAnsi" w:hAnsiTheme="minorHAnsi" w:cstheme="minorHAnsi"/>
          <w:i/>
          <w:iCs w:val="0"/>
          <w:rtl/>
        </w:rPr>
        <w:t>גינקר</w:t>
      </w:r>
      <w:proofErr w:type="spellEnd"/>
      <w:r w:rsidRPr="006E70CF">
        <w:rPr>
          <w:rFonts w:asciiTheme="minorHAnsi" w:hAnsiTheme="minorHAnsi" w:cstheme="minorHAnsi"/>
          <w:i/>
          <w:iCs w:val="0"/>
          <w:rtl/>
        </w:rPr>
        <w:t xml:space="preserve"> </w:t>
      </w:r>
      <w:proofErr w:type="spellStart"/>
      <w:r w:rsidRPr="006E70CF">
        <w:rPr>
          <w:rFonts w:asciiTheme="minorHAnsi" w:hAnsiTheme="minorHAnsi" w:cstheme="minorHAnsi"/>
          <w:i/>
          <w:iCs w:val="0"/>
          <w:rtl/>
        </w:rPr>
        <w:t>וסוחוי</w:t>
      </w:r>
      <w:proofErr w:type="spellEnd"/>
      <w:r w:rsidRPr="006E70CF">
        <w:rPr>
          <w:rFonts w:asciiTheme="minorHAnsi" w:hAnsiTheme="minorHAnsi" w:cstheme="minorHAnsi"/>
          <w:i/>
          <w:iCs w:val="0"/>
          <w:rtl/>
        </w:rPr>
        <w:t>, 2021)</w:t>
      </w:r>
      <w:r w:rsidR="00243746" w:rsidRPr="006E70CF">
        <w:rPr>
          <w:rFonts w:asciiTheme="minorHAnsi" w:hAnsiTheme="minorHAnsi" w:cstheme="minorHAnsi"/>
          <w:i/>
          <w:iCs w:val="0"/>
          <w:rtl/>
        </w:rPr>
        <w:t xml:space="preserve">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4F26"/>
    <w:multiLevelType w:val="hybridMultilevel"/>
    <w:tmpl w:val="3FCE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E1D"/>
    <w:multiLevelType w:val="hybridMultilevel"/>
    <w:tmpl w:val="D5F001F4"/>
    <w:lvl w:ilvl="0" w:tplc="C3B47E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C14AE"/>
    <w:multiLevelType w:val="hybridMultilevel"/>
    <w:tmpl w:val="9398C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MjEwMzIzNTYxMDZT0lEKTi0uzszPAykwrAUA7FjsjiwAAAA="/>
  </w:docVars>
  <w:rsids>
    <w:rsidRoot w:val="00930ABC"/>
    <w:rsid w:val="00000064"/>
    <w:rsid w:val="00000525"/>
    <w:rsid w:val="00000FA2"/>
    <w:rsid w:val="0000170D"/>
    <w:rsid w:val="00001DD7"/>
    <w:rsid w:val="00001E13"/>
    <w:rsid w:val="0000375E"/>
    <w:rsid w:val="00003856"/>
    <w:rsid w:val="00004E38"/>
    <w:rsid w:val="0000567C"/>
    <w:rsid w:val="0000573F"/>
    <w:rsid w:val="00006CB6"/>
    <w:rsid w:val="00006DCF"/>
    <w:rsid w:val="000103C0"/>
    <w:rsid w:val="00010746"/>
    <w:rsid w:val="0001081A"/>
    <w:rsid w:val="000111EE"/>
    <w:rsid w:val="00011503"/>
    <w:rsid w:val="00013EBB"/>
    <w:rsid w:val="00014DAC"/>
    <w:rsid w:val="000158AE"/>
    <w:rsid w:val="00016B25"/>
    <w:rsid w:val="00016FE2"/>
    <w:rsid w:val="000175FA"/>
    <w:rsid w:val="00021244"/>
    <w:rsid w:val="00021649"/>
    <w:rsid w:val="0002202B"/>
    <w:rsid w:val="00022096"/>
    <w:rsid w:val="00022632"/>
    <w:rsid w:val="000236C4"/>
    <w:rsid w:val="00024F28"/>
    <w:rsid w:val="000267DD"/>
    <w:rsid w:val="0002749B"/>
    <w:rsid w:val="00030A90"/>
    <w:rsid w:val="00031468"/>
    <w:rsid w:val="00032222"/>
    <w:rsid w:val="00032246"/>
    <w:rsid w:val="00032B5B"/>
    <w:rsid w:val="000358FB"/>
    <w:rsid w:val="00035DD4"/>
    <w:rsid w:val="0003621D"/>
    <w:rsid w:val="00036E24"/>
    <w:rsid w:val="00040666"/>
    <w:rsid w:val="00040A25"/>
    <w:rsid w:val="00040FEE"/>
    <w:rsid w:val="0004247A"/>
    <w:rsid w:val="0004267F"/>
    <w:rsid w:val="00042D48"/>
    <w:rsid w:val="00044171"/>
    <w:rsid w:val="000441F2"/>
    <w:rsid w:val="00045277"/>
    <w:rsid w:val="00046A4E"/>
    <w:rsid w:val="00046D6C"/>
    <w:rsid w:val="00047043"/>
    <w:rsid w:val="00047397"/>
    <w:rsid w:val="00050050"/>
    <w:rsid w:val="000500BD"/>
    <w:rsid w:val="00050A15"/>
    <w:rsid w:val="0005277D"/>
    <w:rsid w:val="00052964"/>
    <w:rsid w:val="000533F0"/>
    <w:rsid w:val="00053955"/>
    <w:rsid w:val="000540D7"/>
    <w:rsid w:val="000544C3"/>
    <w:rsid w:val="00055509"/>
    <w:rsid w:val="00055715"/>
    <w:rsid w:val="0005596A"/>
    <w:rsid w:val="00057779"/>
    <w:rsid w:val="0005777D"/>
    <w:rsid w:val="00060A05"/>
    <w:rsid w:val="00061702"/>
    <w:rsid w:val="000625CE"/>
    <w:rsid w:val="000626E7"/>
    <w:rsid w:val="00062AC5"/>
    <w:rsid w:val="00062FFE"/>
    <w:rsid w:val="0006311E"/>
    <w:rsid w:val="00063AA0"/>
    <w:rsid w:val="00063BEE"/>
    <w:rsid w:val="000651D6"/>
    <w:rsid w:val="00067515"/>
    <w:rsid w:val="00067D1B"/>
    <w:rsid w:val="00070381"/>
    <w:rsid w:val="00070419"/>
    <w:rsid w:val="00070B0F"/>
    <w:rsid w:val="00071592"/>
    <w:rsid w:val="0007178F"/>
    <w:rsid w:val="00071831"/>
    <w:rsid w:val="00072FA9"/>
    <w:rsid w:val="0007306E"/>
    <w:rsid w:val="00073A1F"/>
    <w:rsid w:val="00075529"/>
    <w:rsid w:val="00075B47"/>
    <w:rsid w:val="00077780"/>
    <w:rsid w:val="00077B3C"/>
    <w:rsid w:val="00077C8C"/>
    <w:rsid w:val="00080509"/>
    <w:rsid w:val="000814E5"/>
    <w:rsid w:val="00081A7F"/>
    <w:rsid w:val="00081D33"/>
    <w:rsid w:val="000826DD"/>
    <w:rsid w:val="00082B25"/>
    <w:rsid w:val="00083D86"/>
    <w:rsid w:val="000849F2"/>
    <w:rsid w:val="00084DB9"/>
    <w:rsid w:val="00084F60"/>
    <w:rsid w:val="000854FE"/>
    <w:rsid w:val="00087CA9"/>
    <w:rsid w:val="00093736"/>
    <w:rsid w:val="00093B6F"/>
    <w:rsid w:val="00094E1C"/>
    <w:rsid w:val="00095A4A"/>
    <w:rsid w:val="00096819"/>
    <w:rsid w:val="00096C4B"/>
    <w:rsid w:val="00096DF5"/>
    <w:rsid w:val="000971CA"/>
    <w:rsid w:val="000A023D"/>
    <w:rsid w:val="000A2340"/>
    <w:rsid w:val="000A24A6"/>
    <w:rsid w:val="000A258A"/>
    <w:rsid w:val="000A291B"/>
    <w:rsid w:val="000A2C5F"/>
    <w:rsid w:val="000A409C"/>
    <w:rsid w:val="000A52CA"/>
    <w:rsid w:val="000A5359"/>
    <w:rsid w:val="000A5A86"/>
    <w:rsid w:val="000A7D18"/>
    <w:rsid w:val="000B0248"/>
    <w:rsid w:val="000B139A"/>
    <w:rsid w:val="000B1B01"/>
    <w:rsid w:val="000B2079"/>
    <w:rsid w:val="000B3BB4"/>
    <w:rsid w:val="000B415B"/>
    <w:rsid w:val="000B41E5"/>
    <w:rsid w:val="000B428B"/>
    <w:rsid w:val="000B441E"/>
    <w:rsid w:val="000B4AD7"/>
    <w:rsid w:val="000B4C78"/>
    <w:rsid w:val="000B4ED1"/>
    <w:rsid w:val="000B6553"/>
    <w:rsid w:val="000B76BE"/>
    <w:rsid w:val="000B7DAB"/>
    <w:rsid w:val="000C00DD"/>
    <w:rsid w:val="000C047D"/>
    <w:rsid w:val="000C0B94"/>
    <w:rsid w:val="000C0CC2"/>
    <w:rsid w:val="000C3689"/>
    <w:rsid w:val="000C4278"/>
    <w:rsid w:val="000C4ADF"/>
    <w:rsid w:val="000C5413"/>
    <w:rsid w:val="000C6D7A"/>
    <w:rsid w:val="000C77B7"/>
    <w:rsid w:val="000D26DA"/>
    <w:rsid w:val="000D298D"/>
    <w:rsid w:val="000D2D62"/>
    <w:rsid w:val="000D3C14"/>
    <w:rsid w:val="000D5A4F"/>
    <w:rsid w:val="000D5F6D"/>
    <w:rsid w:val="000D66F1"/>
    <w:rsid w:val="000E0669"/>
    <w:rsid w:val="000E1C92"/>
    <w:rsid w:val="000E1DC0"/>
    <w:rsid w:val="000E1DC3"/>
    <w:rsid w:val="000E336E"/>
    <w:rsid w:val="000E3D4F"/>
    <w:rsid w:val="000E4260"/>
    <w:rsid w:val="000E55AD"/>
    <w:rsid w:val="000E5F7F"/>
    <w:rsid w:val="000E710C"/>
    <w:rsid w:val="000F022C"/>
    <w:rsid w:val="000F0302"/>
    <w:rsid w:val="000F16A4"/>
    <w:rsid w:val="000F2091"/>
    <w:rsid w:val="000F2903"/>
    <w:rsid w:val="000F3401"/>
    <w:rsid w:val="000F398C"/>
    <w:rsid w:val="000F3C31"/>
    <w:rsid w:val="000F3D48"/>
    <w:rsid w:val="000F44D1"/>
    <w:rsid w:val="000F6D88"/>
    <w:rsid w:val="000F6F52"/>
    <w:rsid w:val="000F72CD"/>
    <w:rsid w:val="001007C1"/>
    <w:rsid w:val="00100A59"/>
    <w:rsid w:val="001018B1"/>
    <w:rsid w:val="00101B51"/>
    <w:rsid w:val="00101BE4"/>
    <w:rsid w:val="00103621"/>
    <w:rsid w:val="00103A67"/>
    <w:rsid w:val="00106467"/>
    <w:rsid w:val="0011195C"/>
    <w:rsid w:val="001124C1"/>
    <w:rsid w:val="001125C2"/>
    <w:rsid w:val="00112DB5"/>
    <w:rsid w:val="00114229"/>
    <w:rsid w:val="00114A91"/>
    <w:rsid w:val="001164A7"/>
    <w:rsid w:val="00116577"/>
    <w:rsid w:val="0011689C"/>
    <w:rsid w:val="00117D8A"/>
    <w:rsid w:val="001201B9"/>
    <w:rsid w:val="001203F9"/>
    <w:rsid w:val="0012042E"/>
    <w:rsid w:val="00121AFE"/>
    <w:rsid w:val="00122AB5"/>
    <w:rsid w:val="00122C31"/>
    <w:rsid w:val="00123020"/>
    <w:rsid w:val="001232BF"/>
    <w:rsid w:val="00124492"/>
    <w:rsid w:val="0012591D"/>
    <w:rsid w:val="001278E5"/>
    <w:rsid w:val="00127DD3"/>
    <w:rsid w:val="00130514"/>
    <w:rsid w:val="00131547"/>
    <w:rsid w:val="00131790"/>
    <w:rsid w:val="00132419"/>
    <w:rsid w:val="00132EEC"/>
    <w:rsid w:val="00133C0F"/>
    <w:rsid w:val="00133EB9"/>
    <w:rsid w:val="00135463"/>
    <w:rsid w:val="00136A65"/>
    <w:rsid w:val="001370F1"/>
    <w:rsid w:val="00137B76"/>
    <w:rsid w:val="00137E1E"/>
    <w:rsid w:val="00137F3E"/>
    <w:rsid w:val="0014020D"/>
    <w:rsid w:val="00140234"/>
    <w:rsid w:val="00142998"/>
    <w:rsid w:val="00142A73"/>
    <w:rsid w:val="00142D20"/>
    <w:rsid w:val="001437CB"/>
    <w:rsid w:val="00143E4B"/>
    <w:rsid w:val="001440F2"/>
    <w:rsid w:val="00144AC2"/>
    <w:rsid w:val="00145665"/>
    <w:rsid w:val="001456B4"/>
    <w:rsid w:val="00145F71"/>
    <w:rsid w:val="00146544"/>
    <w:rsid w:val="00146D38"/>
    <w:rsid w:val="00147F4E"/>
    <w:rsid w:val="001504B9"/>
    <w:rsid w:val="00150909"/>
    <w:rsid w:val="001511D9"/>
    <w:rsid w:val="00152DFF"/>
    <w:rsid w:val="0015322E"/>
    <w:rsid w:val="00153A4B"/>
    <w:rsid w:val="0015449A"/>
    <w:rsid w:val="0015528E"/>
    <w:rsid w:val="00155813"/>
    <w:rsid w:val="00155A06"/>
    <w:rsid w:val="00155C82"/>
    <w:rsid w:val="00155CDE"/>
    <w:rsid w:val="00156761"/>
    <w:rsid w:val="00157C03"/>
    <w:rsid w:val="00157D11"/>
    <w:rsid w:val="00160F55"/>
    <w:rsid w:val="00160FA0"/>
    <w:rsid w:val="001613B4"/>
    <w:rsid w:val="00162EC4"/>
    <w:rsid w:val="00163AAE"/>
    <w:rsid w:val="00163CDB"/>
    <w:rsid w:val="00163F11"/>
    <w:rsid w:val="0016415E"/>
    <w:rsid w:val="00164304"/>
    <w:rsid w:val="001643F8"/>
    <w:rsid w:val="00164403"/>
    <w:rsid w:val="001648B0"/>
    <w:rsid w:val="001649D0"/>
    <w:rsid w:val="00164E66"/>
    <w:rsid w:val="001653B8"/>
    <w:rsid w:val="00166428"/>
    <w:rsid w:val="001669E9"/>
    <w:rsid w:val="001706BC"/>
    <w:rsid w:val="00170782"/>
    <w:rsid w:val="00171A53"/>
    <w:rsid w:val="00172BBC"/>
    <w:rsid w:val="00172E77"/>
    <w:rsid w:val="001736DE"/>
    <w:rsid w:val="00174962"/>
    <w:rsid w:val="00174E08"/>
    <w:rsid w:val="00175DD0"/>
    <w:rsid w:val="001766BC"/>
    <w:rsid w:val="00177501"/>
    <w:rsid w:val="00177880"/>
    <w:rsid w:val="00181016"/>
    <w:rsid w:val="0018181B"/>
    <w:rsid w:val="001829AC"/>
    <w:rsid w:val="00182CA2"/>
    <w:rsid w:val="00184370"/>
    <w:rsid w:val="00184841"/>
    <w:rsid w:val="00185E3B"/>
    <w:rsid w:val="00186455"/>
    <w:rsid w:val="001869FE"/>
    <w:rsid w:val="0018702A"/>
    <w:rsid w:val="00187A32"/>
    <w:rsid w:val="00187FC4"/>
    <w:rsid w:val="001903F9"/>
    <w:rsid w:val="00190B54"/>
    <w:rsid w:val="0019197F"/>
    <w:rsid w:val="001927B8"/>
    <w:rsid w:val="001929E4"/>
    <w:rsid w:val="00194570"/>
    <w:rsid w:val="00194964"/>
    <w:rsid w:val="001967D0"/>
    <w:rsid w:val="00196CE1"/>
    <w:rsid w:val="0019744F"/>
    <w:rsid w:val="00197FD0"/>
    <w:rsid w:val="001A0633"/>
    <w:rsid w:val="001A08DD"/>
    <w:rsid w:val="001A187D"/>
    <w:rsid w:val="001A29B0"/>
    <w:rsid w:val="001A2A8F"/>
    <w:rsid w:val="001A2AAB"/>
    <w:rsid w:val="001A48AF"/>
    <w:rsid w:val="001A514F"/>
    <w:rsid w:val="001A6286"/>
    <w:rsid w:val="001A6BBC"/>
    <w:rsid w:val="001A6D5C"/>
    <w:rsid w:val="001A7FDD"/>
    <w:rsid w:val="001B1C28"/>
    <w:rsid w:val="001B3206"/>
    <w:rsid w:val="001B4C87"/>
    <w:rsid w:val="001B4E40"/>
    <w:rsid w:val="001B6B70"/>
    <w:rsid w:val="001B7AF1"/>
    <w:rsid w:val="001C03B4"/>
    <w:rsid w:val="001C07C4"/>
    <w:rsid w:val="001C0C78"/>
    <w:rsid w:val="001C0F81"/>
    <w:rsid w:val="001C12F5"/>
    <w:rsid w:val="001C2200"/>
    <w:rsid w:val="001C276F"/>
    <w:rsid w:val="001C2E66"/>
    <w:rsid w:val="001C34F7"/>
    <w:rsid w:val="001C4785"/>
    <w:rsid w:val="001C4C58"/>
    <w:rsid w:val="001C62C1"/>
    <w:rsid w:val="001C6956"/>
    <w:rsid w:val="001C6AE8"/>
    <w:rsid w:val="001C7CE7"/>
    <w:rsid w:val="001D0824"/>
    <w:rsid w:val="001D2AE5"/>
    <w:rsid w:val="001D3820"/>
    <w:rsid w:val="001D411A"/>
    <w:rsid w:val="001D4673"/>
    <w:rsid w:val="001D58DF"/>
    <w:rsid w:val="001D6008"/>
    <w:rsid w:val="001E0D0E"/>
    <w:rsid w:val="001E24EC"/>
    <w:rsid w:val="001E271F"/>
    <w:rsid w:val="001E2B33"/>
    <w:rsid w:val="001E4CEE"/>
    <w:rsid w:val="001E4D5E"/>
    <w:rsid w:val="001E5019"/>
    <w:rsid w:val="001E55EF"/>
    <w:rsid w:val="001E685E"/>
    <w:rsid w:val="001E6CA3"/>
    <w:rsid w:val="001E6E99"/>
    <w:rsid w:val="001E7CC0"/>
    <w:rsid w:val="001E7F0A"/>
    <w:rsid w:val="001F0602"/>
    <w:rsid w:val="001F0A00"/>
    <w:rsid w:val="001F0D2B"/>
    <w:rsid w:val="001F13F9"/>
    <w:rsid w:val="001F2A3E"/>
    <w:rsid w:val="001F2BB1"/>
    <w:rsid w:val="001F368B"/>
    <w:rsid w:val="001F3E4A"/>
    <w:rsid w:val="001F44DA"/>
    <w:rsid w:val="001F4C5D"/>
    <w:rsid w:val="001F5013"/>
    <w:rsid w:val="001F704C"/>
    <w:rsid w:val="001F770E"/>
    <w:rsid w:val="001F7FE7"/>
    <w:rsid w:val="00200CB8"/>
    <w:rsid w:val="00201263"/>
    <w:rsid w:val="002016F5"/>
    <w:rsid w:val="00201B9F"/>
    <w:rsid w:val="002029C8"/>
    <w:rsid w:val="00203384"/>
    <w:rsid w:val="00204644"/>
    <w:rsid w:val="00204BEC"/>
    <w:rsid w:val="00205DCE"/>
    <w:rsid w:val="0020654C"/>
    <w:rsid w:val="00206CAA"/>
    <w:rsid w:val="00206E16"/>
    <w:rsid w:val="00207250"/>
    <w:rsid w:val="0020738C"/>
    <w:rsid w:val="002106BC"/>
    <w:rsid w:val="00211975"/>
    <w:rsid w:val="00211BA4"/>
    <w:rsid w:val="00211F5C"/>
    <w:rsid w:val="002123B0"/>
    <w:rsid w:val="0021263D"/>
    <w:rsid w:val="002133BD"/>
    <w:rsid w:val="00213692"/>
    <w:rsid w:val="00215650"/>
    <w:rsid w:val="0021585A"/>
    <w:rsid w:val="00215DAB"/>
    <w:rsid w:val="00215FC3"/>
    <w:rsid w:val="002161C3"/>
    <w:rsid w:val="00220CF0"/>
    <w:rsid w:val="00221946"/>
    <w:rsid w:val="00222C27"/>
    <w:rsid w:val="00222C44"/>
    <w:rsid w:val="0022308C"/>
    <w:rsid w:val="002234D3"/>
    <w:rsid w:val="00223684"/>
    <w:rsid w:val="00223A80"/>
    <w:rsid w:val="00223E6D"/>
    <w:rsid w:val="00223EF1"/>
    <w:rsid w:val="00230265"/>
    <w:rsid w:val="0023176D"/>
    <w:rsid w:val="00231934"/>
    <w:rsid w:val="00232352"/>
    <w:rsid w:val="00232955"/>
    <w:rsid w:val="00233716"/>
    <w:rsid w:val="00234199"/>
    <w:rsid w:val="002342DD"/>
    <w:rsid w:val="00234899"/>
    <w:rsid w:val="00234966"/>
    <w:rsid w:val="00234D39"/>
    <w:rsid w:val="00235A17"/>
    <w:rsid w:val="002360E3"/>
    <w:rsid w:val="0023693C"/>
    <w:rsid w:val="0023724A"/>
    <w:rsid w:val="00237B87"/>
    <w:rsid w:val="00237E7B"/>
    <w:rsid w:val="002432C6"/>
    <w:rsid w:val="00243746"/>
    <w:rsid w:val="00245C4B"/>
    <w:rsid w:val="00246A9F"/>
    <w:rsid w:val="0024798B"/>
    <w:rsid w:val="00250901"/>
    <w:rsid w:val="002517A7"/>
    <w:rsid w:val="002517C1"/>
    <w:rsid w:val="00251B15"/>
    <w:rsid w:val="00251F57"/>
    <w:rsid w:val="002523DF"/>
    <w:rsid w:val="00253217"/>
    <w:rsid w:val="0025338A"/>
    <w:rsid w:val="00253D3A"/>
    <w:rsid w:val="00254260"/>
    <w:rsid w:val="00255458"/>
    <w:rsid w:val="00255C92"/>
    <w:rsid w:val="00256906"/>
    <w:rsid w:val="00257050"/>
    <w:rsid w:val="00257B64"/>
    <w:rsid w:val="00261CD9"/>
    <w:rsid w:val="0026262E"/>
    <w:rsid w:val="002627B3"/>
    <w:rsid w:val="00262E65"/>
    <w:rsid w:val="0026303D"/>
    <w:rsid w:val="00263836"/>
    <w:rsid w:val="0026428E"/>
    <w:rsid w:val="00264982"/>
    <w:rsid w:val="002655D9"/>
    <w:rsid w:val="00265EE0"/>
    <w:rsid w:val="002662EC"/>
    <w:rsid w:val="002713A8"/>
    <w:rsid w:val="0027202D"/>
    <w:rsid w:val="00272200"/>
    <w:rsid w:val="00273254"/>
    <w:rsid w:val="002758EE"/>
    <w:rsid w:val="00275D2F"/>
    <w:rsid w:val="00277606"/>
    <w:rsid w:val="00280278"/>
    <w:rsid w:val="002807AE"/>
    <w:rsid w:val="002814F7"/>
    <w:rsid w:val="00281566"/>
    <w:rsid w:val="00282330"/>
    <w:rsid w:val="00282857"/>
    <w:rsid w:val="00283566"/>
    <w:rsid w:val="002839FF"/>
    <w:rsid w:val="00283DD7"/>
    <w:rsid w:val="00283E94"/>
    <w:rsid w:val="00285A18"/>
    <w:rsid w:val="00285CFB"/>
    <w:rsid w:val="002861D3"/>
    <w:rsid w:val="00290AF5"/>
    <w:rsid w:val="00290CCC"/>
    <w:rsid w:val="00290E1D"/>
    <w:rsid w:val="00292669"/>
    <w:rsid w:val="002936A8"/>
    <w:rsid w:val="00293B9B"/>
    <w:rsid w:val="00293D23"/>
    <w:rsid w:val="002941D7"/>
    <w:rsid w:val="00294B56"/>
    <w:rsid w:val="00295801"/>
    <w:rsid w:val="00296AD6"/>
    <w:rsid w:val="00297B18"/>
    <w:rsid w:val="00297BE4"/>
    <w:rsid w:val="00297CE1"/>
    <w:rsid w:val="002A0E80"/>
    <w:rsid w:val="002A12FB"/>
    <w:rsid w:val="002A23B2"/>
    <w:rsid w:val="002A3858"/>
    <w:rsid w:val="002A3CB1"/>
    <w:rsid w:val="002A3CC0"/>
    <w:rsid w:val="002A4786"/>
    <w:rsid w:val="002A4DFE"/>
    <w:rsid w:val="002A59C3"/>
    <w:rsid w:val="002A5E5A"/>
    <w:rsid w:val="002A61C0"/>
    <w:rsid w:val="002A67C2"/>
    <w:rsid w:val="002A6F20"/>
    <w:rsid w:val="002A7AEE"/>
    <w:rsid w:val="002B2AA5"/>
    <w:rsid w:val="002B38A4"/>
    <w:rsid w:val="002B61C2"/>
    <w:rsid w:val="002B6329"/>
    <w:rsid w:val="002B7173"/>
    <w:rsid w:val="002C0C3E"/>
    <w:rsid w:val="002C0E5F"/>
    <w:rsid w:val="002C205C"/>
    <w:rsid w:val="002C2A9F"/>
    <w:rsid w:val="002C39B6"/>
    <w:rsid w:val="002C3ED0"/>
    <w:rsid w:val="002C469C"/>
    <w:rsid w:val="002C4DDF"/>
    <w:rsid w:val="002C5E09"/>
    <w:rsid w:val="002C6B69"/>
    <w:rsid w:val="002C7E3F"/>
    <w:rsid w:val="002D2280"/>
    <w:rsid w:val="002D318B"/>
    <w:rsid w:val="002D319E"/>
    <w:rsid w:val="002D3A3D"/>
    <w:rsid w:val="002D4723"/>
    <w:rsid w:val="002D4FAA"/>
    <w:rsid w:val="002D7B53"/>
    <w:rsid w:val="002E0237"/>
    <w:rsid w:val="002E1E6D"/>
    <w:rsid w:val="002E2292"/>
    <w:rsid w:val="002E275F"/>
    <w:rsid w:val="002E27AC"/>
    <w:rsid w:val="002E34BA"/>
    <w:rsid w:val="002E3B5A"/>
    <w:rsid w:val="002E3C0E"/>
    <w:rsid w:val="002E3F53"/>
    <w:rsid w:val="002E424B"/>
    <w:rsid w:val="002E4508"/>
    <w:rsid w:val="002E45F7"/>
    <w:rsid w:val="002E4792"/>
    <w:rsid w:val="002E48CD"/>
    <w:rsid w:val="002E4AEE"/>
    <w:rsid w:val="002E511D"/>
    <w:rsid w:val="002E525B"/>
    <w:rsid w:val="002E59A8"/>
    <w:rsid w:val="002E6374"/>
    <w:rsid w:val="002E6390"/>
    <w:rsid w:val="002E7280"/>
    <w:rsid w:val="002E7372"/>
    <w:rsid w:val="002E73D1"/>
    <w:rsid w:val="002E7651"/>
    <w:rsid w:val="002E7BC5"/>
    <w:rsid w:val="002E7E71"/>
    <w:rsid w:val="002F05B7"/>
    <w:rsid w:val="002F065A"/>
    <w:rsid w:val="002F1B33"/>
    <w:rsid w:val="002F1D97"/>
    <w:rsid w:val="002F1E1C"/>
    <w:rsid w:val="002F21D3"/>
    <w:rsid w:val="002F5E11"/>
    <w:rsid w:val="002F6AEC"/>
    <w:rsid w:val="002F7487"/>
    <w:rsid w:val="002F75EB"/>
    <w:rsid w:val="002F7B47"/>
    <w:rsid w:val="00300FCC"/>
    <w:rsid w:val="00301D5D"/>
    <w:rsid w:val="00302025"/>
    <w:rsid w:val="003020FF"/>
    <w:rsid w:val="00302302"/>
    <w:rsid w:val="00302534"/>
    <w:rsid w:val="003039BB"/>
    <w:rsid w:val="0030417A"/>
    <w:rsid w:val="003044D4"/>
    <w:rsid w:val="003051E6"/>
    <w:rsid w:val="00310969"/>
    <w:rsid w:val="00311311"/>
    <w:rsid w:val="0031240D"/>
    <w:rsid w:val="003129A0"/>
    <w:rsid w:val="003138CA"/>
    <w:rsid w:val="00314033"/>
    <w:rsid w:val="00314D4F"/>
    <w:rsid w:val="00317000"/>
    <w:rsid w:val="00317583"/>
    <w:rsid w:val="00317DC4"/>
    <w:rsid w:val="0032101C"/>
    <w:rsid w:val="0032134D"/>
    <w:rsid w:val="00321967"/>
    <w:rsid w:val="003239C3"/>
    <w:rsid w:val="00323D6D"/>
    <w:rsid w:val="00323E9C"/>
    <w:rsid w:val="00324D41"/>
    <w:rsid w:val="0032570F"/>
    <w:rsid w:val="00325A92"/>
    <w:rsid w:val="0032684F"/>
    <w:rsid w:val="00326B53"/>
    <w:rsid w:val="00327383"/>
    <w:rsid w:val="003303E0"/>
    <w:rsid w:val="003307E1"/>
    <w:rsid w:val="003308DF"/>
    <w:rsid w:val="00331314"/>
    <w:rsid w:val="00331573"/>
    <w:rsid w:val="00334202"/>
    <w:rsid w:val="003347A9"/>
    <w:rsid w:val="0033484C"/>
    <w:rsid w:val="0033489E"/>
    <w:rsid w:val="00334B33"/>
    <w:rsid w:val="00337116"/>
    <w:rsid w:val="00340679"/>
    <w:rsid w:val="003424F7"/>
    <w:rsid w:val="00342FD8"/>
    <w:rsid w:val="0034416D"/>
    <w:rsid w:val="003441EE"/>
    <w:rsid w:val="0034474C"/>
    <w:rsid w:val="00344F34"/>
    <w:rsid w:val="003500A2"/>
    <w:rsid w:val="00351E38"/>
    <w:rsid w:val="00353953"/>
    <w:rsid w:val="003542E9"/>
    <w:rsid w:val="003547E3"/>
    <w:rsid w:val="00354C37"/>
    <w:rsid w:val="00354C89"/>
    <w:rsid w:val="00355A91"/>
    <w:rsid w:val="00361430"/>
    <w:rsid w:val="003619E6"/>
    <w:rsid w:val="0036209A"/>
    <w:rsid w:val="00362BFC"/>
    <w:rsid w:val="00363151"/>
    <w:rsid w:val="003639EF"/>
    <w:rsid w:val="00364075"/>
    <w:rsid w:val="003653D5"/>
    <w:rsid w:val="00365A30"/>
    <w:rsid w:val="003662D2"/>
    <w:rsid w:val="00366ADA"/>
    <w:rsid w:val="003673EF"/>
    <w:rsid w:val="00367949"/>
    <w:rsid w:val="003701BD"/>
    <w:rsid w:val="003702EF"/>
    <w:rsid w:val="00370523"/>
    <w:rsid w:val="00370A1D"/>
    <w:rsid w:val="00370C69"/>
    <w:rsid w:val="00372BC3"/>
    <w:rsid w:val="00372C94"/>
    <w:rsid w:val="003733E2"/>
    <w:rsid w:val="00374378"/>
    <w:rsid w:val="003766A1"/>
    <w:rsid w:val="0037796F"/>
    <w:rsid w:val="00377F94"/>
    <w:rsid w:val="003800D3"/>
    <w:rsid w:val="003814EA"/>
    <w:rsid w:val="00381947"/>
    <w:rsid w:val="00382995"/>
    <w:rsid w:val="003834B3"/>
    <w:rsid w:val="0038352F"/>
    <w:rsid w:val="0038476F"/>
    <w:rsid w:val="00385AF1"/>
    <w:rsid w:val="00386BF3"/>
    <w:rsid w:val="0038785A"/>
    <w:rsid w:val="00387A15"/>
    <w:rsid w:val="00390820"/>
    <w:rsid w:val="0039249A"/>
    <w:rsid w:val="00394783"/>
    <w:rsid w:val="00394C1F"/>
    <w:rsid w:val="00395100"/>
    <w:rsid w:val="003967FD"/>
    <w:rsid w:val="00396D0C"/>
    <w:rsid w:val="003973CA"/>
    <w:rsid w:val="00397589"/>
    <w:rsid w:val="00397633"/>
    <w:rsid w:val="003A02EC"/>
    <w:rsid w:val="003A06C6"/>
    <w:rsid w:val="003A0B92"/>
    <w:rsid w:val="003A420F"/>
    <w:rsid w:val="003A47D8"/>
    <w:rsid w:val="003A5076"/>
    <w:rsid w:val="003A5EF6"/>
    <w:rsid w:val="003A6D1D"/>
    <w:rsid w:val="003A7033"/>
    <w:rsid w:val="003B019A"/>
    <w:rsid w:val="003B21DD"/>
    <w:rsid w:val="003B21E6"/>
    <w:rsid w:val="003B2809"/>
    <w:rsid w:val="003B358C"/>
    <w:rsid w:val="003B3BEB"/>
    <w:rsid w:val="003B4071"/>
    <w:rsid w:val="003B6291"/>
    <w:rsid w:val="003B6FCB"/>
    <w:rsid w:val="003C02C2"/>
    <w:rsid w:val="003C041A"/>
    <w:rsid w:val="003C10EF"/>
    <w:rsid w:val="003C1496"/>
    <w:rsid w:val="003C14C4"/>
    <w:rsid w:val="003C18CE"/>
    <w:rsid w:val="003C1AAB"/>
    <w:rsid w:val="003C1AEC"/>
    <w:rsid w:val="003C255F"/>
    <w:rsid w:val="003C298E"/>
    <w:rsid w:val="003C321B"/>
    <w:rsid w:val="003C4DA5"/>
    <w:rsid w:val="003C56BC"/>
    <w:rsid w:val="003C7CF2"/>
    <w:rsid w:val="003D004C"/>
    <w:rsid w:val="003D1031"/>
    <w:rsid w:val="003D1772"/>
    <w:rsid w:val="003D1993"/>
    <w:rsid w:val="003D270D"/>
    <w:rsid w:val="003D2DEB"/>
    <w:rsid w:val="003D3275"/>
    <w:rsid w:val="003D368A"/>
    <w:rsid w:val="003D51FF"/>
    <w:rsid w:val="003D64B3"/>
    <w:rsid w:val="003D66E6"/>
    <w:rsid w:val="003D71B4"/>
    <w:rsid w:val="003D743E"/>
    <w:rsid w:val="003E0A92"/>
    <w:rsid w:val="003E16CA"/>
    <w:rsid w:val="003E21BA"/>
    <w:rsid w:val="003E2480"/>
    <w:rsid w:val="003E2D7E"/>
    <w:rsid w:val="003E369F"/>
    <w:rsid w:val="003E490E"/>
    <w:rsid w:val="003E55DB"/>
    <w:rsid w:val="003E5BD0"/>
    <w:rsid w:val="003E7AFF"/>
    <w:rsid w:val="003E7FE7"/>
    <w:rsid w:val="003F1D8F"/>
    <w:rsid w:val="003F4556"/>
    <w:rsid w:val="003F4570"/>
    <w:rsid w:val="003F461E"/>
    <w:rsid w:val="003F4D63"/>
    <w:rsid w:val="003F5E7E"/>
    <w:rsid w:val="003F6700"/>
    <w:rsid w:val="003F7298"/>
    <w:rsid w:val="003F72D4"/>
    <w:rsid w:val="004000B3"/>
    <w:rsid w:val="00402501"/>
    <w:rsid w:val="00404123"/>
    <w:rsid w:val="00404C18"/>
    <w:rsid w:val="0040599F"/>
    <w:rsid w:val="00406D35"/>
    <w:rsid w:val="00410367"/>
    <w:rsid w:val="0041095A"/>
    <w:rsid w:val="004110D4"/>
    <w:rsid w:val="004116C5"/>
    <w:rsid w:val="00411E83"/>
    <w:rsid w:val="0041236C"/>
    <w:rsid w:val="00412821"/>
    <w:rsid w:val="00412E47"/>
    <w:rsid w:val="00413597"/>
    <w:rsid w:val="00413F5C"/>
    <w:rsid w:val="00414F66"/>
    <w:rsid w:val="004153F0"/>
    <w:rsid w:val="0041554E"/>
    <w:rsid w:val="00415EBF"/>
    <w:rsid w:val="0041618B"/>
    <w:rsid w:val="004175FE"/>
    <w:rsid w:val="0042056C"/>
    <w:rsid w:val="0042069B"/>
    <w:rsid w:val="004225E1"/>
    <w:rsid w:val="0042261E"/>
    <w:rsid w:val="00424519"/>
    <w:rsid w:val="004249BD"/>
    <w:rsid w:val="00424D73"/>
    <w:rsid w:val="00425AEE"/>
    <w:rsid w:val="004265A9"/>
    <w:rsid w:val="0042673F"/>
    <w:rsid w:val="004269B9"/>
    <w:rsid w:val="00432E22"/>
    <w:rsid w:val="00432E61"/>
    <w:rsid w:val="00433841"/>
    <w:rsid w:val="0043409F"/>
    <w:rsid w:val="00435ECB"/>
    <w:rsid w:val="00435FA3"/>
    <w:rsid w:val="00436074"/>
    <w:rsid w:val="00436317"/>
    <w:rsid w:val="004366D8"/>
    <w:rsid w:val="004401A4"/>
    <w:rsid w:val="0044022F"/>
    <w:rsid w:val="0044230A"/>
    <w:rsid w:val="0044263F"/>
    <w:rsid w:val="004434A7"/>
    <w:rsid w:val="004466F0"/>
    <w:rsid w:val="0044733D"/>
    <w:rsid w:val="00447CC6"/>
    <w:rsid w:val="00450213"/>
    <w:rsid w:val="004504DF"/>
    <w:rsid w:val="00450A39"/>
    <w:rsid w:val="00451420"/>
    <w:rsid w:val="00451A0B"/>
    <w:rsid w:val="00452040"/>
    <w:rsid w:val="00452476"/>
    <w:rsid w:val="00454AB2"/>
    <w:rsid w:val="00454D9A"/>
    <w:rsid w:val="00455426"/>
    <w:rsid w:val="00457A03"/>
    <w:rsid w:val="004608DA"/>
    <w:rsid w:val="00461593"/>
    <w:rsid w:val="00461A03"/>
    <w:rsid w:val="004647A7"/>
    <w:rsid w:val="00464A47"/>
    <w:rsid w:val="00465809"/>
    <w:rsid w:val="00466AE8"/>
    <w:rsid w:val="00466D87"/>
    <w:rsid w:val="00467CD5"/>
    <w:rsid w:val="00467DB5"/>
    <w:rsid w:val="00470028"/>
    <w:rsid w:val="00470E7D"/>
    <w:rsid w:val="00471AE3"/>
    <w:rsid w:val="00472CC0"/>
    <w:rsid w:val="004733F0"/>
    <w:rsid w:val="00473D5B"/>
    <w:rsid w:val="00473F08"/>
    <w:rsid w:val="0047538B"/>
    <w:rsid w:val="00476AA3"/>
    <w:rsid w:val="00477BFE"/>
    <w:rsid w:val="004803C0"/>
    <w:rsid w:val="00480FA6"/>
    <w:rsid w:val="00482089"/>
    <w:rsid w:val="004829D6"/>
    <w:rsid w:val="00482D05"/>
    <w:rsid w:val="00482F99"/>
    <w:rsid w:val="00483070"/>
    <w:rsid w:val="004832E9"/>
    <w:rsid w:val="00484538"/>
    <w:rsid w:val="00484546"/>
    <w:rsid w:val="00485B0D"/>
    <w:rsid w:val="00486659"/>
    <w:rsid w:val="00487189"/>
    <w:rsid w:val="004873D0"/>
    <w:rsid w:val="004876DD"/>
    <w:rsid w:val="004903DF"/>
    <w:rsid w:val="004919CE"/>
    <w:rsid w:val="00492FCA"/>
    <w:rsid w:val="004934FB"/>
    <w:rsid w:val="00493AAB"/>
    <w:rsid w:val="00493CB3"/>
    <w:rsid w:val="00494720"/>
    <w:rsid w:val="004947E5"/>
    <w:rsid w:val="004955C5"/>
    <w:rsid w:val="00495EF2"/>
    <w:rsid w:val="00496A12"/>
    <w:rsid w:val="00497D37"/>
    <w:rsid w:val="004A17F0"/>
    <w:rsid w:val="004A2187"/>
    <w:rsid w:val="004A3C18"/>
    <w:rsid w:val="004A4173"/>
    <w:rsid w:val="004A5157"/>
    <w:rsid w:val="004A5786"/>
    <w:rsid w:val="004A627F"/>
    <w:rsid w:val="004A7335"/>
    <w:rsid w:val="004A74C8"/>
    <w:rsid w:val="004B13BD"/>
    <w:rsid w:val="004B1E9D"/>
    <w:rsid w:val="004B2D30"/>
    <w:rsid w:val="004B3612"/>
    <w:rsid w:val="004B380E"/>
    <w:rsid w:val="004B40F8"/>
    <w:rsid w:val="004B4AC0"/>
    <w:rsid w:val="004B4DC6"/>
    <w:rsid w:val="004B550C"/>
    <w:rsid w:val="004B558C"/>
    <w:rsid w:val="004B6ADA"/>
    <w:rsid w:val="004C0AA3"/>
    <w:rsid w:val="004C1FB8"/>
    <w:rsid w:val="004C2108"/>
    <w:rsid w:val="004C24E9"/>
    <w:rsid w:val="004C45A5"/>
    <w:rsid w:val="004C4839"/>
    <w:rsid w:val="004C4EAB"/>
    <w:rsid w:val="004C56B1"/>
    <w:rsid w:val="004C61D1"/>
    <w:rsid w:val="004C6A3D"/>
    <w:rsid w:val="004D068C"/>
    <w:rsid w:val="004D0940"/>
    <w:rsid w:val="004D215F"/>
    <w:rsid w:val="004D2CF7"/>
    <w:rsid w:val="004D346D"/>
    <w:rsid w:val="004D4816"/>
    <w:rsid w:val="004D4817"/>
    <w:rsid w:val="004D555E"/>
    <w:rsid w:val="004D56EB"/>
    <w:rsid w:val="004D5F31"/>
    <w:rsid w:val="004D6171"/>
    <w:rsid w:val="004D6FA6"/>
    <w:rsid w:val="004D6FBF"/>
    <w:rsid w:val="004E0163"/>
    <w:rsid w:val="004E0701"/>
    <w:rsid w:val="004E122A"/>
    <w:rsid w:val="004E1BD5"/>
    <w:rsid w:val="004E1FAB"/>
    <w:rsid w:val="004E23EE"/>
    <w:rsid w:val="004E3179"/>
    <w:rsid w:val="004E3C72"/>
    <w:rsid w:val="004E3CAB"/>
    <w:rsid w:val="004E487A"/>
    <w:rsid w:val="004E4CE2"/>
    <w:rsid w:val="004E6A2E"/>
    <w:rsid w:val="004E74D6"/>
    <w:rsid w:val="004E7D8A"/>
    <w:rsid w:val="004F0D3F"/>
    <w:rsid w:val="004F0E8B"/>
    <w:rsid w:val="004F2038"/>
    <w:rsid w:val="004F203F"/>
    <w:rsid w:val="004F2656"/>
    <w:rsid w:val="004F2E99"/>
    <w:rsid w:val="004F2EBE"/>
    <w:rsid w:val="004F44B7"/>
    <w:rsid w:val="004F550D"/>
    <w:rsid w:val="004F5512"/>
    <w:rsid w:val="004F5B46"/>
    <w:rsid w:val="004F6DD3"/>
    <w:rsid w:val="005012AA"/>
    <w:rsid w:val="00501481"/>
    <w:rsid w:val="00502738"/>
    <w:rsid w:val="00503CFC"/>
    <w:rsid w:val="005045BB"/>
    <w:rsid w:val="00505A82"/>
    <w:rsid w:val="00506C53"/>
    <w:rsid w:val="0050753B"/>
    <w:rsid w:val="005114D0"/>
    <w:rsid w:val="005120C8"/>
    <w:rsid w:val="00512DCD"/>
    <w:rsid w:val="0051392C"/>
    <w:rsid w:val="005151CD"/>
    <w:rsid w:val="00515F7F"/>
    <w:rsid w:val="00516612"/>
    <w:rsid w:val="00516A65"/>
    <w:rsid w:val="00520417"/>
    <w:rsid w:val="005214B4"/>
    <w:rsid w:val="00522470"/>
    <w:rsid w:val="005237A7"/>
    <w:rsid w:val="0052414F"/>
    <w:rsid w:val="0052426C"/>
    <w:rsid w:val="0052450A"/>
    <w:rsid w:val="00527270"/>
    <w:rsid w:val="0052757F"/>
    <w:rsid w:val="0052765A"/>
    <w:rsid w:val="0052796F"/>
    <w:rsid w:val="00527AC0"/>
    <w:rsid w:val="00527ACE"/>
    <w:rsid w:val="00527FA7"/>
    <w:rsid w:val="00530643"/>
    <w:rsid w:val="00531830"/>
    <w:rsid w:val="00531B74"/>
    <w:rsid w:val="00532710"/>
    <w:rsid w:val="00532ABF"/>
    <w:rsid w:val="00533199"/>
    <w:rsid w:val="00533BF6"/>
    <w:rsid w:val="00533F8D"/>
    <w:rsid w:val="005345E2"/>
    <w:rsid w:val="005357C3"/>
    <w:rsid w:val="00537EB9"/>
    <w:rsid w:val="00541965"/>
    <w:rsid w:val="00541B26"/>
    <w:rsid w:val="005423D2"/>
    <w:rsid w:val="00542988"/>
    <w:rsid w:val="00543FC3"/>
    <w:rsid w:val="00544029"/>
    <w:rsid w:val="0054418F"/>
    <w:rsid w:val="00544809"/>
    <w:rsid w:val="00544986"/>
    <w:rsid w:val="00546512"/>
    <w:rsid w:val="005475F8"/>
    <w:rsid w:val="00547A28"/>
    <w:rsid w:val="00547B0F"/>
    <w:rsid w:val="0055103B"/>
    <w:rsid w:val="00551079"/>
    <w:rsid w:val="00551A36"/>
    <w:rsid w:val="005531CA"/>
    <w:rsid w:val="00553442"/>
    <w:rsid w:val="00553799"/>
    <w:rsid w:val="00553B31"/>
    <w:rsid w:val="00554B0E"/>
    <w:rsid w:val="00555302"/>
    <w:rsid w:val="0055530B"/>
    <w:rsid w:val="00556BBB"/>
    <w:rsid w:val="00556C6C"/>
    <w:rsid w:val="00557FEB"/>
    <w:rsid w:val="005604B4"/>
    <w:rsid w:val="00560900"/>
    <w:rsid w:val="0056157C"/>
    <w:rsid w:val="00565FE0"/>
    <w:rsid w:val="00566593"/>
    <w:rsid w:val="0057468E"/>
    <w:rsid w:val="0057484F"/>
    <w:rsid w:val="00575FEE"/>
    <w:rsid w:val="005777E3"/>
    <w:rsid w:val="00580B1B"/>
    <w:rsid w:val="00580C64"/>
    <w:rsid w:val="005828F6"/>
    <w:rsid w:val="005834EA"/>
    <w:rsid w:val="00583639"/>
    <w:rsid w:val="00586936"/>
    <w:rsid w:val="00587466"/>
    <w:rsid w:val="00587CE3"/>
    <w:rsid w:val="0059049D"/>
    <w:rsid w:val="00590C13"/>
    <w:rsid w:val="005911CF"/>
    <w:rsid w:val="00592298"/>
    <w:rsid w:val="005929CE"/>
    <w:rsid w:val="00595A38"/>
    <w:rsid w:val="005960E5"/>
    <w:rsid w:val="0059706C"/>
    <w:rsid w:val="0059746D"/>
    <w:rsid w:val="005977EE"/>
    <w:rsid w:val="00597B16"/>
    <w:rsid w:val="005A09A7"/>
    <w:rsid w:val="005A14CC"/>
    <w:rsid w:val="005A16D8"/>
    <w:rsid w:val="005A1A06"/>
    <w:rsid w:val="005A263A"/>
    <w:rsid w:val="005A28A4"/>
    <w:rsid w:val="005A2DF9"/>
    <w:rsid w:val="005A406B"/>
    <w:rsid w:val="005A40B2"/>
    <w:rsid w:val="005A4171"/>
    <w:rsid w:val="005A5051"/>
    <w:rsid w:val="005B088B"/>
    <w:rsid w:val="005B0B37"/>
    <w:rsid w:val="005B14F5"/>
    <w:rsid w:val="005B4E20"/>
    <w:rsid w:val="005B5414"/>
    <w:rsid w:val="005B6F0F"/>
    <w:rsid w:val="005B7C44"/>
    <w:rsid w:val="005C08B9"/>
    <w:rsid w:val="005C11F7"/>
    <w:rsid w:val="005C1B1E"/>
    <w:rsid w:val="005C21F9"/>
    <w:rsid w:val="005C27B5"/>
    <w:rsid w:val="005C2A4F"/>
    <w:rsid w:val="005C3E2F"/>
    <w:rsid w:val="005C3E92"/>
    <w:rsid w:val="005C4227"/>
    <w:rsid w:val="005C52A0"/>
    <w:rsid w:val="005C6383"/>
    <w:rsid w:val="005C7257"/>
    <w:rsid w:val="005D09FC"/>
    <w:rsid w:val="005D0B57"/>
    <w:rsid w:val="005D1364"/>
    <w:rsid w:val="005D13B2"/>
    <w:rsid w:val="005D310D"/>
    <w:rsid w:val="005D4392"/>
    <w:rsid w:val="005D4F26"/>
    <w:rsid w:val="005D763D"/>
    <w:rsid w:val="005D7B45"/>
    <w:rsid w:val="005E0F78"/>
    <w:rsid w:val="005E2115"/>
    <w:rsid w:val="005E3874"/>
    <w:rsid w:val="005E3FEC"/>
    <w:rsid w:val="005E4468"/>
    <w:rsid w:val="005E45FD"/>
    <w:rsid w:val="005E589A"/>
    <w:rsid w:val="005E6F69"/>
    <w:rsid w:val="005E7F99"/>
    <w:rsid w:val="005F0544"/>
    <w:rsid w:val="005F22C9"/>
    <w:rsid w:val="005F2A4F"/>
    <w:rsid w:val="005F2F5D"/>
    <w:rsid w:val="005F35E6"/>
    <w:rsid w:val="005F397B"/>
    <w:rsid w:val="005F41D8"/>
    <w:rsid w:val="005F4C74"/>
    <w:rsid w:val="005F4E0C"/>
    <w:rsid w:val="005F4F8E"/>
    <w:rsid w:val="005F5C61"/>
    <w:rsid w:val="005F611F"/>
    <w:rsid w:val="005F6AE1"/>
    <w:rsid w:val="005F7CAC"/>
    <w:rsid w:val="006020AD"/>
    <w:rsid w:val="0060239B"/>
    <w:rsid w:val="00602B2F"/>
    <w:rsid w:val="0060337B"/>
    <w:rsid w:val="006034A5"/>
    <w:rsid w:val="006038C9"/>
    <w:rsid w:val="00604AD7"/>
    <w:rsid w:val="00604B7D"/>
    <w:rsid w:val="00604D92"/>
    <w:rsid w:val="00606357"/>
    <w:rsid w:val="006064FB"/>
    <w:rsid w:val="0060658E"/>
    <w:rsid w:val="006071FE"/>
    <w:rsid w:val="00607C9F"/>
    <w:rsid w:val="006100AE"/>
    <w:rsid w:val="006104D3"/>
    <w:rsid w:val="006119CE"/>
    <w:rsid w:val="00612071"/>
    <w:rsid w:val="006130A5"/>
    <w:rsid w:val="006140F6"/>
    <w:rsid w:val="006142F6"/>
    <w:rsid w:val="00614397"/>
    <w:rsid w:val="00614733"/>
    <w:rsid w:val="00616396"/>
    <w:rsid w:val="00616773"/>
    <w:rsid w:val="006173A1"/>
    <w:rsid w:val="0061789C"/>
    <w:rsid w:val="00620223"/>
    <w:rsid w:val="006211DC"/>
    <w:rsid w:val="00621D5A"/>
    <w:rsid w:val="0062251D"/>
    <w:rsid w:val="00623D2D"/>
    <w:rsid w:val="00623DD5"/>
    <w:rsid w:val="0062438B"/>
    <w:rsid w:val="006256E3"/>
    <w:rsid w:val="00625716"/>
    <w:rsid w:val="006258C4"/>
    <w:rsid w:val="00625EEB"/>
    <w:rsid w:val="0062698A"/>
    <w:rsid w:val="00626F6A"/>
    <w:rsid w:val="0063010B"/>
    <w:rsid w:val="00630C45"/>
    <w:rsid w:val="00630C50"/>
    <w:rsid w:val="00630E86"/>
    <w:rsid w:val="00631AC0"/>
    <w:rsid w:val="0063246B"/>
    <w:rsid w:val="0063280B"/>
    <w:rsid w:val="00632B26"/>
    <w:rsid w:val="00633016"/>
    <w:rsid w:val="00633D65"/>
    <w:rsid w:val="00633FE5"/>
    <w:rsid w:val="00634D40"/>
    <w:rsid w:val="0063501A"/>
    <w:rsid w:val="00635107"/>
    <w:rsid w:val="00635380"/>
    <w:rsid w:val="006354CB"/>
    <w:rsid w:val="006358A6"/>
    <w:rsid w:val="00635CF0"/>
    <w:rsid w:val="006361E9"/>
    <w:rsid w:val="006368D1"/>
    <w:rsid w:val="00636F65"/>
    <w:rsid w:val="00637C2C"/>
    <w:rsid w:val="00637C3E"/>
    <w:rsid w:val="00641E2C"/>
    <w:rsid w:val="00642F9A"/>
    <w:rsid w:val="006431E1"/>
    <w:rsid w:val="0064343B"/>
    <w:rsid w:val="006441C3"/>
    <w:rsid w:val="00644F66"/>
    <w:rsid w:val="00646AB4"/>
    <w:rsid w:val="00646B91"/>
    <w:rsid w:val="00646F32"/>
    <w:rsid w:val="00647456"/>
    <w:rsid w:val="00647A57"/>
    <w:rsid w:val="00647D96"/>
    <w:rsid w:val="00650E12"/>
    <w:rsid w:val="006520EF"/>
    <w:rsid w:val="006521DB"/>
    <w:rsid w:val="0065225C"/>
    <w:rsid w:val="006532CC"/>
    <w:rsid w:val="0065446E"/>
    <w:rsid w:val="006568B6"/>
    <w:rsid w:val="0065737C"/>
    <w:rsid w:val="00657874"/>
    <w:rsid w:val="00657B42"/>
    <w:rsid w:val="00660538"/>
    <w:rsid w:val="00663F01"/>
    <w:rsid w:val="00664908"/>
    <w:rsid w:val="00666DF1"/>
    <w:rsid w:val="0066727D"/>
    <w:rsid w:val="00670215"/>
    <w:rsid w:val="00670DCD"/>
    <w:rsid w:val="00670EE2"/>
    <w:rsid w:val="0067262C"/>
    <w:rsid w:val="006726F9"/>
    <w:rsid w:val="006731ED"/>
    <w:rsid w:val="00674E20"/>
    <w:rsid w:val="00676C6C"/>
    <w:rsid w:val="00677F1B"/>
    <w:rsid w:val="006807A0"/>
    <w:rsid w:val="00680D73"/>
    <w:rsid w:val="00681461"/>
    <w:rsid w:val="006821F3"/>
    <w:rsid w:val="00682E7B"/>
    <w:rsid w:val="00683D85"/>
    <w:rsid w:val="00684FE6"/>
    <w:rsid w:val="0068529F"/>
    <w:rsid w:val="0068562A"/>
    <w:rsid w:val="00686D4C"/>
    <w:rsid w:val="00686D59"/>
    <w:rsid w:val="00686DB4"/>
    <w:rsid w:val="00687312"/>
    <w:rsid w:val="00687937"/>
    <w:rsid w:val="00690D07"/>
    <w:rsid w:val="006929E6"/>
    <w:rsid w:val="00695C45"/>
    <w:rsid w:val="006963E9"/>
    <w:rsid w:val="00696B4C"/>
    <w:rsid w:val="00696E52"/>
    <w:rsid w:val="006A009E"/>
    <w:rsid w:val="006A0BD6"/>
    <w:rsid w:val="006A0DEE"/>
    <w:rsid w:val="006A5A9B"/>
    <w:rsid w:val="006A60A3"/>
    <w:rsid w:val="006A64CB"/>
    <w:rsid w:val="006A69E7"/>
    <w:rsid w:val="006A6D4F"/>
    <w:rsid w:val="006B0344"/>
    <w:rsid w:val="006B23C3"/>
    <w:rsid w:val="006B2CFD"/>
    <w:rsid w:val="006B5231"/>
    <w:rsid w:val="006B55B2"/>
    <w:rsid w:val="006B7321"/>
    <w:rsid w:val="006B7483"/>
    <w:rsid w:val="006B79A5"/>
    <w:rsid w:val="006C1C80"/>
    <w:rsid w:val="006C1F84"/>
    <w:rsid w:val="006C67FE"/>
    <w:rsid w:val="006C6F78"/>
    <w:rsid w:val="006C71C8"/>
    <w:rsid w:val="006C72CF"/>
    <w:rsid w:val="006C7E39"/>
    <w:rsid w:val="006D0FCF"/>
    <w:rsid w:val="006D1B95"/>
    <w:rsid w:val="006D1D69"/>
    <w:rsid w:val="006D1F8A"/>
    <w:rsid w:val="006D31D3"/>
    <w:rsid w:val="006D5915"/>
    <w:rsid w:val="006D5D26"/>
    <w:rsid w:val="006D6EAD"/>
    <w:rsid w:val="006D7657"/>
    <w:rsid w:val="006D78DB"/>
    <w:rsid w:val="006D7914"/>
    <w:rsid w:val="006E0B2F"/>
    <w:rsid w:val="006E0D43"/>
    <w:rsid w:val="006E3BF1"/>
    <w:rsid w:val="006E466D"/>
    <w:rsid w:val="006E475C"/>
    <w:rsid w:val="006E5E36"/>
    <w:rsid w:val="006E6D23"/>
    <w:rsid w:val="006E70CF"/>
    <w:rsid w:val="006F283E"/>
    <w:rsid w:val="006F28BA"/>
    <w:rsid w:val="006F2F9A"/>
    <w:rsid w:val="006F385E"/>
    <w:rsid w:val="006F3BB1"/>
    <w:rsid w:val="006F47D4"/>
    <w:rsid w:val="006F69F9"/>
    <w:rsid w:val="006F7DFE"/>
    <w:rsid w:val="0070057D"/>
    <w:rsid w:val="007006EF"/>
    <w:rsid w:val="00701F8B"/>
    <w:rsid w:val="00702DD3"/>
    <w:rsid w:val="007042AB"/>
    <w:rsid w:val="007049E0"/>
    <w:rsid w:val="00706D3B"/>
    <w:rsid w:val="007075D2"/>
    <w:rsid w:val="00707708"/>
    <w:rsid w:val="0071005F"/>
    <w:rsid w:val="007120D8"/>
    <w:rsid w:val="00712E63"/>
    <w:rsid w:val="0071468D"/>
    <w:rsid w:val="00715078"/>
    <w:rsid w:val="007154F7"/>
    <w:rsid w:val="007207D8"/>
    <w:rsid w:val="00721016"/>
    <w:rsid w:val="0072173F"/>
    <w:rsid w:val="00722FB7"/>
    <w:rsid w:val="0072492F"/>
    <w:rsid w:val="00724E9E"/>
    <w:rsid w:val="00725D45"/>
    <w:rsid w:val="00727471"/>
    <w:rsid w:val="0072788A"/>
    <w:rsid w:val="007301F3"/>
    <w:rsid w:val="007309A4"/>
    <w:rsid w:val="00730BD4"/>
    <w:rsid w:val="00731919"/>
    <w:rsid w:val="00733884"/>
    <w:rsid w:val="00733BD8"/>
    <w:rsid w:val="00733D10"/>
    <w:rsid w:val="007356E3"/>
    <w:rsid w:val="00735BA0"/>
    <w:rsid w:val="00743C4A"/>
    <w:rsid w:val="00743D6F"/>
    <w:rsid w:val="007459E0"/>
    <w:rsid w:val="00747258"/>
    <w:rsid w:val="00747283"/>
    <w:rsid w:val="00747B88"/>
    <w:rsid w:val="00750DCB"/>
    <w:rsid w:val="0075121F"/>
    <w:rsid w:val="007519D7"/>
    <w:rsid w:val="0075206D"/>
    <w:rsid w:val="00753A44"/>
    <w:rsid w:val="007540A0"/>
    <w:rsid w:val="0075526D"/>
    <w:rsid w:val="00755918"/>
    <w:rsid w:val="00755D40"/>
    <w:rsid w:val="00755D94"/>
    <w:rsid w:val="00755DE0"/>
    <w:rsid w:val="00755E19"/>
    <w:rsid w:val="007563EE"/>
    <w:rsid w:val="00756558"/>
    <w:rsid w:val="00756A51"/>
    <w:rsid w:val="00756F8B"/>
    <w:rsid w:val="00757085"/>
    <w:rsid w:val="00760588"/>
    <w:rsid w:val="0076191E"/>
    <w:rsid w:val="00762C7E"/>
    <w:rsid w:val="00762FBE"/>
    <w:rsid w:val="00764297"/>
    <w:rsid w:val="007659B2"/>
    <w:rsid w:val="00765D93"/>
    <w:rsid w:val="00766777"/>
    <w:rsid w:val="00766865"/>
    <w:rsid w:val="00767F43"/>
    <w:rsid w:val="00770541"/>
    <w:rsid w:val="007707FE"/>
    <w:rsid w:val="007744E2"/>
    <w:rsid w:val="00774FBA"/>
    <w:rsid w:val="00775451"/>
    <w:rsid w:val="007759FF"/>
    <w:rsid w:val="00775AAA"/>
    <w:rsid w:val="0077600D"/>
    <w:rsid w:val="00777487"/>
    <w:rsid w:val="00780AE0"/>
    <w:rsid w:val="00781C6A"/>
    <w:rsid w:val="007820EE"/>
    <w:rsid w:val="0078211B"/>
    <w:rsid w:val="00783919"/>
    <w:rsid w:val="00784CC0"/>
    <w:rsid w:val="00785586"/>
    <w:rsid w:val="00785710"/>
    <w:rsid w:val="00785C6A"/>
    <w:rsid w:val="00786CC5"/>
    <w:rsid w:val="00787E22"/>
    <w:rsid w:val="007907D0"/>
    <w:rsid w:val="00790E31"/>
    <w:rsid w:val="007910B9"/>
    <w:rsid w:val="0079165A"/>
    <w:rsid w:val="00793856"/>
    <w:rsid w:val="00793B93"/>
    <w:rsid w:val="007949D3"/>
    <w:rsid w:val="00794D83"/>
    <w:rsid w:val="00794FBA"/>
    <w:rsid w:val="007956F8"/>
    <w:rsid w:val="00795878"/>
    <w:rsid w:val="00796240"/>
    <w:rsid w:val="00796C5F"/>
    <w:rsid w:val="00796DA2"/>
    <w:rsid w:val="007A082D"/>
    <w:rsid w:val="007A0A45"/>
    <w:rsid w:val="007A0FDF"/>
    <w:rsid w:val="007A1978"/>
    <w:rsid w:val="007A2ADB"/>
    <w:rsid w:val="007A3142"/>
    <w:rsid w:val="007A5C8B"/>
    <w:rsid w:val="007A5CE4"/>
    <w:rsid w:val="007A7331"/>
    <w:rsid w:val="007A78C3"/>
    <w:rsid w:val="007A7908"/>
    <w:rsid w:val="007A7A21"/>
    <w:rsid w:val="007A7C3A"/>
    <w:rsid w:val="007B037E"/>
    <w:rsid w:val="007B15E5"/>
    <w:rsid w:val="007B263D"/>
    <w:rsid w:val="007B2885"/>
    <w:rsid w:val="007B3B10"/>
    <w:rsid w:val="007B49BB"/>
    <w:rsid w:val="007B785D"/>
    <w:rsid w:val="007B7AA0"/>
    <w:rsid w:val="007C0412"/>
    <w:rsid w:val="007C0512"/>
    <w:rsid w:val="007C082F"/>
    <w:rsid w:val="007C0A48"/>
    <w:rsid w:val="007C1275"/>
    <w:rsid w:val="007C12C8"/>
    <w:rsid w:val="007C16A7"/>
    <w:rsid w:val="007C1A2C"/>
    <w:rsid w:val="007C1C46"/>
    <w:rsid w:val="007C24DF"/>
    <w:rsid w:val="007C4A95"/>
    <w:rsid w:val="007C4B2E"/>
    <w:rsid w:val="007C4C72"/>
    <w:rsid w:val="007C53C2"/>
    <w:rsid w:val="007C5B15"/>
    <w:rsid w:val="007C7219"/>
    <w:rsid w:val="007C7D74"/>
    <w:rsid w:val="007D0F02"/>
    <w:rsid w:val="007D133B"/>
    <w:rsid w:val="007D2B5F"/>
    <w:rsid w:val="007D4291"/>
    <w:rsid w:val="007D4921"/>
    <w:rsid w:val="007D63E4"/>
    <w:rsid w:val="007D6B0E"/>
    <w:rsid w:val="007D7A1B"/>
    <w:rsid w:val="007D7BC2"/>
    <w:rsid w:val="007E0A1E"/>
    <w:rsid w:val="007E0C0A"/>
    <w:rsid w:val="007E2143"/>
    <w:rsid w:val="007E2AB7"/>
    <w:rsid w:val="007E2E70"/>
    <w:rsid w:val="007E4CA5"/>
    <w:rsid w:val="007E4D0C"/>
    <w:rsid w:val="007E689D"/>
    <w:rsid w:val="007E7984"/>
    <w:rsid w:val="007F0BDB"/>
    <w:rsid w:val="007F1238"/>
    <w:rsid w:val="007F19C7"/>
    <w:rsid w:val="007F19FF"/>
    <w:rsid w:val="007F2B68"/>
    <w:rsid w:val="007F43EB"/>
    <w:rsid w:val="007F49D5"/>
    <w:rsid w:val="007F5EC9"/>
    <w:rsid w:val="007F6960"/>
    <w:rsid w:val="007F7310"/>
    <w:rsid w:val="007F7710"/>
    <w:rsid w:val="008009C3"/>
    <w:rsid w:val="00802509"/>
    <w:rsid w:val="00804254"/>
    <w:rsid w:val="008050B6"/>
    <w:rsid w:val="008072AB"/>
    <w:rsid w:val="008073A0"/>
    <w:rsid w:val="0080742E"/>
    <w:rsid w:val="00807C80"/>
    <w:rsid w:val="0081042E"/>
    <w:rsid w:val="00810975"/>
    <w:rsid w:val="008109BF"/>
    <w:rsid w:val="00812268"/>
    <w:rsid w:val="00813036"/>
    <w:rsid w:val="008133FB"/>
    <w:rsid w:val="00813EF7"/>
    <w:rsid w:val="00813F92"/>
    <w:rsid w:val="00816923"/>
    <w:rsid w:val="00816A59"/>
    <w:rsid w:val="00817AFB"/>
    <w:rsid w:val="00817C9C"/>
    <w:rsid w:val="00817CDA"/>
    <w:rsid w:val="008209BA"/>
    <w:rsid w:val="00820EF7"/>
    <w:rsid w:val="00822947"/>
    <w:rsid w:val="008236D9"/>
    <w:rsid w:val="00823A4D"/>
    <w:rsid w:val="00824208"/>
    <w:rsid w:val="00824814"/>
    <w:rsid w:val="008256C9"/>
    <w:rsid w:val="00825EEE"/>
    <w:rsid w:val="00827864"/>
    <w:rsid w:val="00827C28"/>
    <w:rsid w:val="00827D11"/>
    <w:rsid w:val="00827FBA"/>
    <w:rsid w:val="00832AFD"/>
    <w:rsid w:val="00833BE3"/>
    <w:rsid w:val="00834D42"/>
    <w:rsid w:val="00834FE7"/>
    <w:rsid w:val="00835062"/>
    <w:rsid w:val="00835D0B"/>
    <w:rsid w:val="0083650D"/>
    <w:rsid w:val="00837077"/>
    <w:rsid w:val="00837CE1"/>
    <w:rsid w:val="00837D8E"/>
    <w:rsid w:val="0084160A"/>
    <w:rsid w:val="00841660"/>
    <w:rsid w:val="00841D0F"/>
    <w:rsid w:val="00841F1A"/>
    <w:rsid w:val="00842253"/>
    <w:rsid w:val="00842802"/>
    <w:rsid w:val="00842B35"/>
    <w:rsid w:val="00842D26"/>
    <w:rsid w:val="00844C75"/>
    <w:rsid w:val="0084527B"/>
    <w:rsid w:val="0084571E"/>
    <w:rsid w:val="00847624"/>
    <w:rsid w:val="00847E90"/>
    <w:rsid w:val="0085166D"/>
    <w:rsid w:val="008516BF"/>
    <w:rsid w:val="00852627"/>
    <w:rsid w:val="00853A3A"/>
    <w:rsid w:val="00853DC2"/>
    <w:rsid w:val="008541D2"/>
    <w:rsid w:val="00854214"/>
    <w:rsid w:val="0085472C"/>
    <w:rsid w:val="00854FA7"/>
    <w:rsid w:val="0085669E"/>
    <w:rsid w:val="00860382"/>
    <w:rsid w:val="00861484"/>
    <w:rsid w:val="00861545"/>
    <w:rsid w:val="00861CDC"/>
    <w:rsid w:val="00861E09"/>
    <w:rsid w:val="00862E8D"/>
    <w:rsid w:val="00863389"/>
    <w:rsid w:val="00863D8F"/>
    <w:rsid w:val="008641FC"/>
    <w:rsid w:val="00865038"/>
    <w:rsid w:val="008654C8"/>
    <w:rsid w:val="00866343"/>
    <w:rsid w:val="00866E45"/>
    <w:rsid w:val="00871679"/>
    <w:rsid w:val="008716ED"/>
    <w:rsid w:val="00871A28"/>
    <w:rsid w:val="008724CD"/>
    <w:rsid w:val="00873F3A"/>
    <w:rsid w:val="00874852"/>
    <w:rsid w:val="00874F26"/>
    <w:rsid w:val="00880DC4"/>
    <w:rsid w:val="00880EEE"/>
    <w:rsid w:val="00882D0A"/>
    <w:rsid w:val="00882F11"/>
    <w:rsid w:val="00885465"/>
    <w:rsid w:val="008857BA"/>
    <w:rsid w:val="00886BC1"/>
    <w:rsid w:val="0088732A"/>
    <w:rsid w:val="0089002E"/>
    <w:rsid w:val="00890F55"/>
    <w:rsid w:val="008928FE"/>
    <w:rsid w:val="00892E19"/>
    <w:rsid w:val="008967E1"/>
    <w:rsid w:val="00897CDE"/>
    <w:rsid w:val="008A02CE"/>
    <w:rsid w:val="008A07D4"/>
    <w:rsid w:val="008A0F3D"/>
    <w:rsid w:val="008A1F4D"/>
    <w:rsid w:val="008A23D5"/>
    <w:rsid w:val="008A2EB7"/>
    <w:rsid w:val="008A525E"/>
    <w:rsid w:val="008B021B"/>
    <w:rsid w:val="008B130A"/>
    <w:rsid w:val="008B142B"/>
    <w:rsid w:val="008B1E38"/>
    <w:rsid w:val="008B1EBB"/>
    <w:rsid w:val="008B2752"/>
    <w:rsid w:val="008B277E"/>
    <w:rsid w:val="008B2D9F"/>
    <w:rsid w:val="008B311E"/>
    <w:rsid w:val="008B32CD"/>
    <w:rsid w:val="008B3F00"/>
    <w:rsid w:val="008B3FFC"/>
    <w:rsid w:val="008B4B27"/>
    <w:rsid w:val="008B530E"/>
    <w:rsid w:val="008B63B8"/>
    <w:rsid w:val="008B6681"/>
    <w:rsid w:val="008B684B"/>
    <w:rsid w:val="008B6E7E"/>
    <w:rsid w:val="008B7DD2"/>
    <w:rsid w:val="008C0D49"/>
    <w:rsid w:val="008C17C0"/>
    <w:rsid w:val="008C1FB4"/>
    <w:rsid w:val="008C391E"/>
    <w:rsid w:val="008C4637"/>
    <w:rsid w:val="008C563E"/>
    <w:rsid w:val="008C6349"/>
    <w:rsid w:val="008C6367"/>
    <w:rsid w:val="008C703B"/>
    <w:rsid w:val="008C7E8D"/>
    <w:rsid w:val="008D2000"/>
    <w:rsid w:val="008D2575"/>
    <w:rsid w:val="008D2CD7"/>
    <w:rsid w:val="008D3688"/>
    <w:rsid w:val="008D388B"/>
    <w:rsid w:val="008D3BE4"/>
    <w:rsid w:val="008D46B6"/>
    <w:rsid w:val="008D4F13"/>
    <w:rsid w:val="008D59D3"/>
    <w:rsid w:val="008D5AC9"/>
    <w:rsid w:val="008D66D7"/>
    <w:rsid w:val="008D674E"/>
    <w:rsid w:val="008D68A3"/>
    <w:rsid w:val="008D7DD9"/>
    <w:rsid w:val="008E1D68"/>
    <w:rsid w:val="008E2026"/>
    <w:rsid w:val="008E2503"/>
    <w:rsid w:val="008E3593"/>
    <w:rsid w:val="008E36F1"/>
    <w:rsid w:val="008E384C"/>
    <w:rsid w:val="008E429F"/>
    <w:rsid w:val="008E4348"/>
    <w:rsid w:val="008E4C73"/>
    <w:rsid w:val="008E58F4"/>
    <w:rsid w:val="008E5C12"/>
    <w:rsid w:val="008E6453"/>
    <w:rsid w:val="008E66D1"/>
    <w:rsid w:val="008E6A25"/>
    <w:rsid w:val="008E6A41"/>
    <w:rsid w:val="008E78CB"/>
    <w:rsid w:val="008F0D61"/>
    <w:rsid w:val="008F12F2"/>
    <w:rsid w:val="008F2ED3"/>
    <w:rsid w:val="008F3E7F"/>
    <w:rsid w:val="008F4D63"/>
    <w:rsid w:val="008F5C04"/>
    <w:rsid w:val="008F6723"/>
    <w:rsid w:val="008F69F0"/>
    <w:rsid w:val="0090111A"/>
    <w:rsid w:val="0090134F"/>
    <w:rsid w:val="00901653"/>
    <w:rsid w:val="00901682"/>
    <w:rsid w:val="009033C1"/>
    <w:rsid w:val="0090558F"/>
    <w:rsid w:val="009059A7"/>
    <w:rsid w:val="00906834"/>
    <w:rsid w:val="00907898"/>
    <w:rsid w:val="0091095D"/>
    <w:rsid w:val="009111F9"/>
    <w:rsid w:val="009118DB"/>
    <w:rsid w:val="0091273D"/>
    <w:rsid w:val="00912FF8"/>
    <w:rsid w:val="0091430A"/>
    <w:rsid w:val="00915673"/>
    <w:rsid w:val="0092019B"/>
    <w:rsid w:val="009208C8"/>
    <w:rsid w:val="00920DF3"/>
    <w:rsid w:val="00921B68"/>
    <w:rsid w:val="00921E58"/>
    <w:rsid w:val="0092219D"/>
    <w:rsid w:val="009230AA"/>
    <w:rsid w:val="00923253"/>
    <w:rsid w:val="00923419"/>
    <w:rsid w:val="00923AB7"/>
    <w:rsid w:val="0092696D"/>
    <w:rsid w:val="00926D7C"/>
    <w:rsid w:val="0092709C"/>
    <w:rsid w:val="009274F5"/>
    <w:rsid w:val="00927698"/>
    <w:rsid w:val="00927C12"/>
    <w:rsid w:val="00927DD1"/>
    <w:rsid w:val="009307ED"/>
    <w:rsid w:val="00930ABC"/>
    <w:rsid w:val="009319F7"/>
    <w:rsid w:val="00932031"/>
    <w:rsid w:val="009340CE"/>
    <w:rsid w:val="009347AE"/>
    <w:rsid w:val="00936160"/>
    <w:rsid w:val="009369EE"/>
    <w:rsid w:val="00936DB7"/>
    <w:rsid w:val="0093708D"/>
    <w:rsid w:val="00941C7D"/>
    <w:rsid w:val="00941F6A"/>
    <w:rsid w:val="0094301D"/>
    <w:rsid w:val="00943319"/>
    <w:rsid w:val="00943E75"/>
    <w:rsid w:val="0094583F"/>
    <w:rsid w:val="00946689"/>
    <w:rsid w:val="00946A3D"/>
    <w:rsid w:val="00946B19"/>
    <w:rsid w:val="00947B0D"/>
    <w:rsid w:val="00947B41"/>
    <w:rsid w:val="009510D5"/>
    <w:rsid w:val="009520F0"/>
    <w:rsid w:val="0095213D"/>
    <w:rsid w:val="00952C2C"/>
    <w:rsid w:val="00953327"/>
    <w:rsid w:val="009533CA"/>
    <w:rsid w:val="00954352"/>
    <w:rsid w:val="00954EC4"/>
    <w:rsid w:val="00956077"/>
    <w:rsid w:val="00956167"/>
    <w:rsid w:val="0095626A"/>
    <w:rsid w:val="0095721E"/>
    <w:rsid w:val="0095765F"/>
    <w:rsid w:val="00957873"/>
    <w:rsid w:val="0096040F"/>
    <w:rsid w:val="00960ADC"/>
    <w:rsid w:val="009612B6"/>
    <w:rsid w:val="00961948"/>
    <w:rsid w:val="009619D0"/>
    <w:rsid w:val="00963044"/>
    <w:rsid w:val="00963806"/>
    <w:rsid w:val="009657C3"/>
    <w:rsid w:val="00966305"/>
    <w:rsid w:val="00967579"/>
    <w:rsid w:val="00971EFD"/>
    <w:rsid w:val="00971FCC"/>
    <w:rsid w:val="00972DE4"/>
    <w:rsid w:val="009753A6"/>
    <w:rsid w:val="00975BCB"/>
    <w:rsid w:val="00975C8C"/>
    <w:rsid w:val="0097631A"/>
    <w:rsid w:val="0097649C"/>
    <w:rsid w:val="00977544"/>
    <w:rsid w:val="00980FED"/>
    <w:rsid w:val="00982262"/>
    <w:rsid w:val="00982367"/>
    <w:rsid w:val="009828D1"/>
    <w:rsid w:val="00982C67"/>
    <w:rsid w:val="00983362"/>
    <w:rsid w:val="00983483"/>
    <w:rsid w:val="00983848"/>
    <w:rsid w:val="009844D5"/>
    <w:rsid w:val="00985857"/>
    <w:rsid w:val="009909E5"/>
    <w:rsid w:val="00990A7E"/>
    <w:rsid w:val="00990AF7"/>
    <w:rsid w:val="00990E19"/>
    <w:rsid w:val="00992121"/>
    <w:rsid w:val="00992A13"/>
    <w:rsid w:val="0099312A"/>
    <w:rsid w:val="00993490"/>
    <w:rsid w:val="009934C3"/>
    <w:rsid w:val="009943D7"/>
    <w:rsid w:val="00994579"/>
    <w:rsid w:val="009946E8"/>
    <w:rsid w:val="009949F2"/>
    <w:rsid w:val="00996416"/>
    <w:rsid w:val="009977D3"/>
    <w:rsid w:val="009A0A9E"/>
    <w:rsid w:val="009A1354"/>
    <w:rsid w:val="009A15A4"/>
    <w:rsid w:val="009A2FAD"/>
    <w:rsid w:val="009A3FB6"/>
    <w:rsid w:val="009A460F"/>
    <w:rsid w:val="009A5166"/>
    <w:rsid w:val="009A6E5B"/>
    <w:rsid w:val="009A794F"/>
    <w:rsid w:val="009B09C5"/>
    <w:rsid w:val="009B20D8"/>
    <w:rsid w:val="009B24B3"/>
    <w:rsid w:val="009B3C05"/>
    <w:rsid w:val="009B5C08"/>
    <w:rsid w:val="009B635B"/>
    <w:rsid w:val="009B639B"/>
    <w:rsid w:val="009B7163"/>
    <w:rsid w:val="009B746A"/>
    <w:rsid w:val="009B7C50"/>
    <w:rsid w:val="009C0A9D"/>
    <w:rsid w:val="009C20FE"/>
    <w:rsid w:val="009C2DF9"/>
    <w:rsid w:val="009C37C3"/>
    <w:rsid w:val="009C3AC9"/>
    <w:rsid w:val="009C470A"/>
    <w:rsid w:val="009C4B76"/>
    <w:rsid w:val="009C52B8"/>
    <w:rsid w:val="009C5ADA"/>
    <w:rsid w:val="009C680F"/>
    <w:rsid w:val="009C725E"/>
    <w:rsid w:val="009D0A65"/>
    <w:rsid w:val="009D17CA"/>
    <w:rsid w:val="009D196E"/>
    <w:rsid w:val="009D200B"/>
    <w:rsid w:val="009D23D0"/>
    <w:rsid w:val="009D2A21"/>
    <w:rsid w:val="009D3D30"/>
    <w:rsid w:val="009D3DDC"/>
    <w:rsid w:val="009D4B8C"/>
    <w:rsid w:val="009D4D02"/>
    <w:rsid w:val="009D4F53"/>
    <w:rsid w:val="009D5C03"/>
    <w:rsid w:val="009D7101"/>
    <w:rsid w:val="009E039D"/>
    <w:rsid w:val="009E092C"/>
    <w:rsid w:val="009E392D"/>
    <w:rsid w:val="009E3C02"/>
    <w:rsid w:val="009E499B"/>
    <w:rsid w:val="009E4ED9"/>
    <w:rsid w:val="009E506E"/>
    <w:rsid w:val="009E50DA"/>
    <w:rsid w:val="009E5D1D"/>
    <w:rsid w:val="009E72B2"/>
    <w:rsid w:val="009E7B2F"/>
    <w:rsid w:val="009E7D5A"/>
    <w:rsid w:val="009F0146"/>
    <w:rsid w:val="009F0F9D"/>
    <w:rsid w:val="009F1F37"/>
    <w:rsid w:val="009F4635"/>
    <w:rsid w:val="009F4F02"/>
    <w:rsid w:val="009F550E"/>
    <w:rsid w:val="009F5789"/>
    <w:rsid w:val="009F57F5"/>
    <w:rsid w:val="009F5836"/>
    <w:rsid w:val="009F5B2C"/>
    <w:rsid w:val="009F6107"/>
    <w:rsid w:val="009F61C2"/>
    <w:rsid w:val="009F7838"/>
    <w:rsid w:val="009F7EAA"/>
    <w:rsid w:val="00A00434"/>
    <w:rsid w:val="00A007EF"/>
    <w:rsid w:val="00A01317"/>
    <w:rsid w:val="00A020A4"/>
    <w:rsid w:val="00A02AE2"/>
    <w:rsid w:val="00A04336"/>
    <w:rsid w:val="00A04F00"/>
    <w:rsid w:val="00A06866"/>
    <w:rsid w:val="00A07256"/>
    <w:rsid w:val="00A07E09"/>
    <w:rsid w:val="00A11045"/>
    <w:rsid w:val="00A11346"/>
    <w:rsid w:val="00A118D7"/>
    <w:rsid w:val="00A1195E"/>
    <w:rsid w:val="00A11F7C"/>
    <w:rsid w:val="00A13CA8"/>
    <w:rsid w:val="00A146C8"/>
    <w:rsid w:val="00A15727"/>
    <w:rsid w:val="00A1605D"/>
    <w:rsid w:val="00A1797A"/>
    <w:rsid w:val="00A17ED6"/>
    <w:rsid w:val="00A22161"/>
    <w:rsid w:val="00A230F6"/>
    <w:rsid w:val="00A23BB3"/>
    <w:rsid w:val="00A24214"/>
    <w:rsid w:val="00A243A0"/>
    <w:rsid w:val="00A245A7"/>
    <w:rsid w:val="00A25E7F"/>
    <w:rsid w:val="00A26D15"/>
    <w:rsid w:val="00A30B54"/>
    <w:rsid w:val="00A31E00"/>
    <w:rsid w:val="00A322F6"/>
    <w:rsid w:val="00A328ED"/>
    <w:rsid w:val="00A32AFE"/>
    <w:rsid w:val="00A33458"/>
    <w:rsid w:val="00A337C8"/>
    <w:rsid w:val="00A34AD3"/>
    <w:rsid w:val="00A34CDC"/>
    <w:rsid w:val="00A34FDB"/>
    <w:rsid w:val="00A3545D"/>
    <w:rsid w:val="00A35F6B"/>
    <w:rsid w:val="00A361DB"/>
    <w:rsid w:val="00A36650"/>
    <w:rsid w:val="00A36EB3"/>
    <w:rsid w:val="00A3746E"/>
    <w:rsid w:val="00A37611"/>
    <w:rsid w:val="00A40DAC"/>
    <w:rsid w:val="00A40F49"/>
    <w:rsid w:val="00A42218"/>
    <w:rsid w:val="00A42A06"/>
    <w:rsid w:val="00A437B2"/>
    <w:rsid w:val="00A44923"/>
    <w:rsid w:val="00A44E44"/>
    <w:rsid w:val="00A45B02"/>
    <w:rsid w:val="00A4608C"/>
    <w:rsid w:val="00A47B61"/>
    <w:rsid w:val="00A5046D"/>
    <w:rsid w:val="00A504F3"/>
    <w:rsid w:val="00A509FA"/>
    <w:rsid w:val="00A522B9"/>
    <w:rsid w:val="00A5238E"/>
    <w:rsid w:val="00A52633"/>
    <w:rsid w:val="00A52E61"/>
    <w:rsid w:val="00A53139"/>
    <w:rsid w:val="00A53637"/>
    <w:rsid w:val="00A539BA"/>
    <w:rsid w:val="00A54DF1"/>
    <w:rsid w:val="00A54FCF"/>
    <w:rsid w:val="00A5525F"/>
    <w:rsid w:val="00A558D6"/>
    <w:rsid w:val="00A60DCD"/>
    <w:rsid w:val="00A61B16"/>
    <w:rsid w:val="00A61B6E"/>
    <w:rsid w:val="00A64C82"/>
    <w:rsid w:val="00A64EF2"/>
    <w:rsid w:val="00A65029"/>
    <w:rsid w:val="00A650DB"/>
    <w:rsid w:val="00A659DC"/>
    <w:rsid w:val="00A66173"/>
    <w:rsid w:val="00A6777B"/>
    <w:rsid w:val="00A67785"/>
    <w:rsid w:val="00A67BE8"/>
    <w:rsid w:val="00A7051C"/>
    <w:rsid w:val="00A70BB3"/>
    <w:rsid w:val="00A70E94"/>
    <w:rsid w:val="00A716A0"/>
    <w:rsid w:val="00A71711"/>
    <w:rsid w:val="00A71B81"/>
    <w:rsid w:val="00A72A46"/>
    <w:rsid w:val="00A74568"/>
    <w:rsid w:val="00A766F7"/>
    <w:rsid w:val="00A77878"/>
    <w:rsid w:val="00A802C5"/>
    <w:rsid w:val="00A81CA5"/>
    <w:rsid w:val="00A8350C"/>
    <w:rsid w:val="00A83ABE"/>
    <w:rsid w:val="00A83D85"/>
    <w:rsid w:val="00A83DCC"/>
    <w:rsid w:val="00A84B99"/>
    <w:rsid w:val="00A854AD"/>
    <w:rsid w:val="00A858BA"/>
    <w:rsid w:val="00A85A58"/>
    <w:rsid w:val="00A85CD4"/>
    <w:rsid w:val="00A8615A"/>
    <w:rsid w:val="00A90B96"/>
    <w:rsid w:val="00A9182E"/>
    <w:rsid w:val="00A91E60"/>
    <w:rsid w:val="00A91EE9"/>
    <w:rsid w:val="00A91FB8"/>
    <w:rsid w:val="00A92099"/>
    <w:rsid w:val="00A9296D"/>
    <w:rsid w:val="00A93AE8"/>
    <w:rsid w:val="00A9425D"/>
    <w:rsid w:val="00A944EB"/>
    <w:rsid w:val="00A95C23"/>
    <w:rsid w:val="00A95E36"/>
    <w:rsid w:val="00A96B41"/>
    <w:rsid w:val="00A96CD4"/>
    <w:rsid w:val="00A97687"/>
    <w:rsid w:val="00A97E05"/>
    <w:rsid w:val="00AA1F67"/>
    <w:rsid w:val="00AA212A"/>
    <w:rsid w:val="00AA254A"/>
    <w:rsid w:val="00AA2ADB"/>
    <w:rsid w:val="00AA2B29"/>
    <w:rsid w:val="00AA2BBA"/>
    <w:rsid w:val="00AA2DBA"/>
    <w:rsid w:val="00AA4825"/>
    <w:rsid w:val="00AA4E72"/>
    <w:rsid w:val="00AA6E2D"/>
    <w:rsid w:val="00AB0F2F"/>
    <w:rsid w:val="00AB1141"/>
    <w:rsid w:val="00AB1CAF"/>
    <w:rsid w:val="00AB28FA"/>
    <w:rsid w:val="00AB3138"/>
    <w:rsid w:val="00AB4441"/>
    <w:rsid w:val="00AB44DC"/>
    <w:rsid w:val="00AB4AC6"/>
    <w:rsid w:val="00AB526C"/>
    <w:rsid w:val="00AB5A31"/>
    <w:rsid w:val="00AB5AD9"/>
    <w:rsid w:val="00AB6A8C"/>
    <w:rsid w:val="00AB6A8D"/>
    <w:rsid w:val="00AC0061"/>
    <w:rsid w:val="00AC03D9"/>
    <w:rsid w:val="00AC040B"/>
    <w:rsid w:val="00AC0671"/>
    <w:rsid w:val="00AC2647"/>
    <w:rsid w:val="00AC36D3"/>
    <w:rsid w:val="00AC3AB3"/>
    <w:rsid w:val="00AC3AD1"/>
    <w:rsid w:val="00AC51B7"/>
    <w:rsid w:val="00AC54A7"/>
    <w:rsid w:val="00AC6B58"/>
    <w:rsid w:val="00AC6D8C"/>
    <w:rsid w:val="00AC72DE"/>
    <w:rsid w:val="00AC747F"/>
    <w:rsid w:val="00AC7636"/>
    <w:rsid w:val="00AD0A9F"/>
    <w:rsid w:val="00AD1115"/>
    <w:rsid w:val="00AD208F"/>
    <w:rsid w:val="00AD2235"/>
    <w:rsid w:val="00AD285E"/>
    <w:rsid w:val="00AD2C70"/>
    <w:rsid w:val="00AD3030"/>
    <w:rsid w:val="00AD37B1"/>
    <w:rsid w:val="00AD50F5"/>
    <w:rsid w:val="00AD52E4"/>
    <w:rsid w:val="00AD56CD"/>
    <w:rsid w:val="00AD57EA"/>
    <w:rsid w:val="00AD5AD5"/>
    <w:rsid w:val="00AD6A3D"/>
    <w:rsid w:val="00AD6F41"/>
    <w:rsid w:val="00AD7721"/>
    <w:rsid w:val="00AE01B1"/>
    <w:rsid w:val="00AE04FF"/>
    <w:rsid w:val="00AE06C6"/>
    <w:rsid w:val="00AE08E1"/>
    <w:rsid w:val="00AE172D"/>
    <w:rsid w:val="00AE3023"/>
    <w:rsid w:val="00AE3711"/>
    <w:rsid w:val="00AE5151"/>
    <w:rsid w:val="00AE527B"/>
    <w:rsid w:val="00AE5DC8"/>
    <w:rsid w:val="00AE6461"/>
    <w:rsid w:val="00AE7BEE"/>
    <w:rsid w:val="00AE7E22"/>
    <w:rsid w:val="00AE7EF1"/>
    <w:rsid w:val="00AF125A"/>
    <w:rsid w:val="00AF4403"/>
    <w:rsid w:val="00AF4A75"/>
    <w:rsid w:val="00AF4D8C"/>
    <w:rsid w:val="00AF5A76"/>
    <w:rsid w:val="00AF65E5"/>
    <w:rsid w:val="00AF6CFE"/>
    <w:rsid w:val="00AF6DC1"/>
    <w:rsid w:val="00AF7983"/>
    <w:rsid w:val="00B0052C"/>
    <w:rsid w:val="00B008D0"/>
    <w:rsid w:val="00B02150"/>
    <w:rsid w:val="00B02998"/>
    <w:rsid w:val="00B030EA"/>
    <w:rsid w:val="00B047B0"/>
    <w:rsid w:val="00B04916"/>
    <w:rsid w:val="00B04CA1"/>
    <w:rsid w:val="00B0595A"/>
    <w:rsid w:val="00B061D2"/>
    <w:rsid w:val="00B06A13"/>
    <w:rsid w:val="00B06EC0"/>
    <w:rsid w:val="00B07B44"/>
    <w:rsid w:val="00B106DC"/>
    <w:rsid w:val="00B113B0"/>
    <w:rsid w:val="00B12169"/>
    <w:rsid w:val="00B1243A"/>
    <w:rsid w:val="00B12A6C"/>
    <w:rsid w:val="00B13427"/>
    <w:rsid w:val="00B13460"/>
    <w:rsid w:val="00B13573"/>
    <w:rsid w:val="00B14030"/>
    <w:rsid w:val="00B166CC"/>
    <w:rsid w:val="00B16B8F"/>
    <w:rsid w:val="00B176E6"/>
    <w:rsid w:val="00B17F37"/>
    <w:rsid w:val="00B201F2"/>
    <w:rsid w:val="00B229C3"/>
    <w:rsid w:val="00B22B59"/>
    <w:rsid w:val="00B23516"/>
    <w:rsid w:val="00B23C12"/>
    <w:rsid w:val="00B23C49"/>
    <w:rsid w:val="00B244E6"/>
    <w:rsid w:val="00B24ADB"/>
    <w:rsid w:val="00B259BA"/>
    <w:rsid w:val="00B25A35"/>
    <w:rsid w:val="00B25B2A"/>
    <w:rsid w:val="00B301DB"/>
    <w:rsid w:val="00B30547"/>
    <w:rsid w:val="00B306D4"/>
    <w:rsid w:val="00B32DF1"/>
    <w:rsid w:val="00B3511E"/>
    <w:rsid w:val="00B3597D"/>
    <w:rsid w:val="00B35B99"/>
    <w:rsid w:val="00B36671"/>
    <w:rsid w:val="00B37B43"/>
    <w:rsid w:val="00B40412"/>
    <w:rsid w:val="00B41C43"/>
    <w:rsid w:val="00B4202C"/>
    <w:rsid w:val="00B422FE"/>
    <w:rsid w:val="00B4258A"/>
    <w:rsid w:val="00B425FF"/>
    <w:rsid w:val="00B428A3"/>
    <w:rsid w:val="00B43339"/>
    <w:rsid w:val="00B441F6"/>
    <w:rsid w:val="00B444A3"/>
    <w:rsid w:val="00B44C89"/>
    <w:rsid w:val="00B45306"/>
    <w:rsid w:val="00B47427"/>
    <w:rsid w:val="00B4753F"/>
    <w:rsid w:val="00B50252"/>
    <w:rsid w:val="00B51454"/>
    <w:rsid w:val="00B52349"/>
    <w:rsid w:val="00B523FB"/>
    <w:rsid w:val="00B53921"/>
    <w:rsid w:val="00B55EF9"/>
    <w:rsid w:val="00B57576"/>
    <w:rsid w:val="00B62779"/>
    <w:rsid w:val="00B629F9"/>
    <w:rsid w:val="00B63098"/>
    <w:rsid w:val="00B63466"/>
    <w:rsid w:val="00B635AD"/>
    <w:rsid w:val="00B63F4B"/>
    <w:rsid w:val="00B64604"/>
    <w:rsid w:val="00B648E3"/>
    <w:rsid w:val="00B66BDE"/>
    <w:rsid w:val="00B67F56"/>
    <w:rsid w:val="00B7359E"/>
    <w:rsid w:val="00B73BF7"/>
    <w:rsid w:val="00B74C33"/>
    <w:rsid w:val="00B7720F"/>
    <w:rsid w:val="00B77B2E"/>
    <w:rsid w:val="00B77C09"/>
    <w:rsid w:val="00B77C8A"/>
    <w:rsid w:val="00B81FB5"/>
    <w:rsid w:val="00B820F7"/>
    <w:rsid w:val="00B82F98"/>
    <w:rsid w:val="00B83C1C"/>
    <w:rsid w:val="00B84288"/>
    <w:rsid w:val="00B84C3B"/>
    <w:rsid w:val="00B84CB6"/>
    <w:rsid w:val="00B84E4A"/>
    <w:rsid w:val="00B8656A"/>
    <w:rsid w:val="00B86951"/>
    <w:rsid w:val="00B92956"/>
    <w:rsid w:val="00B92A5D"/>
    <w:rsid w:val="00B92C99"/>
    <w:rsid w:val="00B9331A"/>
    <w:rsid w:val="00B9408C"/>
    <w:rsid w:val="00B94A1E"/>
    <w:rsid w:val="00B94E2B"/>
    <w:rsid w:val="00B96FC0"/>
    <w:rsid w:val="00B9748A"/>
    <w:rsid w:val="00BA02AC"/>
    <w:rsid w:val="00BA084B"/>
    <w:rsid w:val="00BA0891"/>
    <w:rsid w:val="00BA0DA3"/>
    <w:rsid w:val="00BA0DF6"/>
    <w:rsid w:val="00BA1797"/>
    <w:rsid w:val="00BA17E8"/>
    <w:rsid w:val="00BA186F"/>
    <w:rsid w:val="00BA1DEA"/>
    <w:rsid w:val="00BA2582"/>
    <w:rsid w:val="00BA2ED3"/>
    <w:rsid w:val="00BA3C9E"/>
    <w:rsid w:val="00BA406C"/>
    <w:rsid w:val="00BA5802"/>
    <w:rsid w:val="00BA5DC8"/>
    <w:rsid w:val="00BA5F54"/>
    <w:rsid w:val="00BA62D3"/>
    <w:rsid w:val="00BA732A"/>
    <w:rsid w:val="00BB18D2"/>
    <w:rsid w:val="00BB3087"/>
    <w:rsid w:val="00BB30B1"/>
    <w:rsid w:val="00BB3B77"/>
    <w:rsid w:val="00BB46E4"/>
    <w:rsid w:val="00BB5FDE"/>
    <w:rsid w:val="00BB6743"/>
    <w:rsid w:val="00BB71BA"/>
    <w:rsid w:val="00BB7A56"/>
    <w:rsid w:val="00BB7FBA"/>
    <w:rsid w:val="00BC0260"/>
    <w:rsid w:val="00BC05B5"/>
    <w:rsid w:val="00BC14D4"/>
    <w:rsid w:val="00BC22B4"/>
    <w:rsid w:val="00BC2D3F"/>
    <w:rsid w:val="00BC31F7"/>
    <w:rsid w:val="00BC33BE"/>
    <w:rsid w:val="00BC5A50"/>
    <w:rsid w:val="00BC6214"/>
    <w:rsid w:val="00BC645F"/>
    <w:rsid w:val="00BC7E84"/>
    <w:rsid w:val="00BD030C"/>
    <w:rsid w:val="00BD04EC"/>
    <w:rsid w:val="00BD0644"/>
    <w:rsid w:val="00BD20AE"/>
    <w:rsid w:val="00BD284A"/>
    <w:rsid w:val="00BD36C8"/>
    <w:rsid w:val="00BD3C18"/>
    <w:rsid w:val="00BD4472"/>
    <w:rsid w:val="00BD5673"/>
    <w:rsid w:val="00BD7373"/>
    <w:rsid w:val="00BD7A9F"/>
    <w:rsid w:val="00BE006E"/>
    <w:rsid w:val="00BE0145"/>
    <w:rsid w:val="00BE1EA7"/>
    <w:rsid w:val="00BE290D"/>
    <w:rsid w:val="00BE2D6C"/>
    <w:rsid w:val="00BE3064"/>
    <w:rsid w:val="00BE4DB5"/>
    <w:rsid w:val="00BE5B62"/>
    <w:rsid w:val="00BE5F92"/>
    <w:rsid w:val="00BE640D"/>
    <w:rsid w:val="00BF2400"/>
    <w:rsid w:val="00BF36EA"/>
    <w:rsid w:val="00BF4428"/>
    <w:rsid w:val="00BF50AC"/>
    <w:rsid w:val="00BF5577"/>
    <w:rsid w:val="00BF5A4C"/>
    <w:rsid w:val="00BF5A9D"/>
    <w:rsid w:val="00BF6161"/>
    <w:rsid w:val="00BF61F0"/>
    <w:rsid w:val="00BF6B84"/>
    <w:rsid w:val="00C012EB"/>
    <w:rsid w:val="00C015E3"/>
    <w:rsid w:val="00C016B2"/>
    <w:rsid w:val="00C0214B"/>
    <w:rsid w:val="00C03B2D"/>
    <w:rsid w:val="00C04683"/>
    <w:rsid w:val="00C05569"/>
    <w:rsid w:val="00C0702C"/>
    <w:rsid w:val="00C0709C"/>
    <w:rsid w:val="00C1153F"/>
    <w:rsid w:val="00C1265E"/>
    <w:rsid w:val="00C139AC"/>
    <w:rsid w:val="00C13ACE"/>
    <w:rsid w:val="00C13C62"/>
    <w:rsid w:val="00C14785"/>
    <w:rsid w:val="00C15906"/>
    <w:rsid w:val="00C15C0C"/>
    <w:rsid w:val="00C15CAF"/>
    <w:rsid w:val="00C165CB"/>
    <w:rsid w:val="00C16BA4"/>
    <w:rsid w:val="00C1737B"/>
    <w:rsid w:val="00C17DC2"/>
    <w:rsid w:val="00C20EAB"/>
    <w:rsid w:val="00C22103"/>
    <w:rsid w:val="00C224AE"/>
    <w:rsid w:val="00C2319B"/>
    <w:rsid w:val="00C24073"/>
    <w:rsid w:val="00C24B55"/>
    <w:rsid w:val="00C25575"/>
    <w:rsid w:val="00C27871"/>
    <w:rsid w:val="00C27C48"/>
    <w:rsid w:val="00C303D0"/>
    <w:rsid w:val="00C30598"/>
    <w:rsid w:val="00C305AC"/>
    <w:rsid w:val="00C31E72"/>
    <w:rsid w:val="00C31FA7"/>
    <w:rsid w:val="00C32D88"/>
    <w:rsid w:val="00C332F1"/>
    <w:rsid w:val="00C336E6"/>
    <w:rsid w:val="00C33B20"/>
    <w:rsid w:val="00C34841"/>
    <w:rsid w:val="00C348B3"/>
    <w:rsid w:val="00C348EB"/>
    <w:rsid w:val="00C3573C"/>
    <w:rsid w:val="00C36369"/>
    <w:rsid w:val="00C367FD"/>
    <w:rsid w:val="00C36E6C"/>
    <w:rsid w:val="00C37972"/>
    <w:rsid w:val="00C40930"/>
    <w:rsid w:val="00C4183A"/>
    <w:rsid w:val="00C42622"/>
    <w:rsid w:val="00C429BD"/>
    <w:rsid w:val="00C449BD"/>
    <w:rsid w:val="00C4587D"/>
    <w:rsid w:val="00C46125"/>
    <w:rsid w:val="00C4668E"/>
    <w:rsid w:val="00C471D8"/>
    <w:rsid w:val="00C47BCD"/>
    <w:rsid w:val="00C47D9E"/>
    <w:rsid w:val="00C51D8A"/>
    <w:rsid w:val="00C51F38"/>
    <w:rsid w:val="00C5270E"/>
    <w:rsid w:val="00C527A7"/>
    <w:rsid w:val="00C52C86"/>
    <w:rsid w:val="00C5608F"/>
    <w:rsid w:val="00C56F95"/>
    <w:rsid w:val="00C57A6E"/>
    <w:rsid w:val="00C57CC8"/>
    <w:rsid w:val="00C60AFF"/>
    <w:rsid w:val="00C60DBC"/>
    <w:rsid w:val="00C61360"/>
    <w:rsid w:val="00C61AE0"/>
    <w:rsid w:val="00C62AA0"/>
    <w:rsid w:val="00C6551B"/>
    <w:rsid w:val="00C65670"/>
    <w:rsid w:val="00C66D6E"/>
    <w:rsid w:val="00C67644"/>
    <w:rsid w:val="00C703BC"/>
    <w:rsid w:val="00C7092C"/>
    <w:rsid w:val="00C71FD7"/>
    <w:rsid w:val="00C72559"/>
    <w:rsid w:val="00C72733"/>
    <w:rsid w:val="00C7312E"/>
    <w:rsid w:val="00C73805"/>
    <w:rsid w:val="00C740F2"/>
    <w:rsid w:val="00C74F5B"/>
    <w:rsid w:val="00C7533E"/>
    <w:rsid w:val="00C7563E"/>
    <w:rsid w:val="00C77DDE"/>
    <w:rsid w:val="00C804C4"/>
    <w:rsid w:val="00C80EE0"/>
    <w:rsid w:val="00C8224D"/>
    <w:rsid w:val="00C824EC"/>
    <w:rsid w:val="00C8404E"/>
    <w:rsid w:val="00C8676F"/>
    <w:rsid w:val="00C875A5"/>
    <w:rsid w:val="00C909DE"/>
    <w:rsid w:val="00C9145D"/>
    <w:rsid w:val="00C92294"/>
    <w:rsid w:val="00C9238E"/>
    <w:rsid w:val="00C9257F"/>
    <w:rsid w:val="00C92F7C"/>
    <w:rsid w:val="00C93945"/>
    <w:rsid w:val="00C9573F"/>
    <w:rsid w:val="00C95880"/>
    <w:rsid w:val="00C95C7F"/>
    <w:rsid w:val="00C960C4"/>
    <w:rsid w:val="00C97149"/>
    <w:rsid w:val="00C9720F"/>
    <w:rsid w:val="00CA1326"/>
    <w:rsid w:val="00CA1571"/>
    <w:rsid w:val="00CA1B0D"/>
    <w:rsid w:val="00CA1C12"/>
    <w:rsid w:val="00CA2193"/>
    <w:rsid w:val="00CA356C"/>
    <w:rsid w:val="00CA44BB"/>
    <w:rsid w:val="00CA467C"/>
    <w:rsid w:val="00CA5D71"/>
    <w:rsid w:val="00CA712F"/>
    <w:rsid w:val="00CA76BA"/>
    <w:rsid w:val="00CA781E"/>
    <w:rsid w:val="00CB03D4"/>
    <w:rsid w:val="00CB0DEA"/>
    <w:rsid w:val="00CB1608"/>
    <w:rsid w:val="00CB2708"/>
    <w:rsid w:val="00CB2A2A"/>
    <w:rsid w:val="00CB2FF7"/>
    <w:rsid w:val="00CB31A8"/>
    <w:rsid w:val="00CB32A3"/>
    <w:rsid w:val="00CB3657"/>
    <w:rsid w:val="00CB37B1"/>
    <w:rsid w:val="00CB3A06"/>
    <w:rsid w:val="00CB42B6"/>
    <w:rsid w:val="00CB5AD1"/>
    <w:rsid w:val="00CB5E47"/>
    <w:rsid w:val="00CB6DA3"/>
    <w:rsid w:val="00CB7603"/>
    <w:rsid w:val="00CB77D0"/>
    <w:rsid w:val="00CC0647"/>
    <w:rsid w:val="00CC11AF"/>
    <w:rsid w:val="00CC14E6"/>
    <w:rsid w:val="00CC2D50"/>
    <w:rsid w:val="00CC377B"/>
    <w:rsid w:val="00CC3CD6"/>
    <w:rsid w:val="00CC41D5"/>
    <w:rsid w:val="00CC4442"/>
    <w:rsid w:val="00CC47CF"/>
    <w:rsid w:val="00CC485C"/>
    <w:rsid w:val="00CC4C78"/>
    <w:rsid w:val="00CC4C79"/>
    <w:rsid w:val="00CC5551"/>
    <w:rsid w:val="00CC55A0"/>
    <w:rsid w:val="00CC600D"/>
    <w:rsid w:val="00CC6596"/>
    <w:rsid w:val="00CC75E5"/>
    <w:rsid w:val="00CC7A15"/>
    <w:rsid w:val="00CD09AA"/>
    <w:rsid w:val="00CD0ABC"/>
    <w:rsid w:val="00CD0DAA"/>
    <w:rsid w:val="00CD0FF4"/>
    <w:rsid w:val="00CD25C0"/>
    <w:rsid w:val="00CD27BC"/>
    <w:rsid w:val="00CD2EE5"/>
    <w:rsid w:val="00CD2F81"/>
    <w:rsid w:val="00CD3297"/>
    <w:rsid w:val="00CD46E2"/>
    <w:rsid w:val="00CD4CED"/>
    <w:rsid w:val="00CD4F49"/>
    <w:rsid w:val="00CD4FA3"/>
    <w:rsid w:val="00CD59C1"/>
    <w:rsid w:val="00CD6C96"/>
    <w:rsid w:val="00CD79E1"/>
    <w:rsid w:val="00CD7CB4"/>
    <w:rsid w:val="00CE057F"/>
    <w:rsid w:val="00CE07EB"/>
    <w:rsid w:val="00CE1626"/>
    <w:rsid w:val="00CE213E"/>
    <w:rsid w:val="00CE28C9"/>
    <w:rsid w:val="00CE3883"/>
    <w:rsid w:val="00CE3E97"/>
    <w:rsid w:val="00CE422F"/>
    <w:rsid w:val="00CE518C"/>
    <w:rsid w:val="00CE5588"/>
    <w:rsid w:val="00CE655B"/>
    <w:rsid w:val="00CE65F5"/>
    <w:rsid w:val="00CE6E6C"/>
    <w:rsid w:val="00CE7E9C"/>
    <w:rsid w:val="00CF02A0"/>
    <w:rsid w:val="00CF0724"/>
    <w:rsid w:val="00CF1104"/>
    <w:rsid w:val="00CF19A6"/>
    <w:rsid w:val="00CF1CB6"/>
    <w:rsid w:val="00CF3643"/>
    <w:rsid w:val="00CF3D74"/>
    <w:rsid w:val="00CF46A5"/>
    <w:rsid w:val="00CF5472"/>
    <w:rsid w:val="00CF62A5"/>
    <w:rsid w:val="00D00B68"/>
    <w:rsid w:val="00D02A49"/>
    <w:rsid w:val="00D03252"/>
    <w:rsid w:val="00D04428"/>
    <w:rsid w:val="00D0470D"/>
    <w:rsid w:val="00D04C6F"/>
    <w:rsid w:val="00D0552A"/>
    <w:rsid w:val="00D05C7C"/>
    <w:rsid w:val="00D05DBC"/>
    <w:rsid w:val="00D0788A"/>
    <w:rsid w:val="00D07C77"/>
    <w:rsid w:val="00D10B46"/>
    <w:rsid w:val="00D10F24"/>
    <w:rsid w:val="00D11208"/>
    <w:rsid w:val="00D1135C"/>
    <w:rsid w:val="00D114B6"/>
    <w:rsid w:val="00D11930"/>
    <w:rsid w:val="00D11C81"/>
    <w:rsid w:val="00D13F11"/>
    <w:rsid w:val="00D15020"/>
    <w:rsid w:val="00D1578D"/>
    <w:rsid w:val="00D17708"/>
    <w:rsid w:val="00D178B1"/>
    <w:rsid w:val="00D2253B"/>
    <w:rsid w:val="00D22F14"/>
    <w:rsid w:val="00D24589"/>
    <w:rsid w:val="00D24C1F"/>
    <w:rsid w:val="00D25269"/>
    <w:rsid w:val="00D2584B"/>
    <w:rsid w:val="00D267AB"/>
    <w:rsid w:val="00D2761E"/>
    <w:rsid w:val="00D31011"/>
    <w:rsid w:val="00D31741"/>
    <w:rsid w:val="00D31E49"/>
    <w:rsid w:val="00D32174"/>
    <w:rsid w:val="00D32880"/>
    <w:rsid w:val="00D33569"/>
    <w:rsid w:val="00D340C5"/>
    <w:rsid w:val="00D35D97"/>
    <w:rsid w:val="00D363FA"/>
    <w:rsid w:val="00D371E4"/>
    <w:rsid w:val="00D372A7"/>
    <w:rsid w:val="00D37D7B"/>
    <w:rsid w:val="00D40BED"/>
    <w:rsid w:val="00D410E5"/>
    <w:rsid w:val="00D41B3D"/>
    <w:rsid w:val="00D41F78"/>
    <w:rsid w:val="00D42B4B"/>
    <w:rsid w:val="00D438FE"/>
    <w:rsid w:val="00D43E2B"/>
    <w:rsid w:val="00D45715"/>
    <w:rsid w:val="00D45A2A"/>
    <w:rsid w:val="00D462C5"/>
    <w:rsid w:val="00D46AF8"/>
    <w:rsid w:val="00D51562"/>
    <w:rsid w:val="00D51D30"/>
    <w:rsid w:val="00D52460"/>
    <w:rsid w:val="00D5248A"/>
    <w:rsid w:val="00D52938"/>
    <w:rsid w:val="00D53525"/>
    <w:rsid w:val="00D5431D"/>
    <w:rsid w:val="00D5444A"/>
    <w:rsid w:val="00D56195"/>
    <w:rsid w:val="00D56360"/>
    <w:rsid w:val="00D57066"/>
    <w:rsid w:val="00D575B9"/>
    <w:rsid w:val="00D57FBF"/>
    <w:rsid w:val="00D6052B"/>
    <w:rsid w:val="00D6124B"/>
    <w:rsid w:val="00D61419"/>
    <w:rsid w:val="00D614E8"/>
    <w:rsid w:val="00D625CA"/>
    <w:rsid w:val="00D62A08"/>
    <w:rsid w:val="00D633C7"/>
    <w:rsid w:val="00D639FF"/>
    <w:rsid w:val="00D65D87"/>
    <w:rsid w:val="00D66257"/>
    <w:rsid w:val="00D66355"/>
    <w:rsid w:val="00D676E0"/>
    <w:rsid w:val="00D736D4"/>
    <w:rsid w:val="00D73921"/>
    <w:rsid w:val="00D74918"/>
    <w:rsid w:val="00D74ED2"/>
    <w:rsid w:val="00D75CDB"/>
    <w:rsid w:val="00D7610D"/>
    <w:rsid w:val="00D76298"/>
    <w:rsid w:val="00D76BD1"/>
    <w:rsid w:val="00D7708B"/>
    <w:rsid w:val="00D773DF"/>
    <w:rsid w:val="00D8195D"/>
    <w:rsid w:val="00D8234C"/>
    <w:rsid w:val="00D8257F"/>
    <w:rsid w:val="00D827E4"/>
    <w:rsid w:val="00D840AB"/>
    <w:rsid w:val="00D84220"/>
    <w:rsid w:val="00D84249"/>
    <w:rsid w:val="00D859E2"/>
    <w:rsid w:val="00D85C66"/>
    <w:rsid w:val="00D85F19"/>
    <w:rsid w:val="00D863AE"/>
    <w:rsid w:val="00D86400"/>
    <w:rsid w:val="00D877EA"/>
    <w:rsid w:val="00D879C4"/>
    <w:rsid w:val="00D901D3"/>
    <w:rsid w:val="00D90B1A"/>
    <w:rsid w:val="00D91A5C"/>
    <w:rsid w:val="00D920B6"/>
    <w:rsid w:val="00D92783"/>
    <w:rsid w:val="00D92F02"/>
    <w:rsid w:val="00D933B6"/>
    <w:rsid w:val="00D93B8F"/>
    <w:rsid w:val="00D9463E"/>
    <w:rsid w:val="00D9490F"/>
    <w:rsid w:val="00D94EB2"/>
    <w:rsid w:val="00D95319"/>
    <w:rsid w:val="00D954C8"/>
    <w:rsid w:val="00D955C7"/>
    <w:rsid w:val="00D958A1"/>
    <w:rsid w:val="00D95D04"/>
    <w:rsid w:val="00D95DAA"/>
    <w:rsid w:val="00D96044"/>
    <w:rsid w:val="00D9613C"/>
    <w:rsid w:val="00D963F4"/>
    <w:rsid w:val="00D97134"/>
    <w:rsid w:val="00D9798B"/>
    <w:rsid w:val="00D97994"/>
    <w:rsid w:val="00D97D57"/>
    <w:rsid w:val="00DA0240"/>
    <w:rsid w:val="00DA126C"/>
    <w:rsid w:val="00DA2018"/>
    <w:rsid w:val="00DA2DEC"/>
    <w:rsid w:val="00DA4E7B"/>
    <w:rsid w:val="00DA4EFD"/>
    <w:rsid w:val="00DA659F"/>
    <w:rsid w:val="00DA6EBF"/>
    <w:rsid w:val="00DA707D"/>
    <w:rsid w:val="00DA71E5"/>
    <w:rsid w:val="00DA7613"/>
    <w:rsid w:val="00DA7689"/>
    <w:rsid w:val="00DB0108"/>
    <w:rsid w:val="00DB05D0"/>
    <w:rsid w:val="00DB2467"/>
    <w:rsid w:val="00DB2C5A"/>
    <w:rsid w:val="00DB39A9"/>
    <w:rsid w:val="00DB5993"/>
    <w:rsid w:val="00DB59A4"/>
    <w:rsid w:val="00DB6236"/>
    <w:rsid w:val="00DB6353"/>
    <w:rsid w:val="00DB6EFC"/>
    <w:rsid w:val="00DC06B4"/>
    <w:rsid w:val="00DC084B"/>
    <w:rsid w:val="00DC0901"/>
    <w:rsid w:val="00DC158E"/>
    <w:rsid w:val="00DC1C94"/>
    <w:rsid w:val="00DC2165"/>
    <w:rsid w:val="00DC2AD2"/>
    <w:rsid w:val="00DC30F7"/>
    <w:rsid w:val="00DC3CEF"/>
    <w:rsid w:val="00DC4A80"/>
    <w:rsid w:val="00DC5348"/>
    <w:rsid w:val="00DC60A5"/>
    <w:rsid w:val="00DD0279"/>
    <w:rsid w:val="00DD0787"/>
    <w:rsid w:val="00DD0A45"/>
    <w:rsid w:val="00DD22E4"/>
    <w:rsid w:val="00DD2571"/>
    <w:rsid w:val="00DD2919"/>
    <w:rsid w:val="00DD345B"/>
    <w:rsid w:val="00DD353C"/>
    <w:rsid w:val="00DD381C"/>
    <w:rsid w:val="00DD3D9D"/>
    <w:rsid w:val="00DD3F5F"/>
    <w:rsid w:val="00DD7A99"/>
    <w:rsid w:val="00DE02DA"/>
    <w:rsid w:val="00DE040F"/>
    <w:rsid w:val="00DE1BF4"/>
    <w:rsid w:val="00DE1F2C"/>
    <w:rsid w:val="00DE2437"/>
    <w:rsid w:val="00DE24A6"/>
    <w:rsid w:val="00DE27AA"/>
    <w:rsid w:val="00DE2913"/>
    <w:rsid w:val="00DE4153"/>
    <w:rsid w:val="00DE4183"/>
    <w:rsid w:val="00DE486F"/>
    <w:rsid w:val="00DE631A"/>
    <w:rsid w:val="00DE700F"/>
    <w:rsid w:val="00DE7084"/>
    <w:rsid w:val="00DE7994"/>
    <w:rsid w:val="00DF00F0"/>
    <w:rsid w:val="00DF2397"/>
    <w:rsid w:val="00DF241A"/>
    <w:rsid w:val="00DF2488"/>
    <w:rsid w:val="00DF3F91"/>
    <w:rsid w:val="00DF490B"/>
    <w:rsid w:val="00DF56A4"/>
    <w:rsid w:val="00DF649E"/>
    <w:rsid w:val="00DF7064"/>
    <w:rsid w:val="00DF7139"/>
    <w:rsid w:val="00DF72C0"/>
    <w:rsid w:val="00DF7A1E"/>
    <w:rsid w:val="00DF7A25"/>
    <w:rsid w:val="00E008D8"/>
    <w:rsid w:val="00E019D5"/>
    <w:rsid w:val="00E0201D"/>
    <w:rsid w:val="00E0236D"/>
    <w:rsid w:val="00E0272E"/>
    <w:rsid w:val="00E02819"/>
    <w:rsid w:val="00E02A7B"/>
    <w:rsid w:val="00E03F95"/>
    <w:rsid w:val="00E05007"/>
    <w:rsid w:val="00E06B5C"/>
    <w:rsid w:val="00E06D24"/>
    <w:rsid w:val="00E07BF8"/>
    <w:rsid w:val="00E102A2"/>
    <w:rsid w:val="00E103E1"/>
    <w:rsid w:val="00E1098A"/>
    <w:rsid w:val="00E10F85"/>
    <w:rsid w:val="00E10F93"/>
    <w:rsid w:val="00E11C2B"/>
    <w:rsid w:val="00E1452D"/>
    <w:rsid w:val="00E14F74"/>
    <w:rsid w:val="00E15157"/>
    <w:rsid w:val="00E15684"/>
    <w:rsid w:val="00E16EBB"/>
    <w:rsid w:val="00E17439"/>
    <w:rsid w:val="00E17D14"/>
    <w:rsid w:val="00E208AD"/>
    <w:rsid w:val="00E2442A"/>
    <w:rsid w:val="00E24A78"/>
    <w:rsid w:val="00E24EBA"/>
    <w:rsid w:val="00E25272"/>
    <w:rsid w:val="00E2580D"/>
    <w:rsid w:val="00E25B56"/>
    <w:rsid w:val="00E26BDA"/>
    <w:rsid w:val="00E26C2C"/>
    <w:rsid w:val="00E26CA8"/>
    <w:rsid w:val="00E27658"/>
    <w:rsid w:val="00E30832"/>
    <w:rsid w:val="00E30D07"/>
    <w:rsid w:val="00E30F22"/>
    <w:rsid w:val="00E31BE7"/>
    <w:rsid w:val="00E32D54"/>
    <w:rsid w:val="00E336A9"/>
    <w:rsid w:val="00E338BB"/>
    <w:rsid w:val="00E3419C"/>
    <w:rsid w:val="00E34623"/>
    <w:rsid w:val="00E34A20"/>
    <w:rsid w:val="00E34D88"/>
    <w:rsid w:val="00E36855"/>
    <w:rsid w:val="00E36C62"/>
    <w:rsid w:val="00E3743C"/>
    <w:rsid w:val="00E37D91"/>
    <w:rsid w:val="00E40973"/>
    <w:rsid w:val="00E409FC"/>
    <w:rsid w:val="00E41A4E"/>
    <w:rsid w:val="00E42422"/>
    <w:rsid w:val="00E4399D"/>
    <w:rsid w:val="00E43F02"/>
    <w:rsid w:val="00E448BA"/>
    <w:rsid w:val="00E454D7"/>
    <w:rsid w:val="00E45E6C"/>
    <w:rsid w:val="00E4600F"/>
    <w:rsid w:val="00E46013"/>
    <w:rsid w:val="00E46939"/>
    <w:rsid w:val="00E46CF7"/>
    <w:rsid w:val="00E46F29"/>
    <w:rsid w:val="00E47295"/>
    <w:rsid w:val="00E50738"/>
    <w:rsid w:val="00E50C20"/>
    <w:rsid w:val="00E5239A"/>
    <w:rsid w:val="00E53863"/>
    <w:rsid w:val="00E53B0E"/>
    <w:rsid w:val="00E55264"/>
    <w:rsid w:val="00E558D2"/>
    <w:rsid w:val="00E55BCF"/>
    <w:rsid w:val="00E55D3E"/>
    <w:rsid w:val="00E574DA"/>
    <w:rsid w:val="00E57E25"/>
    <w:rsid w:val="00E605F2"/>
    <w:rsid w:val="00E607C8"/>
    <w:rsid w:val="00E60EC7"/>
    <w:rsid w:val="00E614C6"/>
    <w:rsid w:val="00E629BC"/>
    <w:rsid w:val="00E62C8D"/>
    <w:rsid w:val="00E64154"/>
    <w:rsid w:val="00E64428"/>
    <w:rsid w:val="00E64B87"/>
    <w:rsid w:val="00E6547C"/>
    <w:rsid w:val="00E65A3E"/>
    <w:rsid w:val="00E663D4"/>
    <w:rsid w:val="00E70167"/>
    <w:rsid w:val="00E703F7"/>
    <w:rsid w:val="00E71331"/>
    <w:rsid w:val="00E71CFE"/>
    <w:rsid w:val="00E73743"/>
    <w:rsid w:val="00E74988"/>
    <w:rsid w:val="00E74CCC"/>
    <w:rsid w:val="00E74D54"/>
    <w:rsid w:val="00E75081"/>
    <w:rsid w:val="00E7551F"/>
    <w:rsid w:val="00E766FC"/>
    <w:rsid w:val="00E768E8"/>
    <w:rsid w:val="00E76EE0"/>
    <w:rsid w:val="00E775A0"/>
    <w:rsid w:val="00E8004A"/>
    <w:rsid w:val="00E82A1E"/>
    <w:rsid w:val="00E82A4C"/>
    <w:rsid w:val="00E84169"/>
    <w:rsid w:val="00E84511"/>
    <w:rsid w:val="00E846BC"/>
    <w:rsid w:val="00E853C1"/>
    <w:rsid w:val="00E859F1"/>
    <w:rsid w:val="00E86053"/>
    <w:rsid w:val="00E86A2B"/>
    <w:rsid w:val="00E87D8B"/>
    <w:rsid w:val="00E912E7"/>
    <w:rsid w:val="00E91339"/>
    <w:rsid w:val="00E91534"/>
    <w:rsid w:val="00E91892"/>
    <w:rsid w:val="00E930D6"/>
    <w:rsid w:val="00E93473"/>
    <w:rsid w:val="00E93487"/>
    <w:rsid w:val="00E93916"/>
    <w:rsid w:val="00E939AC"/>
    <w:rsid w:val="00E93A98"/>
    <w:rsid w:val="00E94821"/>
    <w:rsid w:val="00E94902"/>
    <w:rsid w:val="00E951EB"/>
    <w:rsid w:val="00E9561E"/>
    <w:rsid w:val="00E95E61"/>
    <w:rsid w:val="00E969B2"/>
    <w:rsid w:val="00E972AE"/>
    <w:rsid w:val="00EA08F7"/>
    <w:rsid w:val="00EA13AA"/>
    <w:rsid w:val="00EA1B2B"/>
    <w:rsid w:val="00EA5392"/>
    <w:rsid w:val="00EA553D"/>
    <w:rsid w:val="00EA571C"/>
    <w:rsid w:val="00EA5BC5"/>
    <w:rsid w:val="00EA6054"/>
    <w:rsid w:val="00EA72AB"/>
    <w:rsid w:val="00EA7784"/>
    <w:rsid w:val="00EB0192"/>
    <w:rsid w:val="00EB197B"/>
    <w:rsid w:val="00EB1F34"/>
    <w:rsid w:val="00EB22F9"/>
    <w:rsid w:val="00EB2CE9"/>
    <w:rsid w:val="00EB394F"/>
    <w:rsid w:val="00EB3C41"/>
    <w:rsid w:val="00EB3E35"/>
    <w:rsid w:val="00EB550B"/>
    <w:rsid w:val="00EB6995"/>
    <w:rsid w:val="00EB6B6C"/>
    <w:rsid w:val="00EB6EA7"/>
    <w:rsid w:val="00EB786A"/>
    <w:rsid w:val="00EB7915"/>
    <w:rsid w:val="00EB7D30"/>
    <w:rsid w:val="00EC01F5"/>
    <w:rsid w:val="00EC08E4"/>
    <w:rsid w:val="00EC1813"/>
    <w:rsid w:val="00EC1B7E"/>
    <w:rsid w:val="00EC2F08"/>
    <w:rsid w:val="00EC3928"/>
    <w:rsid w:val="00EC4C24"/>
    <w:rsid w:val="00EC4E98"/>
    <w:rsid w:val="00EC51E3"/>
    <w:rsid w:val="00EC5FB3"/>
    <w:rsid w:val="00EC70DC"/>
    <w:rsid w:val="00EC7225"/>
    <w:rsid w:val="00EC777A"/>
    <w:rsid w:val="00ED0604"/>
    <w:rsid w:val="00ED29D4"/>
    <w:rsid w:val="00ED3659"/>
    <w:rsid w:val="00ED3980"/>
    <w:rsid w:val="00ED3DCC"/>
    <w:rsid w:val="00ED42E1"/>
    <w:rsid w:val="00ED4573"/>
    <w:rsid w:val="00ED4C46"/>
    <w:rsid w:val="00ED564C"/>
    <w:rsid w:val="00EE2460"/>
    <w:rsid w:val="00EE3E4A"/>
    <w:rsid w:val="00EE48F6"/>
    <w:rsid w:val="00EE5849"/>
    <w:rsid w:val="00EE5947"/>
    <w:rsid w:val="00EE6848"/>
    <w:rsid w:val="00EE6864"/>
    <w:rsid w:val="00EE6C4D"/>
    <w:rsid w:val="00EF0201"/>
    <w:rsid w:val="00EF1284"/>
    <w:rsid w:val="00EF1458"/>
    <w:rsid w:val="00EF1BA7"/>
    <w:rsid w:val="00EF2861"/>
    <w:rsid w:val="00EF2B06"/>
    <w:rsid w:val="00EF309B"/>
    <w:rsid w:val="00EF3A9E"/>
    <w:rsid w:val="00EF3BD9"/>
    <w:rsid w:val="00EF4403"/>
    <w:rsid w:val="00EF5304"/>
    <w:rsid w:val="00EF53B6"/>
    <w:rsid w:val="00EF56A6"/>
    <w:rsid w:val="00EF7E01"/>
    <w:rsid w:val="00F00F00"/>
    <w:rsid w:val="00F00F96"/>
    <w:rsid w:val="00F01493"/>
    <w:rsid w:val="00F01591"/>
    <w:rsid w:val="00F018A6"/>
    <w:rsid w:val="00F01AB1"/>
    <w:rsid w:val="00F02736"/>
    <w:rsid w:val="00F02C03"/>
    <w:rsid w:val="00F03622"/>
    <w:rsid w:val="00F04A74"/>
    <w:rsid w:val="00F06024"/>
    <w:rsid w:val="00F06C2F"/>
    <w:rsid w:val="00F07675"/>
    <w:rsid w:val="00F07C80"/>
    <w:rsid w:val="00F10AA0"/>
    <w:rsid w:val="00F11B80"/>
    <w:rsid w:val="00F11FC5"/>
    <w:rsid w:val="00F1234A"/>
    <w:rsid w:val="00F1266F"/>
    <w:rsid w:val="00F132BA"/>
    <w:rsid w:val="00F13398"/>
    <w:rsid w:val="00F13BFE"/>
    <w:rsid w:val="00F151E4"/>
    <w:rsid w:val="00F15926"/>
    <w:rsid w:val="00F15FB1"/>
    <w:rsid w:val="00F16367"/>
    <w:rsid w:val="00F16621"/>
    <w:rsid w:val="00F16699"/>
    <w:rsid w:val="00F171D1"/>
    <w:rsid w:val="00F17F52"/>
    <w:rsid w:val="00F17FB8"/>
    <w:rsid w:val="00F211DA"/>
    <w:rsid w:val="00F22A80"/>
    <w:rsid w:val="00F22B64"/>
    <w:rsid w:val="00F23B25"/>
    <w:rsid w:val="00F24320"/>
    <w:rsid w:val="00F24333"/>
    <w:rsid w:val="00F25874"/>
    <w:rsid w:val="00F269C2"/>
    <w:rsid w:val="00F26C10"/>
    <w:rsid w:val="00F2799E"/>
    <w:rsid w:val="00F30A02"/>
    <w:rsid w:val="00F31A47"/>
    <w:rsid w:val="00F3223B"/>
    <w:rsid w:val="00F33AA5"/>
    <w:rsid w:val="00F33C37"/>
    <w:rsid w:val="00F34178"/>
    <w:rsid w:val="00F35CA3"/>
    <w:rsid w:val="00F36084"/>
    <w:rsid w:val="00F36D55"/>
    <w:rsid w:val="00F37BDA"/>
    <w:rsid w:val="00F37C6B"/>
    <w:rsid w:val="00F40543"/>
    <w:rsid w:val="00F407A8"/>
    <w:rsid w:val="00F407DB"/>
    <w:rsid w:val="00F40E7E"/>
    <w:rsid w:val="00F42549"/>
    <w:rsid w:val="00F43457"/>
    <w:rsid w:val="00F434F2"/>
    <w:rsid w:val="00F45924"/>
    <w:rsid w:val="00F45C42"/>
    <w:rsid w:val="00F46470"/>
    <w:rsid w:val="00F4661F"/>
    <w:rsid w:val="00F469A6"/>
    <w:rsid w:val="00F4746E"/>
    <w:rsid w:val="00F51EB0"/>
    <w:rsid w:val="00F538DB"/>
    <w:rsid w:val="00F53D3D"/>
    <w:rsid w:val="00F53E34"/>
    <w:rsid w:val="00F53EF4"/>
    <w:rsid w:val="00F54369"/>
    <w:rsid w:val="00F554DF"/>
    <w:rsid w:val="00F60B7F"/>
    <w:rsid w:val="00F61257"/>
    <w:rsid w:val="00F621C0"/>
    <w:rsid w:val="00F628F5"/>
    <w:rsid w:val="00F63300"/>
    <w:rsid w:val="00F63ABE"/>
    <w:rsid w:val="00F63F10"/>
    <w:rsid w:val="00F642AD"/>
    <w:rsid w:val="00F64BDC"/>
    <w:rsid w:val="00F666CF"/>
    <w:rsid w:val="00F668B2"/>
    <w:rsid w:val="00F6732E"/>
    <w:rsid w:val="00F7073B"/>
    <w:rsid w:val="00F72085"/>
    <w:rsid w:val="00F72106"/>
    <w:rsid w:val="00F72D70"/>
    <w:rsid w:val="00F74191"/>
    <w:rsid w:val="00F748BF"/>
    <w:rsid w:val="00F75CB0"/>
    <w:rsid w:val="00F7730F"/>
    <w:rsid w:val="00F77A4D"/>
    <w:rsid w:val="00F8105E"/>
    <w:rsid w:val="00F815B0"/>
    <w:rsid w:val="00F81B88"/>
    <w:rsid w:val="00F81E0E"/>
    <w:rsid w:val="00F83E4C"/>
    <w:rsid w:val="00F84922"/>
    <w:rsid w:val="00F84C06"/>
    <w:rsid w:val="00F855EB"/>
    <w:rsid w:val="00F85619"/>
    <w:rsid w:val="00F87007"/>
    <w:rsid w:val="00F8709E"/>
    <w:rsid w:val="00F9140C"/>
    <w:rsid w:val="00F9159C"/>
    <w:rsid w:val="00F9171A"/>
    <w:rsid w:val="00F923A3"/>
    <w:rsid w:val="00F92537"/>
    <w:rsid w:val="00F925FD"/>
    <w:rsid w:val="00F930F1"/>
    <w:rsid w:val="00F934D7"/>
    <w:rsid w:val="00F93CC0"/>
    <w:rsid w:val="00F9558C"/>
    <w:rsid w:val="00F957F7"/>
    <w:rsid w:val="00F95E45"/>
    <w:rsid w:val="00F9601C"/>
    <w:rsid w:val="00F96689"/>
    <w:rsid w:val="00F96B79"/>
    <w:rsid w:val="00FA0154"/>
    <w:rsid w:val="00FA1A6E"/>
    <w:rsid w:val="00FA1B66"/>
    <w:rsid w:val="00FA3DBB"/>
    <w:rsid w:val="00FA59AC"/>
    <w:rsid w:val="00FA62DF"/>
    <w:rsid w:val="00FA6512"/>
    <w:rsid w:val="00FA7CCC"/>
    <w:rsid w:val="00FA7E54"/>
    <w:rsid w:val="00FB007C"/>
    <w:rsid w:val="00FB0D3B"/>
    <w:rsid w:val="00FB1989"/>
    <w:rsid w:val="00FB1FC8"/>
    <w:rsid w:val="00FB2AF2"/>
    <w:rsid w:val="00FB3845"/>
    <w:rsid w:val="00FB41B4"/>
    <w:rsid w:val="00FB4562"/>
    <w:rsid w:val="00FB457B"/>
    <w:rsid w:val="00FB4F49"/>
    <w:rsid w:val="00FB6DD2"/>
    <w:rsid w:val="00FC2369"/>
    <w:rsid w:val="00FC3075"/>
    <w:rsid w:val="00FC32D8"/>
    <w:rsid w:val="00FC487A"/>
    <w:rsid w:val="00FC5DA4"/>
    <w:rsid w:val="00FC627D"/>
    <w:rsid w:val="00FC7106"/>
    <w:rsid w:val="00FC7201"/>
    <w:rsid w:val="00FC7B44"/>
    <w:rsid w:val="00FD0045"/>
    <w:rsid w:val="00FD0196"/>
    <w:rsid w:val="00FD0A91"/>
    <w:rsid w:val="00FD14BD"/>
    <w:rsid w:val="00FD166F"/>
    <w:rsid w:val="00FD199A"/>
    <w:rsid w:val="00FD1B28"/>
    <w:rsid w:val="00FD2875"/>
    <w:rsid w:val="00FD2DC2"/>
    <w:rsid w:val="00FD4EE1"/>
    <w:rsid w:val="00FD52BD"/>
    <w:rsid w:val="00FD5DF3"/>
    <w:rsid w:val="00FD64AF"/>
    <w:rsid w:val="00FD797C"/>
    <w:rsid w:val="00FD7B72"/>
    <w:rsid w:val="00FE1622"/>
    <w:rsid w:val="00FE1A86"/>
    <w:rsid w:val="00FE1CA3"/>
    <w:rsid w:val="00FE3DE4"/>
    <w:rsid w:val="00FE3E00"/>
    <w:rsid w:val="00FE46BF"/>
    <w:rsid w:val="00FE68C0"/>
    <w:rsid w:val="00FE6E09"/>
    <w:rsid w:val="00FF2FF9"/>
    <w:rsid w:val="00FF344F"/>
    <w:rsid w:val="00FF36DB"/>
    <w:rsid w:val="00FF3A6C"/>
    <w:rsid w:val="00FF41F8"/>
    <w:rsid w:val="00FF4B7E"/>
    <w:rsid w:val="00FF5AEF"/>
    <w:rsid w:val="00FF5E83"/>
    <w:rsid w:val="00FF69FA"/>
    <w:rsid w:val="00FF6B9F"/>
    <w:rsid w:val="3682BCB6"/>
    <w:rsid w:val="7F07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CA17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09"/>
    <w:rPr>
      <w:rFonts w:hint="cs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E0201D"/>
    <w:pPr>
      <w:keepNext/>
      <w:keepLines/>
      <w:spacing w:before="480"/>
      <w:outlineLvl w:val="0"/>
    </w:pPr>
    <w:rPr>
      <w:rFonts w:asciiTheme="majorHAnsi" w:eastAsiaTheme="majorEastAsia" w:hAnsiTheme="majorHAnsi" w:cs="David"/>
      <w:b/>
      <w:bCs/>
      <w:sz w:val="28"/>
      <w:szCs w:val="28"/>
    </w:rPr>
  </w:style>
  <w:style w:type="paragraph" w:styleId="4">
    <w:name w:val="heading 4"/>
    <w:basedOn w:val="a"/>
    <w:next w:val="a"/>
    <w:qFormat/>
    <w:rsid w:val="002C5E09"/>
    <w:pPr>
      <w:keepNext/>
      <w:jc w:val="center"/>
      <w:outlineLvl w:val="3"/>
    </w:pPr>
    <w:rPr>
      <w:rFonts w:cs="David" w:hint="default"/>
      <w:b/>
      <w:bCs/>
      <w:color w:val="000000"/>
      <w:spacing w:val="-4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C5E09"/>
    <w:pPr>
      <w:bidi/>
      <w:spacing w:after="120" w:line="480" w:lineRule="auto"/>
      <w:ind w:left="-57" w:hanging="1"/>
      <w:jc w:val="both"/>
    </w:pPr>
    <w:rPr>
      <w:rFonts w:cs="David" w:hint="default"/>
      <w:sz w:val="22"/>
    </w:rPr>
  </w:style>
  <w:style w:type="paragraph" w:styleId="a4">
    <w:name w:val="footnote text"/>
    <w:basedOn w:val="a"/>
    <w:link w:val="a5"/>
    <w:semiHidden/>
    <w:rsid w:val="002C5E09"/>
    <w:pPr>
      <w:bidi/>
      <w:spacing w:after="120" w:line="320" w:lineRule="exact"/>
      <w:ind w:left="-57" w:firstLine="283"/>
      <w:jc w:val="both"/>
    </w:pPr>
    <w:rPr>
      <w:rFonts w:cs="David" w:hint="default"/>
      <w:iCs/>
      <w:sz w:val="20"/>
      <w:szCs w:val="20"/>
    </w:rPr>
  </w:style>
  <w:style w:type="character" w:styleId="a6">
    <w:name w:val="footnote reference"/>
    <w:semiHidden/>
    <w:rsid w:val="002C5E09"/>
    <w:rPr>
      <w:vertAlign w:val="superscript"/>
    </w:rPr>
  </w:style>
  <w:style w:type="table" w:styleId="a7">
    <w:name w:val="Table Grid"/>
    <w:basedOn w:val="a1"/>
    <w:rsid w:val="00C17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semiHidden/>
    <w:rsid w:val="00915673"/>
    <w:rPr>
      <w:sz w:val="20"/>
      <w:szCs w:val="20"/>
    </w:rPr>
  </w:style>
  <w:style w:type="character" w:styleId="a9">
    <w:name w:val="endnote reference"/>
    <w:semiHidden/>
    <w:rsid w:val="00915673"/>
    <w:rPr>
      <w:vertAlign w:val="superscript"/>
    </w:rPr>
  </w:style>
  <w:style w:type="paragraph" w:styleId="aa">
    <w:name w:val="Balloon Text"/>
    <w:basedOn w:val="a"/>
    <w:semiHidden/>
    <w:rsid w:val="00F9140C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F9140C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F9140C"/>
    <w:pPr>
      <w:tabs>
        <w:tab w:val="center" w:pos="4153"/>
        <w:tab w:val="right" w:pos="8306"/>
      </w:tabs>
    </w:pPr>
  </w:style>
  <w:style w:type="character" w:styleId="Hyperlink">
    <w:name w:val="Hyperlink"/>
    <w:rsid w:val="006D0FCF"/>
    <w:rPr>
      <w:color w:val="0000FF"/>
      <w:u w:val="single"/>
    </w:rPr>
  </w:style>
  <w:style w:type="character" w:styleId="ae">
    <w:name w:val="annotation reference"/>
    <w:rsid w:val="003C1AEC"/>
    <w:rPr>
      <w:sz w:val="16"/>
      <w:szCs w:val="16"/>
    </w:rPr>
  </w:style>
  <w:style w:type="paragraph" w:styleId="af">
    <w:name w:val="annotation text"/>
    <w:basedOn w:val="a"/>
    <w:link w:val="af0"/>
    <w:rsid w:val="003C1AEC"/>
    <w:rPr>
      <w:sz w:val="20"/>
      <w:szCs w:val="20"/>
    </w:rPr>
  </w:style>
  <w:style w:type="character" w:customStyle="1" w:styleId="af0">
    <w:name w:val="טקסט הערה תו"/>
    <w:link w:val="af"/>
    <w:rsid w:val="003C1AEC"/>
    <w:rPr>
      <w:lang w:eastAsia="he-IL"/>
    </w:rPr>
  </w:style>
  <w:style w:type="paragraph" w:styleId="af1">
    <w:name w:val="annotation subject"/>
    <w:basedOn w:val="af"/>
    <w:next w:val="af"/>
    <w:link w:val="af2"/>
    <w:rsid w:val="003C1AEC"/>
    <w:rPr>
      <w:b/>
      <w:bCs/>
    </w:rPr>
  </w:style>
  <w:style w:type="character" w:customStyle="1" w:styleId="af2">
    <w:name w:val="נושא הערה תו"/>
    <w:link w:val="af1"/>
    <w:rsid w:val="003C1AEC"/>
    <w:rPr>
      <w:b/>
      <w:bCs/>
      <w:lang w:eastAsia="he-IL"/>
    </w:rPr>
  </w:style>
  <w:style w:type="character" w:styleId="FollowedHyperlink">
    <w:name w:val="FollowedHyperlink"/>
    <w:rsid w:val="007075D2"/>
    <w:rPr>
      <w:color w:val="606420"/>
      <w:u w:val="single"/>
    </w:rPr>
  </w:style>
  <w:style w:type="character" w:customStyle="1" w:styleId="ad">
    <w:name w:val="כותרת תחתונה תו"/>
    <w:basedOn w:val="a0"/>
    <w:link w:val="ac"/>
    <w:uiPriority w:val="99"/>
    <w:rsid w:val="00ED29D4"/>
    <w:rPr>
      <w:sz w:val="24"/>
      <w:szCs w:val="24"/>
      <w:lang w:eastAsia="he-IL"/>
    </w:rPr>
  </w:style>
  <w:style w:type="character" w:customStyle="1" w:styleId="10">
    <w:name w:val="כותרת 1 תו"/>
    <w:basedOn w:val="a0"/>
    <w:link w:val="1"/>
    <w:rsid w:val="00E0201D"/>
    <w:rPr>
      <w:rFonts w:asciiTheme="majorHAnsi" w:eastAsiaTheme="majorEastAsia" w:hAnsiTheme="majorHAnsi" w:cs="David"/>
      <w:b/>
      <w:bCs/>
      <w:sz w:val="28"/>
      <w:szCs w:val="28"/>
      <w:lang w:eastAsia="he-IL"/>
    </w:rPr>
  </w:style>
  <w:style w:type="character" w:customStyle="1" w:styleId="apple-converted-space">
    <w:name w:val="apple-converted-space"/>
    <w:basedOn w:val="a0"/>
    <w:rsid w:val="003C10EF"/>
  </w:style>
  <w:style w:type="paragraph" w:styleId="af3">
    <w:name w:val="Revision"/>
    <w:hidden/>
    <w:uiPriority w:val="99"/>
    <w:semiHidden/>
    <w:rsid w:val="00AC0061"/>
    <w:rPr>
      <w:rFonts w:hint="cs"/>
      <w:sz w:val="24"/>
      <w:szCs w:val="24"/>
      <w:lang w:eastAsia="he-IL"/>
    </w:rPr>
  </w:style>
  <w:style w:type="paragraph" w:styleId="af4">
    <w:name w:val="Title"/>
    <w:basedOn w:val="a"/>
    <w:next w:val="a"/>
    <w:link w:val="af5"/>
    <w:qFormat/>
    <w:rsid w:val="001778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כותרת טקסט תו"/>
    <w:basedOn w:val="a0"/>
    <w:link w:val="af4"/>
    <w:rsid w:val="00177880"/>
    <w:rPr>
      <w:rFonts w:asciiTheme="majorHAnsi" w:eastAsiaTheme="majorEastAsia" w:hAnsiTheme="majorHAnsi" w:cstheme="majorBidi"/>
      <w:spacing w:val="-10"/>
      <w:kern w:val="28"/>
      <w:sz w:val="56"/>
      <w:szCs w:val="56"/>
      <w:lang w:eastAsia="he-IL"/>
    </w:rPr>
  </w:style>
  <w:style w:type="character" w:customStyle="1" w:styleId="bumpedfont15">
    <w:name w:val="bumpedfont15"/>
    <w:basedOn w:val="a0"/>
    <w:rsid w:val="00C97149"/>
  </w:style>
  <w:style w:type="paragraph" w:styleId="af6">
    <w:name w:val="List Paragraph"/>
    <w:basedOn w:val="a"/>
    <w:uiPriority w:val="34"/>
    <w:qFormat/>
    <w:rsid w:val="00D340C5"/>
    <w:pPr>
      <w:ind w:left="720"/>
      <w:contextualSpacing/>
    </w:pPr>
  </w:style>
  <w:style w:type="character" w:customStyle="1" w:styleId="a5">
    <w:name w:val="טקסט הערת שוליים תו"/>
    <w:basedOn w:val="a0"/>
    <w:link w:val="a4"/>
    <w:semiHidden/>
    <w:rsid w:val="00215DAB"/>
    <w:rPr>
      <w:rFonts w:cs="David"/>
      <w:iCs/>
      <w:lang w:eastAsia="he-IL"/>
    </w:rPr>
  </w:style>
  <w:style w:type="paragraph" w:styleId="NormalWeb">
    <w:name w:val="Normal (Web)"/>
    <w:basedOn w:val="a"/>
    <w:uiPriority w:val="99"/>
    <w:semiHidden/>
    <w:unhideWhenUsed/>
    <w:rsid w:val="00670DCD"/>
    <w:pPr>
      <w:spacing w:before="100" w:beforeAutospacing="1" w:after="100" w:afterAutospacing="1"/>
    </w:pPr>
    <w:rPr>
      <w:rFonts w:hint="default"/>
      <w:lang w:eastAsia="en-US"/>
    </w:rPr>
  </w:style>
  <w:style w:type="paragraph" w:customStyle="1" w:styleId="af7">
    <w:name w:val="טקסט רץ"/>
    <w:basedOn w:val="af6"/>
    <w:qFormat/>
    <w:rsid w:val="00B57576"/>
    <w:pPr>
      <w:bidi/>
      <w:ind w:left="-7"/>
      <w:jc w:val="both"/>
    </w:pPr>
    <w:rPr>
      <w:rFonts w:ascii="Assistant" w:hAnsi="Assistant" w:cs="Assistant" w:hint="default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mvsrvmmh\vmmh\ISD\&#1508;&#1512;&#1493;&#1497;&#1511;&#1496;&#1497;&#1501;%20&#1502;&#1513;&#1493;&#1514;&#1508;&#1497;&#1501;%20-%207\&#1505;&#1511;&#1512;%20&#1511;&#1510;&#1497;&#1504;&#1497;%20&#1488;&#1513;&#1512;&#1488;&#1497;\TETA\&#1492;&#1491;&#1493;&#1495;%20&#1492;&#1495;&#1493;&#1491;&#1513;&#1497;\chartbook_TETA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89577069149881E-2"/>
          <c:y val="0.11676550506753407"/>
          <c:w val="0.86707789878755581"/>
          <c:h val="0.65486670157235194"/>
        </c:manualLayout>
      </c:layout>
      <c:barChart>
        <c:barDir val="col"/>
        <c:grouping val="clustered"/>
        <c:varyColors val="0"/>
        <c:ser>
          <c:idx val="6"/>
          <c:order val="0"/>
          <c:tx>
            <c:strRef>
              <c:f>[chartbook_TETA.xlsm]data_119!$B$5</c:f>
              <c:strCache>
                <c:ptCount val="1"/>
                <c:pt idx="0">
                  <c:v>אומדן המדד החודשי</c:v>
                </c:pt>
              </c:strCache>
            </c:strRef>
          </c:tx>
          <c:spPr>
            <a:solidFill>
              <a:srgbClr val="008DA3"/>
            </a:solidFill>
            <a:ln>
              <a:solidFill>
                <a:srgbClr val="357C32"/>
              </a:solidFill>
            </a:ln>
            <a:effectLst/>
          </c:spPr>
          <c:invertIfNegative val="0"/>
          <c:cat>
            <c:numRef>
              <c:f>[chartbook_TETA.xlsm]data_119!$A$6:$A$30</c:f>
              <c:numCache>
                <c:formatCode>m/d/yyyy</c:formatCode>
                <c:ptCount val="25"/>
                <c:pt idx="0">
                  <c:v>45322</c:v>
                </c:pt>
                <c:pt idx="1">
                  <c:v>45351</c:v>
                </c:pt>
                <c:pt idx="2">
                  <c:v>45382</c:v>
                </c:pt>
                <c:pt idx="3">
                  <c:v>45412</c:v>
                </c:pt>
                <c:pt idx="4">
                  <c:v>45443</c:v>
                </c:pt>
                <c:pt idx="5">
                  <c:v>45473</c:v>
                </c:pt>
                <c:pt idx="6">
                  <c:v>45504</c:v>
                </c:pt>
                <c:pt idx="7">
                  <c:v>45535</c:v>
                </c:pt>
                <c:pt idx="8">
                  <c:v>45565</c:v>
                </c:pt>
                <c:pt idx="9">
                  <c:v>45596</c:v>
                </c:pt>
                <c:pt idx="10">
                  <c:v>45626</c:v>
                </c:pt>
                <c:pt idx="11">
                  <c:v>45657</c:v>
                </c:pt>
                <c:pt idx="12">
                  <c:v>45688</c:v>
                </c:pt>
                <c:pt idx="13">
                  <c:v>45716</c:v>
                </c:pt>
                <c:pt idx="14">
                  <c:v>45747</c:v>
                </c:pt>
                <c:pt idx="15">
                  <c:v>45777</c:v>
                </c:pt>
                <c:pt idx="16">
                  <c:v>45808</c:v>
                </c:pt>
                <c:pt idx="17">
                  <c:v>45838</c:v>
                </c:pt>
                <c:pt idx="18">
                  <c:v>45869</c:v>
                </c:pt>
                <c:pt idx="19">
                  <c:v>45900</c:v>
                </c:pt>
                <c:pt idx="20">
                  <c:v>45930</c:v>
                </c:pt>
                <c:pt idx="21">
                  <c:v>45961</c:v>
                </c:pt>
                <c:pt idx="22">
                  <c:v>45991</c:v>
                </c:pt>
                <c:pt idx="23">
                  <c:v>46022</c:v>
                </c:pt>
                <c:pt idx="24">
                  <c:v>46053</c:v>
                </c:pt>
              </c:numCache>
            </c:numRef>
          </c:cat>
          <c:val>
            <c:numRef>
              <c:f>[chartbook_TETA.xlsm]data_119!$B$6:$B$30</c:f>
              <c:numCache>
                <c:formatCode>General</c:formatCode>
                <c:ptCount val="25"/>
                <c:pt idx="0">
                  <c:v>1.476</c:v>
                </c:pt>
                <c:pt idx="1">
                  <c:v>1.274</c:v>
                </c:pt>
                <c:pt idx="2">
                  <c:v>0.82399999999999995</c:v>
                </c:pt>
                <c:pt idx="3">
                  <c:v>2.5999999999999999E-2</c:v>
                </c:pt>
                <c:pt idx="4">
                  <c:v>0.25800000000000001</c:v>
                </c:pt>
                <c:pt idx="5">
                  <c:v>0.21</c:v>
                </c:pt>
                <c:pt idx="6">
                  <c:v>0.66700000000000004</c:v>
                </c:pt>
                <c:pt idx="7">
                  <c:v>0.26500000000000001</c:v>
                </c:pt>
                <c:pt idx="8">
                  <c:v>0.13300000000000001</c:v>
                </c:pt>
                <c:pt idx="9">
                  <c:v>-0.27900000000000003</c:v>
                </c:pt>
                <c:pt idx="10">
                  <c:v>-5.0999999999999997E-2</c:v>
                </c:pt>
                <c:pt idx="11">
                  <c:v>0.61</c:v>
                </c:pt>
                <c:pt idx="12">
                  <c:v>0.39500000000000002</c:v>
                </c:pt>
                <c:pt idx="13">
                  <c:v>0.85599999999999998</c:v>
                </c:pt>
                <c:pt idx="14">
                  <c:v>0.21099999999999999</c:v>
                </c:pt>
                <c:pt idx="15">
                  <c:v>0.29899999999999999</c:v>
                </c:pt>
                <c:pt idx="16">
                  <c:v>0.122</c:v>
                </c:pt>
                <c:pt idx="17">
                  <c:v>-1.53</c:v>
                </c:pt>
                <c:pt idx="18">
                  <c:v>0.81799999999999995</c:v>
                </c:pt>
                <c:pt idx="19">
                  <c:v>0.17599999999999999</c:v>
                </c:pt>
                <c:pt idx="20">
                  <c:v>2.0009999999999999</c:v>
                </c:pt>
                <c:pt idx="21">
                  <c:v>-5.8000000000000003E-2</c:v>
                </c:pt>
                <c:pt idx="22">
                  <c:v>0.67</c:v>
                </c:pt>
                <c:pt idx="23">
                  <c:v>0.35799999999999998</c:v>
                </c:pt>
                <c:pt idx="24">
                  <c:v>0.51300000000000001</c:v>
                </c:pt>
              </c:numCache>
            </c:numRef>
          </c:val>
          <c:extLst xmlns:a14="http://schemas.microsoft.com/office/drawing/2010/main" xmlns:wp="http://schemas.openxmlformats.org/drawingml/2006/wordprocessingDrawing" xmlns:w="http://schemas.openxmlformats.org/wordprocessingml/2006/main" xmlns:m="http://schemas.openxmlformats.org/officeDocument/2006/math" xmlns:c15="http://schemas.microsoft.com/office/drawing/2012/chart">
            <c:ext xmlns:c16="http://schemas.microsoft.com/office/drawing/2014/chart" uri="{C3380CC4-5D6E-409C-BE32-E72D297353CC}">
              <c16:uniqueId val="{00000000-7737-4B68-98A3-0735033530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axId val="673828768"/>
        <c:axId val="673807552"/>
      </c:barChart>
      <c:lineChart>
        <c:grouping val="standard"/>
        <c:varyColors val="0"/>
        <c:ser>
          <c:idx val="0"/>
          <c:order val="1"/>
          <c:tx>
            <c:strRef>
              <c:f>[chartbook_TETA.xlsm]data_119!$C$5</c:f>
              <c:strCache>
                <c:ptCount val="1"/>
                <c:pt idx="0">
                  <c:v>אומדן קודם</c:v>
                </c:pt>
              </c:strCache>
            </c:strRef>
          </c:tx>
          <c:spPr>
            <a:ln w="31750" cap="rnd">
              <a:noFill/>
              <a:round/>
            </a:ln>
            <a:effectLst/>
          </c:spPr>
          <c:marker>
            <c:symbol val="circle"/>
            <c:size val="6"/>
            <c:spPr>
              <a:solidFill>
                <a:srgbClr val="357C32"/>
              </a:solidFill>
              <a:ln w="22225">
                <a:noFill/>
                <a:round/>
              </a:ln>
              <a:effectLst/>
            </c:spPr>
          </c:marker>
          <c:cat>
            <c:numRef>
              <c:f>[chartbook_TETA.xlsm]data_119!$A$6:$A$30</c:f>
              <c:numCache>
                <c:formatCode>m/d/yyyy</c:formatCode>
                <c:ptCount val="25"/>
                <c:pt idx="0">
                  <c:v>45322</c:v>
                </c:pt>
                <c:pt idx="1">
                  <c:v>45351</c:v>
                </c:pt>
                <c:pt idx="2">
                  <c:v>45382</c:v>
                </c:pt>
                <c:pt idx="3">
                  <c:v>45412</c:v>
                </c:pt>
                <c:pt idx="4">
                  <c:v>45443</c:v>
                </c:pt>
                <c:pt idx="5">
                  <c:v>45473</c:v>
                </c:pt>
                <c:pt idx="6">
                  <c:v>45504</c:v>
                </c:pt>
                <c:pt idx="7">
                  <c:v>45535</c:v>
                </c:pt>
                <c:pt idx="8">
                  <c:v>45565</c:v>
                </c:pt>
                <c:pt idx="9">
                  <c:v>45596</c:v>
                </c:pt>
                <c:pt idx="10">
                  <c:v>45626</c:v>
                </c:pt>
                <c:pt idx="11">
                  <c:v>45657</c:v>
                </c:pt>
                <c:pt idx="12">
                  <c:v>45688</c:v>
                </c:pt>
                <c:pt idx="13">
                  <c:v>45716</c:v>
                </c:pt>
                <c:pt idx="14">
                  <c:v>45747</c:v>
                </c:pt>
                <c:pt idx="15">
                  <c:v>45777</c:v>
                </c:pt>
                <c:pt idx="16">
                  <c:v>45808</c:v>
                </c:pt>
                <c:pt idx="17">
                  <c:v>45838</c:v>
                </c:pt>
                <c:pt idx="18">
                  <c:v>45869</c:v>
                </c:pt>
                <c:pt idx="19">
                  <c:v>45900</c:v>
                </c:pt>
                <c:pt idx="20">
                  <c:v>45930</c:v>
                </c:pt>
                <c:pt idx="21">
                  <c:v>45961</c:v>
                </c:pt>
                <c:pt idx="22">
                  <c:v>45991</c:v>
                </c:pt>
                <c:pt idx="23">
                  <c:v>46022</c:v>
                </c:pt>
                <c:pt idx="24">
                  <c:v>46053</c:v>
                </c:pt>
              </c:numCache>
            </c:numRef>
          </c:cat>
          <c:val>
            <c:numRef>
              <c:f>[chartbook_TETA.xlsm]data_119!$C$6:$C$30</c:f>
              <c:numCache>
                <c:formatCode>General</c:formatCode>
                <c:ptCount val="25"/>
                <c:pt idx="0">
                  <c:v>1.4330000000000001</c:v>
                </c:pt>
                <c:pt idx="1">
                  <c:v>1.226</c:v>
                </c:pt>
                <c:pt idx="2">
                  <c:v>0.79600000000000004</c:v>
                </c:pt>
                <c:pt idx="3">
                  <c:v>4.7E-2</c:v>
                </c:pt>
                <c:pt idx="4">
                  <c:v>0.252</c:v>
                </c:pt>
                <c:pt idx="5">
                  <c:v>0.19700000000000001</c:v>
                </c:pt>
                <c:pt idx="6">
                  <c:v>0.65</c:v>
                </c:pt>
                <c:pt idx="7">
                  <c:v>0.27</c:v>
                </c:pt>
                <c:pt idx="8">
                  <c:v>0.16200000000000001</c:v>
                </c:pt>
                <c:pt idx="9">
                  <c:v>-0.20200000000000001</c:v>
                </c:pt>
                <c:pt idx="10">
                  <c:v>6.3E-2</c:v>
                </c:pt>
                <c:pt idx="11">
                  <c:v>0.61399999999999999</c:v>
                </c:pt>
                <c:pt idx="12">
                  <c:v>0.31900000000000001</c:v>
                </c:pt>
                <c:pt idx="13">
                  <c:v>0.67600000000000005</c:v>
                </c:pt>
                <c:pt idx="14">
                  <c:v>0.11700000000000001</c:v>
                </c:pt>
                <c:pt idx="15">
                  <c:v>0.245</c:v>
                </c:pt>
                <c:pt idx="16">
                  <c:v>9.9000000000000005E-2</c:v>
                </c:pt>
                <c:pt idx="17">
                  <c:v>-1.569</c:v>
                </c:pt>
                <c:pt idx="18">
                  <c:v>0.69799999999999995</c:v>
                </c:pt>
                <c:pt idx="19">
                  <c:v>0.03</c:v>
                </c:pt>
                <c:pt idx="20">
                  <c:v>1.885</c:v>
                </c:pt>
                <c:pt idx="21">
                  <c:v>-0.113</c:v>
                </c:pt>
                <c:pt idx="22">
                  <c:v>0.55200000000000005</c:v>
                </c:pt>
                <c:pt idx="23">
                  <c:v>0.314</c:v>
                </c:pt>
              </c:numCache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1-7737-4B68-98A3-0735033530A5}"/>
            </c:ext>
          </c:extLst>
        </c:ser>
        <c:ser>
          <c:idx val="1"/>
          <c:order val="2"/>
          <c:tx>
            <c:strRef>
              <c:f>[chartbook_TETA.xlsm]data_119!$D$5</c:f>
              <c:strCache>
                <c:ptCount val="1"/>
                <c:pt idx="0">
                  <c:v>ממוצע ארוך טווח</c:v>
                </c:pt>
              </c:strCache>
            </c:strRef>
          </c:tx>
          <c:spPr>
            <a:ln w="22225" cap="rnd">
              <a:solidFill>
                <a:srgbClr val="DA8F32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[chartbook_TETA.xlsm]data_119!$A$6:$A$30</c:f>
              <c:numCache>
                <c:formatCode>m/d/yyyy</c:formatCode>
                <c:ptCount val="25"/>
                <c:pt idx="0">
                  <c:v>45322</c:v>
                </c:pt>
                <c:pt idx="1">
                  <c:v>45351</c:v>
                </c:pt>
                <c:pt idx="2">
                  <c:v>45382</c:v>
                </c:pt>
                <c:pt idx="3">
                  <c:v>45412</c:v>
                </c:pt>
                <c:pt idx="4">
                  <c:v>45443</c:v>
                </c:pt>
                <c:pt idx="5">
                  <c:v>45473</c:v>
                </c:pt>
                <c:pt idx="6">
                  <c:v>45504</c:v>
                </c:pt>
                <c:pt idx="7">
                  <c:v>45535</c:v>
                </c:pt>
                <c:pt idx="8">
                  <c:v>45565</c:v>
                </c:pt>
                <c:pt idx="9">
                  <c:v>45596</c:v>
                </c:pt>
                <c:pt idx="10">
                  <c:v>45626</c:v>
                </c:pt>
                <c:pt idx="11">
                  <c:v>45657</c:v>
                </c:pt>
                <c:pt idx="12">
                  <c:v>45688</c:v>
                </c:pt>
                <c:pt idx="13">
                  <c:v>45716</c:v>
                </c:pt>
                <c:pt idx="14">
                  <c:v>45747</c:v>
                </c:pt>
                <c:pt idx="15">
                  <c:v>45777</c:v>
                </c:pt>
                <c:pt idx="16">
                  <c:v>45808</c:v>
                </c:pt>
                <c:pt idx="17">
                  <c:v>45838</c:v>
                </c:pt>
                <c:pt idx="18">
                  <c:v>45869</c:v>
                </c:pt>
                <c:pt idx="19">
                  <c:v>45900</c:v>
                </c:pt>
                <c:pt idx="20">
                  <c:v>45930</c:v>
                </c:pt>
                <c:pt idx="21">
                  <c:v>45961</c:v>
                </c:pt>
                <c:pt idx="22">
                  <c:v>45991</c:v>
                </c:pt>
                <c:pt idx="23">
                  <c:v>46022</c:v>
                </c:pt>
                <c:pt idx="24">
                  <c:v>46053</c:v>
                </c:pt>
              </c:numCache>
            </c:numRef>
          </c:cat>
          <c:val>
            <c:numRef>
              <c:f>[chartbook_TETA.xlsm]data_119!$D$6:$D$30</c:f>
              <c:numCache>
                <c:formatCode>General</c:formatCode>
                <c:ptCount val="25"/>
                <c:pt idx="0">
                  <c:v>0.30199999999999999</c:v>
                </c:pt>
                <c:pt idx="1">
                  <c:v>0.30199999999999999</c:v>
                </c:pt>
                <c:pt idx="2">
                  <c:v>0.30199999999999999</c:v>
                </c:pt>
                <c:pt idx="3">
                  <c:v>0.30199999999999999</c:v>
                </c:pt>
                <c:pt idx="4">
                  <c:v>0.30199999999999999</c:v>
                </c:pt>
                <c:pt idx="5">
                  <c:v>0.30199999999999999</c:v>
                </c:pt>
                <c:pt idx="6">
                  <c:v>0.30199999999999999</c:v>
                </c:pt>
                <c:pt idx="7">
                  <c:v>0.30199999999999999</c:v>
                </c:pt>
                <c:pt idx="8">
                  <c:v>0.30199999999999999</c:v>
                </c:pt>
                <c:pt idx="9">
                  <c:v>0.30199999999999999</c:v>
                </c:pt>
                <c:pt idx="10">
                  <c:v>0.30199999999999999</c:v>
                </c:pt>
                <c:pt idx="11">
                  <c:v>0.30199999999999999</c:v>
                </c:pt>
                <c:pt idx="12">
                  <c:v>0.30199999999999999</c:v>
                </c:pt>
                <c:pt idx="13">
                  <c:v>0.30199999999999999</c:v>
                </c:pt>
                <c:pt idx="14">
                  <c:v>0.30199999999999999</c:v>
                </c:pt>
                <c:pt idx="15">
                  <c:v>0.30199999999999999</c:v>
                </c:pt>
                <c:pt idx="16">
                  <c:v>0.30199999999999999</c:v>
                </c:pt>
                <c:pt idx="17">
                  <c:v>0.30199999999999999</c:v>
                </c:pt>
                <c:pt idx="18">
                  <c:v>0.30199999999999999</c:v>
                </c:pt>
                <c:pt idx="19">
                  <c:v>0.30199999999999999</c:v>
                </c:pt>
                <c:pt idx="20">
                  <c:v>0.30199999999999999</c:v>
                </c:pt>
                <c:pt idx="21">
                  <c:v>0.30199999999999999</c:v>
                </c:pt>
                <c:pt idx="22">
                  <c:v>0.30199999999999999</c:v>
                </c:pt>
                <c:pt idx="23">
                  <c:v>0.30199999999999999</c:v>
                </c:pt>
                <c:pt idx="24">
                  <c:v>0.30199999999999999</c:v>
                </c:pt>
              </c:numCache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2-7737-4B68-98A3-0735033530A5}"/>
            </c:ext>
          </c:extLst>
        </c:ser>
        <c:ser>
          <c:idx val="2"/>
          <c:order val="3"/>
          <c:tx>
            <c:v>אחוזון 25</c:v>
          </c:tx>
          <c:spPr>
            <a:ln w="19050" cap="rnd">
              <a:solidFill>
                <a:schemeClr val="tx1">
                  <a:lumMod val="65000"/>
                  <a:lumOff val="35000"/>
                </a:schemeClr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[chartbook_TETA.xlsm]data_119!$A$6:$A$30</c:f>
              <c:numCache>
                <c:formatCode>m/d/yyyy</c:formatCode>
                <c:ptCount val="25"/>
                <c:pt idx="0">
                  <c:v>45322</c:v>
                </c:pt>
                <c:pt idx="1">
                  <c:v>45351</c:v>
                </c:pt>
                <c:pt idx="2">
                  <c:v>45382</c:v>
                </c:pt>
                <c:pt idx="3">
                  <c:v>45412</c:v>
                </c:pt>
                <c:pt idx="4">
                  <c:v>45443</c:v>
                </c:pt>
                <c:pt idx="5">
                  <c:v>45473</c:v>
                </c:pt>
                <c:pt idx="6">
                  <c:v>45504</c:v>
                </c:pt>
                <c:pt idx="7">
                  <c:v>45535</c:v>
                </c:pt>
                <c:pt idx="8">
                  <c:v>45565</c:v>
                </c:pt>
                <c:pt idx="9">
                  <c:v>45596</c:v>
                </c:pt>
                <c:pt idx="10">
                  <c:v>45626</c:v>
                </c:pt>
                <c:pt idx="11">
                  <c:v>45657</c:v>
                </c:pt>
                <c:pt idx="12">
                  <c:v>45688</c:v>
                </c:pt>
                <c:pt idx="13">
                  <c:v>45716</c:v>
                </c:pt>
                <c:pt idx="14">
                  <c:v>45747</c:v>
                </c:pt>
                <c:pt idx="15">
                  <c:v>45777</c:v>
                </c:pt>
                <c:pt idx="16">
                  <c:v>45808</c:v>
                </c:pt>
                <c:pt idx="17">
                  <c:v>45838</c:v>
                </c:pt>
                <c:pt idx="18">
                  <c:v>45869</c:v>
                </c:pt>
                <c:pt idx="19">
                  <c:v>45900</c:v>
                </c:pt>
                <c:pt idx="20">
                  <c:v>45930</c:v>
                </c:pt>
                <c:pt idx="21">
                  <c:v>45961</c:v>
                </c:pt>
                <c:pt idx="22">
                  <c:v>45991</c:v>
                </c:pt>
                <c:pt idx="23">
                  <c:v>46022</c:v>
                </c:pt>
                <c:pt idx="24">
                  <c:v>46053</c:v>
                </c:pt>
              </c:numCache>
            </c:numRef>
          </c:cat>
          <c:val>
            <c:numRef>
              <c:f>[chartbook_TETA.xlsm]data_119!$E$6:$E$30</c:f>
              <c:numCache>
                <c:formatCode>General</c:formatCode>
                <c:ptCount val="25"/>
                <c:pt idx="0">
                  <c:v>0.125</c:v>
                </c:pt>
                <c:pt idx="1">
                  <c:v>0.125</c:v>
                </c:pt>
                <c:pt idx="2">
                  <c:v>0.125</c:v>
                </c:pt>
                <c:pt idx="3">
                  <c:v>0.125</c:v>
                </c:pt>
                <c:pt idx="4">
                  <c:v>0.125</c:v>
                </c:pt>
                <c:pt idx="5">
                  <c:v>0.125</c:v>
                </c:pt>
                <c:pt idx="6">
                  <c:v>0.125</c:v>
                </c:pt>
                <c:pt idx="7">
                  <c:v>0.125</c:v>
                </c:pt>
                <c:pt idx="8">
                  <c:v>0.125</c:v>
                </c:pt>
                <c:pt idx="9">
                  <c:v>0.125</c:v>
                </c:pt>
                <c:pt idx="10">
                  <c:v>0.125</c:v>
                </c:pt>
                <c:pt idx="11">
                  <c:v>0.125</c:v>
                </c:pt>
                <c:pt idx="12">
                  <c:v>0.125</c:v>
                </c:pt>
                <c:pt idx="13">
                  <c:v>0.125</c:v>
                </c:pt>
                <c:pt idx="14">
                  <c:v>0.125</c:v>
                </c:pt>
                <c:pt idx="15">
                  <c:v>0.125</c:v>
                </c:pt>
                <c:pt idx="16">
                  <c:v>0.125</c:v>
                </c:pt>
                <c:pt idx="17">
                  <c:v>0.125</c:v>
                </c:pt>
                <c:pt idx="18">
                  <c:v>0.125</c:v>
                </c:pt>
                <c:pt idx="19">
                  <c:v>0.125</c:v>
                </c:pt>
                <c:pt idx="20">
                  <c:v>0.125</c:v>
                </c:pt>
                <c:pt idx="21">
                  <c:v>0.125</c:v>
                </c:pt>
                <c:pt idx="22">
                  <c:v>0.125</c:v>
                </c:pt>
                <c:pt idx="23">
                  <c:v>0.125</c:v>
                </c:pt>
                <c:pt idx="24">
                  <c:v>0.125</c:v>
                </c:pt>
              </c:numCache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3-7737-4B68-98A3-0735033530A5}"/>
            </c:ext>
          </c:extLst>
        </c:ser>
        <c:ser>
          <c:idx val="3"/>
          <c:order val="4"/>
          <c:tx>
            <c:v>אחוזון 75</c:v>
          </c:tx>
          <c:spPr>
            <a:ln w="19050" cap="rnd">
              <a:solidFill>
                <a:schemeClr val="tx1">
                  <a:lumMod val="65000"/>
                  <a:lumOff val="35000"/>
                </a:schemeClr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[chartbook_TETA.xlsm]data_119!$A$6:$A$30</c:f>
              <c:numCache>
                <c:formatCode>m/d/yyyy</c:formatCode>
                <c:ptCount val="25"/>
                <c:pt idx="0">
                  <c:v>45322</c:v>
                </c:pt>
                <c:pt idx="1">
                  <c:v>45351</c:v>
                </c:pt>
                <c:pt idx="2">
                  <c:v>45382</c:v>
                </c:pt>
                <c:pt idx="3">
                  <c:v>45412</c:v>
                </c:pt>
                <c:pt idx="4">
                  <c:v>45443</c:v>
                </c:pt>
                <c:pt idx="5">
                  <c:v>45473</c:v>
                </c:pt>
                <c:pt idx="6">
                  <c:v>45504</c:v>
                </c:pt>
                <c:pt idx="7">
                  <c:v>45535</c:v>
                </c:pt>
                <c:pt idx="8">
                  <c:v>45565</c:v>
                </c:pt>
                <c:pt idx="9">
                  <c:v>45596</c:v>
                </c:pt>
                <c:pt idx="10">
                  <c:v>45626</c:v>
                </c:pt>
                <c:pt idx="11">
                  <c:v>45657</c:v>
                </c:pt>
                <c:pt idx="12">
                  <c:v>45688</c:v>
                </c:pt>
                <c:pt idx="13">
                  <c:v>45716</c:v>
                </c:pt>
                <c:pt idx="14">
                  <c:v>45747</c:v>
                </c:pt>
                <c:pt idx="15">
                  <c:v>45777</c:v>
                </c:pt>
                <c:pt idx="16">
                  <c:v>45808</c:v>
                </c:pt>
                <c:pt idx="17">
                  <c:v>45838</c:v>
                </c:pt>
                <c:pt idx="18">
                  <c:v>45869</c:v>
                </c:pt>
                <c:pt idx="19">
                  <c:v>45900</c:v>
                </c:pt>
                <c:pt idx="20">
                  <c:v>45930</c:v>
                </c:pt>
                <c:pt idx="21">
                  <c:v>45961</c:v>
                </c:pt>
                <c:pt idx="22">
                  <c:v>45991</c:v>
                </c:pt>
                <c:pt idx="23">
                  <c:v>46022</c:v>
                </c:pt>
                <c:pt idx="24">
                  <c:v>46053</c:v>
                </c:pt>
              </c:numCache>
            </c:numRef>
          </c:cat>
          <c:val>
            <c:numRef>
              <c:f>[chartbook_TETA.xlsm]data_119!$F$6:$F$30</c:f>
              <c:numCache>
                <c:formatCode>General</c:formatCode>
                <c:ptCount val="25"/>
                <c:pt idx="0">
                  <c:v>0.61899999999999999</c:v>
                </c:pt>
                <c:pt idx="1">
                  <c:v>0.61899999999999999</c:v>
                </c:pt>
                <c:pt idx="2">
                  <c:v>0.61899999999999999</c:v>
                </c:pt>
                <c:pt idx="3">
                  <c:v>0.61899999999999999</c:v>
                </c:pt>
                <c:pt idx="4">
                  <c:v>0.61899999999999999</c:v>
                </c:pt>
                <c:pt idx="5">
                  <c:v>0.61899999999999999</c:v>
                </c:pt>
                <c:pt idx="6">
                  <c:v>0.61899999999999999</c:v>
                </c:pt>
                <c:pt idx="7">
                  <c:v>0.61899999999999999</c:v>
                </c:pt>
                <c:pt idx="8">
                  <c:v>0.61899999999999999</c:v>
                </c:pt>
                <c:pt idx="9">
                  <c:v>0.61899999999999999</c:v>
                </c:pt>
                <c:pt idx="10">
                  <c:v>0.61899999999999999</c:v>
                </c:pt>
                <c:pt idx="11">
                  <c:v>0.61899999999999999</c:v>
                </c:pt>
                <c:pt idx="12">
                  <c:v>0.61899999999999999</c:v>
                </c:pt>
                <c:pt idx="13">
                  <c:v>0.61899999999999999</c:v>
                </c:pt>
                <c:pt idx="14">
                  <c:v>0.61899999999999999</c:v>
                </c:pt>
                <c:pt idx="15">
                  <c:v>0.61899999999999999</c:v>
                </c:pt>
                <c:pt idx="16">
                  <c:v>0.61899999999999999</c:v>
                </c:pt>
                <c:pt idx="17">
                  <c:v>0.61899999999999999</c:v>
                </c:pt>
                <c:pt idx="18">
                  <c:v>0.61899999999999999</c:v>
                </c:pt>
                <c:pt idx="19">
                  <c:v>0.61899999999999999</c:v>
                </c:pt>
                <c:pt idx="20">
                  <c:v>0.61899999999999999</c:v>
                </c:pt>
                <c:pt idx="21">
                  <c:v>0.61899999999999999</c:v>
                </c:pt>
                <c:pt idx="22">
                  <c:v>0.61899999999999999</c:v>
                </c:pt>
                <c:pt idx="23">
                  <c:v>0.61899999999999999</c:v>
                </c:pt>
                <c:pt idx="24">
                  <c:v>0.61899999999999999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737-4B68-98A3-0735033530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3828768"/>
        <c:axId val="673807552"/>
        <c:extLst/>
      </c:lineChart>
      <c:dateAx>
        <c:axId val="673828768"/>
        <c:scaling>
          <c:orientation val="minMax"/>
        </c:scaling>
        <c:delete val="0"/>
        <c:axPos val="b"/>
        <c:numFmt formatCode="mm\-yy" sourceLinked="0"/>
        <c:majorTickMark val="none"/>
        <c:minorTickMark val="none"/>
        <c:tickLblPos val="low"/>
        <c:spPr>
          <a:noFill/>
          <a:ln w="0" cap="flat" cmpd="sng" algn="ctr">
            <a:solidFill>
              <a:schemeClr val="bg2">
                <a:lumMod val="75000"/>
                <a:alpha val="70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1200" b="0" i="0" u="none" strike="noStrike" kern="1200" baseline="0" smtId="4294967295">
                <a:solidFill>
                  <a:schemeClr val="tx2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673807552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673807552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65000"/>
                  <a:alpha val="70000"/>
                </a:schemeClr>
              </a:solidFill>
              <a:prstDash val="dash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 smtId="4294967295">
                    <a:solidFill>
                      <a:schemeClr val="tx2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he-IL">
                    <a:latin typeface="Calibri" panose="020F0502020204030204" pitchFamily="34" charset="0"/>
                    <a:cs typeface="Calibri" panose="020F0502020204030204" pitchFamily="34" charset="0"/>
                  </a:rPr>
                  <a:t>%</a:t>
                </a:r>
                <a:endParaRPr lang="en-US">
                  <a:latin typeface="Calibri" panose="020F0502020204030204" pitchFamily="34" charset="0"/>
                  <a:cs typeface="Calibri" panose="020F0502020204030204" pitchFamily="34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 smtId="4294967295">
                  <a:solidFill>
                    <a:schemeClr val="tx2"/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he-IL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 smtId="4294967295">
                <a:solidFill>
                  <a:schemeClr val="tx2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673828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4474500073658541E-2"/>
          <c:y val="0.89377772128526423"/>
          <c:w val="0.93002918202599061"/>
          <c:h val="8.92299252737842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 smtId="4294967295">
              <a:solidFill>
                <a:schemeClr val="tx2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round/>
    </a:ln>
    <a:effectLst/>
  </c:spPr>
  <c:txPr>
    <a:bodyPr/>
    <a:lstStyle/>
    <a:p>
      <a:pPr>
        <a:defRPr sz="1200" b="0" smtId="4294967295">
          <a:latin typeface="+mn-lt"/>
          <a:cs typeface="Segoe UI" panose="020B0502040204020203" pitchFamily="34" charset="0"/>
        </a:defRPr>
      </a:pPr>
      <a:endParaRPr lang="he-I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3" ma:contentTypeDescription="צור מסמך חדש." ma:contentTypeScope="" ma:versionID="2d6bf6acce4154f388381f02a0ca065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b34d201169bab8aabb3a472c31f12039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תאריך יצירה" ma:description="התאריך שבו נוצר משאב זה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E2BB-A40A-44E8-8163-4C76A98C1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1C8C5-C9F3-40C9-9D9E-DA4B295B21A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sharepoint/v3/field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1BB5C0A-37C5-40E1-B1A8-1D3AAB074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F088C-B51F-4EAD-93F4-1F295225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1393</Characters>
  <Application>Microsoft Office Word</Application>
  <DocSecurity>4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2026-02-19T12:02:00Z</dcterms:created>
  <dcterms:modified xsi:type="dcterms:W3CDTF">2026-02-19T12:02:00Z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