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D5923" w:rsidRPr="00DB1CBC" w:rsidTr="00BC41DB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7949D32" wp14:editId="5B5F55C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081BC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081BCE">
              <w:rPr>
                <w:rFonts w:cs="David" w:hint="cs"/>
                <w:sz w:val="24"/>
                <w:szCs w:val="24"/>
                <w:rtl/>
              </w:rPr>
              <w:t>ג</w:t>
            </w:r>
            <w:r w:rsidR="00D15A8B">
              <w:rPr>
                <w:rFonts w:cs="David" w:hint="cs"/>
                <w:sz w:val="24"/>
                <w:szCs w:val="24"/>
                <w:rtl/>
              </w:rPr>
              <w:t>'</w:t>
            </w:r>
            <w:r w:rsidR="00081BCE">
              <w:rPr>
                <w:rFonts w:cs="David" w:hint="cs"/>
                <w:sz w:val="24"/>
                <w:szCs w:val="24"/>
                <w:rtl/>
              </w:rPr>
              <w:t xml:space="preserve"> בניסן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081BCE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081BCE">
              <w:rPr>
                <w:rFonts w:cs="David" w:hint="cs"/>
                <w:sz w:val="24"/>
                <w:szCs w:val="24"/>
                <w:rtl/>
              </w:rPr>
              <w:t>3 באפריל</w:t>
            </w:r>
            <w:r w:rsidR="00D81EC3">
              <w:rPr>
                <w:rFonts w:cs="David" w:hint="cs"/>
                <w:sz w:val="24"/>
                <w:szCs w:val="24"/>
                <w:rtl/>
              </w:rPr>
              <w:t xml:space="preserve"> 2014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35AAC" w:rsidRDefault="00B35AAC" w:rsidP="00B35AAC">
      <w:pPr>
        <w:bidi/>
        <w:spacing w:line="360" w:lineRule="auto"/>
        <w:jc w:val="center"/>
        <w:rPr>
          <w:rFonts w:cs="David" w:hint="cs"/>
          <w:b/>
          <w:bCs/>
          <w:sz w:val="26"/>
          <w:szCs w:val="26"/>
          <w:rtl/>
        </w:rPr>
      </w:pPr>
      <w:r w:rsidRPr="00B35AAC">
        <w:rPr>
          <w:rFonts w:cs="David" w:hint="cs"/>
          <w:b/>
          <w:bCs/>
          <w:sz w:val="26"/>
          <w:szCs w:val="26"/>
          <w:rtl/>
        </w:rPr>
        <w:t xml:space="preserve">הפיקוח על הבנקים מפרסם הוראה חדשה שמטרתה להגביר את </w:t>
      </w:r>
    </w:p>
    <w:p w:rsidR="00B35AAC" w:rsidRPr="00B35AAC" w:rsidRDefault="00B35AAC" w:rsidP="00B35AAC">
      <w:pPr>
        <w:bidi/>
        <w:spacing w:line="360" w:lineRule="auto"/>
        <w:jc w:val="center"/>
        <w:rPr>
          <w:rFonts w:cs="David" w:hint="cs"/>
          <w:b/>
          <w:bCs/>
          <w:sz w:val="26"/>
          <w:szCs w:val="26"/>
          <w:u w:val="single"/>
          <w:rtl/>
        </w:rPr>
      </w:pPr>
      <w:r w:rsidRPr="00B35AAC">
        <w:rPr>
          <w:rFonts w:cs="David" w:hint="cs"/>
          <w:b/>
          <w:bCs/>
          <w:sz w:val="26"/>
          <w:szCs w:val="26"/>
          <w:u w:val="single"/>
          <w:rtl/>
        </w:rPr>
        <w:t>יכולת ההשוואה ושקיפות המחיר בתחום ניירות ערך</w:t>
      </w:r>
    </w:p>
    <w:p w:rsidR="00B35AAC" w:rsidRPr="00927879" w:rsidRDefault="00B35AAC" w:rsidP="00B35AAC">
      <w:pPr>
        <w:rPr>
          <w:rFonts w:cs="David" w:hint="cs"/>
          <w:b/>
          <w:bCs/>
          <w:sz w:val="34"/>
          <w:szCs w:val="34"/>
          <w:u w:val="single"/>
          <w:rtl/>
        </w:rPr>
      </w:pPr>
    </w:p>
    <w:p w:rsidR="00B35AAC" w:rsidRPr="00927879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927879">
        <w:rPr>
          <w:rFonts w:cs="David" w:hint="cs"/>
          <w:sz w:val="24"/>
          <w:szCs w:val="24"/>
          <w:rtl/>
        </w:rPr>
        <w:t xml:space="preserve">הפיקוח על הבנקים בבנק ישראל מפרסם היום נוסח סופי של </w:t>
      </w:r>
      <w:r>
        <w:rPr>
          <w:rFonts w:cs="David" w:hint="cs"/>
          <w:sz w:val="24"/>
          <w:szCs w:val="24"/>
          <w:rtl/>
        </w:rPr>
        <w:t>הוראת ניהול בנקאי תקין חדשה, שמטרתה ל</w:t>
      </w:r>
      <w:r w:rsidRPr="00927879">
        <w:rPr>
          <w:rFonts w:cs="David" w:hint="cs"/>
          <w:sz w:val="24"/>
          <w:szCs w:val="24"/>
          <w:rtl/>
        </w:rPr>
        <w:t xml:space="preserve">הגביר את </w:t>
      </w:r>
      <w:r>
        <w:rPr>
          <w:rFonts w:cs="David" w:hint="cs"/>
          <w:sz w:val="24"/>
          <w:szCs w:val="24"/>
          <w:rtl/>
        </w:rPr>
        <w:t xml:space="preserve">שקיפות המחיר ויכולת ההשוואה בתחום ניירות ערך. </w:t>
      </w:r>
    </w:p>
    <w:p w:rsidR="00B35AAC" w:rsidRPr="00927879" w:rsidRDefault="00B35AAC" w:rsidP="00B35AAC">
      <w:pPr>
        <w:bidi/>
        <w:spacing w:line="360" w:lineRule="auto"/>
        <w:jc w:val="both"/>
        <w:rPr>
          <w:rFonts w:cs="David"/>
          <w:sz w:val="24"/>
          <w:szCs w:val="24"/>
        </w:rPr>
      </w:pPr>
      <w:bookmarkStart w:id="0" w:name="_GoBack"/>
      <w:bookmarkEnd w:id="0"/>
    </w:p>
    <w:p w:rsidR="00B35AAC" w:rsidRDefault="00B35AAC" w:rsidP="00B35AAC">
      <w:pPr>
        <w:tabs>
          <w:tab w:val="right" w:pos="1372"/>
        </w:tabs>
        <w:bidi/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  <w:r w:rsidRPr="00940CBC">
        <w:rPr>
          <w:rFonts w:ascii="Arial" w:hAnsi="Arial" w:cs="David" w:hint="cs"/>
          <w:sz w:val="24"/>
          <w:szCs w:val="24"/>
          <w:rtl/>
        </w:rPr>
        <w:t xml:space="preserve">בתחום ניירות הערך נמצא </w:t>
      </w:r>
      <w:r>
        <w:rPr>
          <w:rFonts w:ascii="Arial" w:hAnsi="Arial" w:cs="David" w:hint="cs"/>
          <w:sz w:val="24"/>
          <w:szCs w:val="24"/>
          <w:rtl/>
        </w:rPr>
        <w:t xml:space="preserve">פער </w:t>
      </w:r>
      <w:r w:rsidRPr="00940CBC">
        <w:rPr>
          <w:rFonts w:ascii="Arial" w:hAnsi="Arial" w:cs="David" w:hint="cs"/>
          <w:sz w:val="24"/>
          <w:szCs w:val="24"/>
          <w:rtl/>
        </w:rPr>
        <w:t>גדול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940CBC">
        <w:rPr>
          <w:rFonts w:ascii="Arial" w:hAnsi="Arial" w:cs="David" w:hint="cs"/>
          <w:sz w:val="24"/>
          <w:szCs w:val="24"/>
          <w:rtl/>
        </w:rPr>
        <w:t xml:space="preserve"> בין העמלה </w:t>
      </w:r>
      <w:proofErr w:type="spellStart"/>
      <w:r w:rsidRPr="00940CBC">
        <w:rPr>
          <w:rFonts w:ascii="Arial" w:hAnsi="Arial" w:cs="David" w:hint="cs"/>
          <w:sz w:val="24"/>
          <w:szCs w:val="24"/>
          <w:rtl/>
        </w:rPr>
        <w:t>התעריפית</w:t>
      </w:r>
      <w:proofErr w:type="spellEnd"/>
      <w:r w:rsidRPr="00940CBC">
        <w:rPr>
          <w:rFonts w:ascii="Arial" w:hAnsi="Arial" w:cs="David" w:hint="cs"/>
          <w:sz w:val="24"/>
          <w:szCs w:val="24"/>
          <w:rtl/>
        </w:rPr>
        <w:t xml:space="preserve"> לבין העמלה שנגבית בפועל, אשר </w:t>
      </w:r>
      <w:r>
        <w:rPr>
          <w:rFonts w:ascii="Arial" w:hAnsi="Arial" w:cs="David" w:hint="cs"/>
          <w:sz w:val="24"/>
          <w:szCs w:val="24"/>
          <w:rtl/>
        </w:rPr>
        <w:t xml:space="preserve">מקשה על יכולת ההשוואה של הלקוח. </w:t>
      </w:r>
      <w:r w:rsidRPr="00940CBC">
        <w:rPr>
          <w:rFonts w:ascii="Arial" w:hAnsi="Arial" w:cs="David" w:hint="cs"/>
          <w:sz w:val="24"/>
          <w:szCs w:val="24"/>
          <w:rtl/>
        </w:rPr>
        <w:t xml:space="preserve">על מנת </w:t>
      </w:r>
      <w:r>
        <w:rPr>
          <w:rFonts w:ascii="Arial" w:hAnsi="Arial" w:cs="David" w:hint="cs"/>
          <w:sz w:val="24"/>
          <w:szCs w:val="24"/>
          <w:rtl/>
        </w:rPr>
        <w:t>שלקוח יוכל</w:t>
      </w:r>
      <w:r w:rsidRPr="00940CBC">
        <w:rPr>
          <w:rFonts w:ascii="Arial" w:hAnsi="Arial" w:cs="David" w:hint="cs"/>
          <w:sz w:val="24"/>
          <w:szCs w:val="24"/>
          <w:rtl/>
        </w:rPr>
        <w:t xml:space="preserve"> לקבל החלטה מושכלת באשר לעלות השירות, ועל מנת לעודד את התחרותיות</w:t>
      </w:r>
      <w:r>
        <w:rPr>
          <w:rFonts w:ascii="Arial" w:hAnsi="Arial" w:cs="David" w:hint="cs"/>
          <w:sz w:val="24"/>
          <w:szCs w:val="24"/>
          <w:rtl/>
        </w:rPr>
        <w:t>, נקבעה הוראה העוסקת בגילוי עלות השירותים בניירות ערך (הוראת ניהול בנקאי תקין  414).</w:t>
      </w:r>
    </w:p>
    <w:p w:rsidR="00B35AAC" w:rsidRDefault="00B35AAC" w:rsidP="00B35AAC">
      <w:pPr>
        <w:tabs>
          <w:tab w:val="right" w:pos="1372"/>
        </w:tabs>
        <w:bidi/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</w:p>
    <w:p w:rsidR="00B35AAC" w:rsidRPr="00940CBC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ההוראה מחייבת </w:t>
      </w:r>
      <w:r w:rsidRPr="00940CBC">
        <w:rPr>
          <w:rFonts w:cs="David" w:hint="cs"/>
          <w:sz w:val="24"/>
          <w:szCs w:val="24"/>
          <w:rtl/>
        </w:rPr>
        <w:t>תאגידים בנקאיים</w:t>
      </w:r>
      <w:r>
        <w:rPr>
          <w:rFonts w:cs="David" w:hint="cs"/>
          <w:sz w:val="24"/>
          <w:szCs w:val="24"/>
          <w:rtl/>
        </w:rPr>
        <w:t xml:space="preserve"> להציג ללקוחותיהם</w:t>
      </w:r>
      <w:r w:rsidRPr="00940CBC">
        <w:rPr>
          <w:rFonts w:cs="David" w:hint="cs"/>
          <w:sz w:val="24"/>
          <w:szCs w:val="24"/>
          <w:rtl/>
        </w:rPr>
        <w:t xml:space="preserve"> המחויבים בעמלות בגין פעולות של קניה, מכירה או פדיון של ניירות ערך ישראלים ו/או זרים</w:t>
      </w:r>
      <w:r>
        <w:rPr>
          <w:rFonts w:cs="David" w:hint="cs"/>
          <w:sz w:val="24"/>
          <w:szCs w:val="24"/>
          <w:rtl/>
        </w:rPr>
        <w:t>,</w:t>
      </w:r>
      <w:r w:rsidRPr="00940CBC">
        <w:rPr>
          <w:rFonts w:cs="David" w:hint="cs"/>
          <w:sz w:val="24"/>
          <w:szCs w:val="24"/>
          <w:rtl/>
        </w:rPr>
        <w:t xml:space="preserve"> או בעמלת דמי ניהול פיקדון ניירות ערך, מידע השוואתי בדבר שיעורי העמלות ששילמו לקוחות </w:t>
      </w:r>
      <w:r>
        <w:rPr>
          <w:rFonts w:cs="David" w:hint="cs"/>
          <w:sz w:val="24"/>
          <w:szCs w:val="24"/>
          <w:rtl/>
        </w:rPr>
        <w:t xml:space="preserve">אחרים של התאגיד הבנקאי </w:t>
      </w:r>
      <w:r w:rsidRPr="00940CBC">
        <w:rPr>
          <w:rFonts w:cs="David" w:hint="cs"/>
          <w:sz w:val="24"/>
          <w:szCs w:val="24"/>
          <w:rtl/>
        </w:rPr>
        <w:t>שמחזיקים פיקדונות בשווי דומה לשווי הפיקדון שמחזיק הלקוח</w:t>
      </w:r>
      <w:r>
        <w:rPr>
          <w:rFonts w:cs="David" w:hint="cs"/>
          <w:sz w:val="24"/>
          <w:szCs w:val="24"/>
          <w:rtl/>
        </w:rPr>
        <w:t>.</w:t>
      </w:r>
      <w:r w:rsidRPr="00940CBC">
        <w:rPr>
          <w:rFonts w:cs="David" w:hint="cs"/>
          <w:sz w:val="24"/>
          <w:szCs w:val="24"/>
          <w:rtl/>
        </w:rPr>
        <w:t xml:space="preserve"> </w:t>
      </w:r>
    </w:p>
    <w:p w:rsidR="00B35AAC" w:rsidRDefault="00B35AAC" w:rsidP="00B35AAC">
      <w:pPr>
        <w:tabs>
          <w:tab w:val="right" w:pos="1372"/>
        </w:tabs>
        <w:bidi/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</w:p>
    <w:p w:rsidR="00B35AAC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4255F4">
        <w:rPr>
          <w:rFonts w:ascii="Arial" w:hAnsi="Arial" w:cs="David" w:hint="cs"/>
          <w:sz w:val="24"/>
          <w:szCs w:val="24"/>
          <w:rtl/>
        </w:rPr>
        <w:t xml:space="preserve">המידע ההשוואתי </w:t>
      </w:r>
      <w:r>
        <w:rPr>
          <w:rFonts w:ascii="Arial" w:hAnsi="Arial" w:cs="David" w:hint="cs"/>
          <w:sz w:val="24"/>
          <w:szCs w:val="24"/>
          <w:rtl/>
        </w:rPr>
        <w:t xml:space="preserve">האמור </w:t>
      </w:r>
      <w:r w:rsidRPr="004255F4">
        <w:rPr>
          <w:rFonts w:ascii="Arial" w:hAnsi="Arial" w:cs="David" w:hint="cs"/>
          <w:sz w:val="24"/>
          <w:szCs w:val="24"/>
          <w:rtl/>
        </w:rPr>
        <w:t>שיימסר ללקוח</w:t>
      </w:r>
      <w:r>
        <w:rPr>
          <w:rFonts w:ascii="Arial" w:hAnsi="Arial" w:cs="David" w:hint="cs"/>
          <w:sz w:val="24"/>
          <w:szCs w:val="24"/>
          <w:rtl/>
        </w:rPr>
        <w:t xml:space="preserve">, יוצג במסגרת הדיווח החצי שנתי ללקוח, לצד מידע מפורט </w:t>
      </w:r>
      <w:r w:rsidRPr="004255F4">
        <w:rPr>
          <w:rFonts w:ascii="Arial" w:hAnsi="Arial" w:cs="David" w:hint="cs"/>
          <w:sz w:val="24"/>
          <w:szCs w:val="24"/>
          <w:rtl/>
        </w:rPr>
        <w:t xml:space="preserve">על עמלות קניה, מכירה ופדיון של ניירות ערך, </w:t>
      </w:r>
      <w:r>
        <w:rPr>
          <w:rFonts w:ascii="Arial" w:hAnsi="Arial" w:cs="David" w:hint="cs"/>
          <w:sz w:val="24"/>
          <w:szCs w:val="24"/>
          <w:rtl/>
        </w:rPr>
        <w:t>ועמלת דמי ניהול פיקדון ניירות ערך, בהן חויב הלקוח בפועל.</w:t>
      </w:r>
    </w:p>
    <w:p w:rsidR="00B35AAC" w:rsidRDefault="00B35AAC" w:rsidP="00B35AAC">
      <w:pPr>
        <w:bidi/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B35AAC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C9276D">
        <w:rPr>
          <w:rFonts w:cs="David" w:hint="cs"/>
          <w:b/>
          <w:bCs/>
          <w:sz w:val="24"/>
          <w:szCs w:val="24"/>
          <w:rtl/>
        </w:rPr>
        <w:t>דוד זקן, המפקח על הבנקים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C9276D">
        <w:rPr>
          <w:rFonts w:cs="David" w:hint="cs"/>
          <w:b/>
          <w:bCs/>
          <w:sz w:val="24"/>
          <w:szCs w:val="24"/>
          <w:rtl/>
        </w:rPr>
        <w:t xml:space="preserve"> מציין</w:t>
      </w:r>
      <w:r w:rsidRPr="00481DA8">
        <w:rPr>
          <w:rFonts w:cs="David" w:hint="cs"/>
          <w:sz w:val="24"/>
          <w:szCs w:val="24"/>
          <w:rtl/>
        </w:rPr>
        <w:t>: "</w:t>
      </w:r>
      <w:r w:rsidRPr="00481DA8">
        <w:rPr>
          <w:rFonts w:cs="David"/>
          <w:sz w:val="24"/>
          <w:szCs w:val="24"/>
          <w:rtl/>
        </w:rPr>
        <w:t>מטרתו של צעד זה</w:t>
      </w:r>
      <w:r w:rsidRPr="00481DA8">
        <w:rPr>
          <w:rFonts w:cs="David" w:hint="cs"/>
          <w:sz w:val="24"/>
          <w:szCs w:val="24"/>
          <w:rtl/>
        </w:rPr>
        <w:t>,</w:t>
      </w:r>
      <w:r w:rsidRPr="00481DA8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אשר מהווה יישום נוסף של המלצות הצוות לבחינת הגברת התחרותיות בענף הבנקאות, </w:t>
      </w:r>
      <w:r w:rsidRPr="00481DA8">
        <w:rPr>
          <w:rFonts w:cs="David"/>
          <w:sz w:val="24"/>
          <w:szCs w:val="24"/>
          <w:rtl/>
        </w:rPr>
        <w:t>היא</w:t>
      </w:r>
      <w:r>
        <w:rPr>
          <w:rFonts w:cs="David" w:hint="cs"/>
          <w:sz w:val="24"/>
          <w:szCs w:val="24"/>
          <w:rtl/>
        </w:rPr>
        <w:t xml:space="preserve"> להגביר את</w:t>
      </w:r>
      <w:r w:rsidRPr="00481DA8">
        <w:rPr>
          <w:rFonts w:cs="David"/>
          <w:sz w:val="24"/>
          <w:szCs w:val="24"/>
          <w:rtl/>
        </w:rPr>
        <w:t xml:space="preserve"> השקיפות של התאגידים הבנקאיים כלפי לקוחותיהם. שקיפות מחירים זו עשויה אף היא לתרום להגברת התחרות ולשפר את כוח המיקוח של הלקוחות</w:t>
      </w:r>
      <w:r>
        <w:rPr>
          <w:rFonts w:cs="David" w:hint="cs"/>
          <w:sz w:val="24"/>
          <w:szCs w:val="24"/>
          <w:rtl/>
        </w:rPr>
        <w:t>, בעיקר משקי הבית והעסקים הקטנים,</w:t>
      </w:r>
      <w:r w:rsidRPr="00481DA8">
        <w:rPr>
          <w:rFonts w:cs="David"/>
          <w:sz w:val="24"/>
          <w:szCs w:val="24"/>
          <w:rtl/>
        </w:rPr>
        <w:t xml:space="preserve"> כלפי</w:t>
      </w:r>
      <w:r w:rsidRPr="00481DA8">
        <w:rPr>
          <w:rFonts w:cs="David" w:hint="cs"/>
          <w:sz w:val="24"/>
          <w:szCs w:val="24"/>
          <w:rtl/>
        </w:rPr>
        <w:t xml:space="preserve"> התאגידים הבנקאיים בתחום פעילות זה"</w:t>
      </w:r>
      <w:r w:rsidRPr="00481DA8">
        <w:rPr>
          <w:rFonts w:cs="David"/>
          <w:sz w:val="24"/>
          <w:szCs w:val="24"/>
          <w:rtl/>
        </w:rPr>
        <w:t>.</w:t>
      </w:r>
      <w:r w:rsidRPr="00927879">
        <w:rPr>
          <w:rFonts w:cs="David" w:hint="cs"/>
          <w:sz w:val="24"/>
          <w:szCs w:val="24"/>
          <w:rtl/>
        </w:rPr>
        <w:t xml:space="preserve"> </w:t>
      </w:r>
    </w:p>
    <w:p w:rsidR="00B35AAC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B35AAC" w:rsidRPr="00C9276D" w:rsidRDefault="00B35AAC" w:rsidP="00B35AAC">
      <w:pPr>
        <w:bidi/>
        <w:spacing w:line="360" w:lineRule="auto"/>
        <w:jc w:val="both"/>
        <w:rPr>
          <w:rFonts w:ascii="Arial" w:hAnsi="Arial" w:cs="David" w:hint="cs"/>
          <w:sz w:val="24"/>
          <w:szCs w:val="24"/>
        </w:rPr>
      </w:pPr>
      <w:r w:rsidRPr="00C9276D">
        <w:rPr>
          <w:rFonts w:ascii="Arial" w:hAnsi="Arial" w:cs="David" w:hint="cs"/>
          <w:sz w:val="24"/>
          <w:szCs w:val="24"/>
          <w:rtl/>
        </w:rPr>
        <w:t>המידע ההשוואתי שיימסר ללקוח יתפרסם גם באתר האינטרנט של התאגיד הבנקאי, על מנת שלקוח יוכל להשוות את עלות השירות בין הבנקים השונים.</w:t>
      </w:r>
      <w:r>
        <w:rPr>
          <w:rFonts w:ascii="Arial" w:hAnsi="Arial" w:cs="David" w:hint="cs"/>
          <w:sz w:val="24"/>
          <w:szCs w:val="24"/>
          <w:rtl/>
        </w:rPr>
        <w:t xml:space="preserve"> אופן הצגת הנתונים יהיה אחיד, והוא </w:t>
      </w:r>
      <w:r w:rsidRPr="00C9276D">
        <w:rPr>
          <w:rFonts w:ascii="Arial" w:hAnsi="Arial" w:cs="David" w:hint="cs"/>
          <w:sz w:val="24"/>
          <w:szCs w:val="24"/>
          <w:rtl/>
        </w:rPr>
        <w:t xml:space="preserve">יתבסס על  נתונים שהתקבלו במהלך תקופה של ששה חודשים (ינואר </w:t>
      </w:r>
      <w:r w:rsidRPr="00C9276D">
        <w:rPr>
          <w:rFonts w:ascii="Arial" w:hAnsi="Arial" w:cs="David"/>
          <w:sz w:val="24"/>
          <w:szCs w:val="24"/>
          <w:rtl/>
        </w:rPr>
        <w:t>–</w:t>
      </w:r>
      <w:r w:rsidRPr="00C9276D">
        <w:rPr>
          <w:rFonts w:ascii="Arial" w:hAnsi="Arial" w:cs="David" w:hint="cs"/>
          <w:sz w:val="24"/>
          <w:szCs w:val="24"/>
          <w:rtl/>
        </w:rPr>
        <w:t xml:space="preserve"> יוני, יולי </w:t>
      </w:r>
      <w:r w:rsidRPr="00C9276D">
        <w:rPr>
          <w:rFonts w:ascii="Arial" w:hAnsi="Arial" w:cs="David"/>
          <w:sz w:val="24"/>
          <w:szCs w:val="24"/>
          <w:rtl/>
        </w:rPr>
        <w:t>–</w:t>
      </w:r>
      <w:r w:rsidRPr="00C9276D">
        <w:rPr>
          <w:rFonts w:ascii="Arial" w:hAnsi="Arial" w:cs="David" w:hint="cs"/>
          <w:sz w:val="24"/>
          <w:szCs w:val="24"/>
          <w:rtl/>
        </w:rPr>
        <w:t xml:space="preserve"> דצמבר), אותם יעדכן ה</w:t>
      </w:r>
      <w:r>
        <w:rPr>
          <w:rFonts w:ascii="Arial" w:hAnsi="Arial" w:cs="David" w:hint="cs"/>
          <w:sz w:val="24"/>
          <w:szCs w:val="24"/>
          <w:rtl/>
        </w:rPr>
        <w:t xml:space="preserve">תאגיד הבנקאי </w:t>
      </w:r>
      <w:r w:rsidRPr="00C9276D">
        <w:rPr>
          <w:rFonts w:ascii="Arial" w:hAnsi="Arial" w:cs="David" w:hint="cs"/>
          <w:sz w:val="24"/>
          <w:szCs w:val="24"/>
          <w:rtl/>
        </w:rPr>
        <w:t xml:space="preserve">בתוך 30 ימים מסוף כל תקופה. </w:t>
      </w:r>
    </w:p>
    <w:p w:rsidR="00B35AAC" w:rsidRPr="00C9276D" w:rsidRDefault="00B35AAC" w:rsidP="00B35AAC">
      <w:pPr>
        <w:bidi/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C04A6B" w:rsidRPr="007E18EE" w:rsidRDefault="00B35AAC" w:rsidP="00B35AAC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40CBC">
        <w:rPr>
          <w:rFonts w:ascii="Arial" w:hAnsi="Arial" w:cs="David" w:hint="cs"/>
          <w:sz w:val="24"/>
          <w:szCs w:val="24"/>
          <w:rtl/>
        </w:rPr>
        <w:t>ההוראה</w:t>
      </w:r>
      <w:r>
        <w:rPr>
          <w:rFonts w:ascii="Arial" w:hAnsi="Arial" w:cs="David" w:hint="cs"/>
          <w:sz w:val="24"/>
          <w:szCs w:val="24"/>
          <w:rtl/>
        </w:rPr>
        <w:t>, אשר תחול על יחידים ועסקים קטנים,</w:t>
      </w:r>
      <w:r w:rsidRPr="00940CBC">
        <w:rPr>
          <w:rFonts w:ascii="Arial" w:hAnsi="Arial" w:cs="David" w:hint="cs"/>
          <w:sz w:val="24"/>
          <w:szCs w:val="24"/>
          <w:rtl/>
        </w:rPr>
        <w:t xml:space="preserve"> תיכנס לתוקף ב- 1 בינואר 2015, כאשר ההצגה הראשונה של המידע ללקוח ופרסומו באתר האינטרנט, תתבסס על נתונים שהתקבלו במהלך </w:t>
      </w:r>
      <w:r>
        <w:rPr>
          <w:rFonts w:ascii="Arial" w:hAnsi="Arial" w:cs="David" w:hint="cs"/>
          <w:sz w:val="24"/>
          <w:szCs w:val="24"/>
          <w:rtl/>
        </w:rPr>
        <w:t>ה</w:t>
      </w:r>
      <w:r w:rsidRPr="00940CBC">
        <w:rPr>
          <w:rFonts w:ascii="Arial" w:hAnsi="Arial" w:cs="David" w:hint="cs"/>
          <w:sz w:val="24"/>
          <w:szCs w:val="24"/>
          <w:rtl/>
        </w:rPr>
        <w:t xml:space="preserve">חודשים יולי </w:t>
      </w:r>
      <w:r w:rsidRPr="00940CBC">
        <w:rPr>
          <w:rFonts w:ascii="Arial" w:hAnsi="Arial" w:cs="David"/>
          <w:sz w:val="24"/>
          <w:szCs w:val="24"/>
          <w:rtl/>
        </w:rPr>
        <w:t>–</w:t>
      </w:r>
      <w:r w:rsidRPr="00940CBC">
        <w:rPr>
          <w:rFonts w:ascii="Arial" w:hAnsi="Arial" w:cs="David" w:hint="cs"/>
          <w:sz w:val="24"/>
          <w:szCs w:val="24"/>
          <w:rtl/>
        </w:rPr>
        <w:t xml:space="preserve"> דצמבר 2014</w:t>
      </w:r>
      <w:r>
        <w:rPr>
          <w:rFonts w:cs="David" w:hint="cs"/>
          <w:sz w:val="24"/>
          <w:szCs w:val="24"/>
          <w:rtl/>
        </w:rPr>
        <w:t>.</w:t>
      </w:r>
    </w:p>
    <w:sectPr w:rsidR="00C04A6B" w:rsidRPr="007E18EE" w:rsidSect="00AE5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42" w:rsidRDefault="005F7A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81BCE"/>
    <w:rsid w:val="00115A82"/>
    <w:rsid w:val="00177686"/>
    <w:rsid w:val="00180E8A"/>
    <w:rsid w:val="001B5E0C"/>
    <w:rsid w:val="001D7646"/>
    <w:rsid w:val="001E5A00"/>
    <w:rsid w:val="002438E2"/>
    <w:rsid w:val="002630B7"/>
    <w:rsid w:val="002B3FB0"/>
    <w:rsid w:val="002D510A"/>
    <w:rsid w:val="0031161D"/>
    <w:rsid w:val="003537B9"/>
    <w:rsid w:val="003810D6"/>
    <w:rsid w:val="003901E0"/>
    <w:rsid w:val="003A4EDC"/>
    <w:rsid w:val="00420F93"/>
    <w:rsid w:val="0044713E"/>
    <w:rsid w:val="004625EB"/>
    <w:rsid w:val="004A5826"/>
    <w:rsid w:val="004B11CB"/>
    <w:rsid w:val="004B5D8D"/>
    <w:rsid w:val="004E23AC"/>
    <w:rsid w:val="004F06E0"/>
    <w:rsid w:val="00502068"/>
    <w:rsid w:val="005F7A42"/>
    <w:rsid w:val="00614095"/>
    <w:rsid w:val="00651CB7"/>
    <w:rsid w:val="00661ADC"/>
    <w:rsid w:val="006C01FB"/>
    <w:rsid w:val="006C2B75"/>
    <w:rsid w:val="00762D5A"/>
    <w:rsid w:val="007E18EE"/>
    <w:rsid w:val="007F013B"/>
    <w:rsid w:val="00826810"/>
    <w:rsid w:val="00837763"/>
    <w:rsid w:val="00852D44"/>
    <w:rsid w:val="0086330B"/>
    <w:rsid w:val="00881EF7"/>
    <w:rsid w:val="008B55E9"/>
    <w:rsid w:val="008B5665"/>
    <w:rsid w:val="00923E37"/>
    <w:rsid w:val="00961EFC"/>
    <w:rsid w:val="00972F89"/>
    <w:rsid w:val="009818C2"/>
    <w:rsid w:val="009B71E4"/>
    <w:rsid w:val="009C16BD"/>
    <w:rsid w:val="00A13688"/>
    <w:rsid w:val="00A57161"/>
    <w:rsid w:val="00AA51B0"/>
    <w:rsid w:val="00AA7ED7"/>
    <w:rsid w:val="00AB409F"/>
    <w:rsid w:val="00AD759C"/>
    <w:rsid w:val="00AE591E"/>
    <w:rsid w:val="00B058F3"/>
    <w:rsid w:val="00B2503D"/>
    <w:rsid w:val="00B35AAC"/>
    <w:rsid w:val="00B77C1D"/>
    <w:rsid w:val="00B84BD7"/>
    <w:rsid w:val="00BC41DB"/>
    <w:rsid w:val="00BD5207"/>
    <w:rsid w:val="00BE235C"/>
    <w:rsid w:val="00BE49A2"/>
    <w:rsid w:val="00C04A6B"/>
    <w:rsid w:val="00C22C24"/>
    <w:rsid w:val="00C25C1C"/>
    <w:rsid w:val="00C45C9C"/>
    <w:rsid w:val="00C656C3"/>
    <w:rsid w:val="00C84B20"/>
    <w:rsid w:val="00CB1B2B"/>
    <w:rsid w:val="00D15A8B"/>
    <w:rsid w:val="00D3721C"/>
    <w:rsid w:val="00D81EC3"/>
    <w:rsid w:val="00D87DC1"/>
    <w:rsid w:val="00D969AD"/>
    <w:rsid w:val="00DD5923"/>
    <w:rsid w:val="00E72A42"/>
    <w:rsid w:val="00E85E11"/>
    <w:rsid w:val="00EA052D"/>
    <w:rsid w:val="00ED153D"/>
    <w:rsid w:val="00ED5B1D"/>
    <w:rsid w:val="00F75061"/>
    <w:rsid w:val="00F96916"/>
    <w:rsid w:val="00FD4DC2"/>
    <w:rsid w:val="00FE034E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86A86-4C8C-45E9-9418-04E913B07F7A}"/>
</file>

<file path=customXml/itemProps2.xml><?xml version="1.0" encoding="utf-8"?>
<ds:datastoreItem xmlns:ds="http://schemas.openxmlformats.org/officeDocument/2006/customXml" ds:itemID="{C2A15B4E-DB9D-47E0-93AC-2DB3EC56EDBA}"/>
</file>

<file path=customXml/itemProps3.xml><?xml version="1.0" encoding="utf-8"?>
<ds:datastoreItem xmlns:ds="http://schemas.openxmlformats.org/officeDocument/2006/customXml" ds:itemID="{F9BCC977-2513-4B2D-B6A8-8F1CC884301F}"/>
</file>

<file path=customXml/itemProps4.xml><?xml version="1.0" encoding="utf-8"?>
<ds:datastoreItem xmlns:ds="http://schemas.openxmlformats.org/officeDocument/2006/customXml" ds:itemID="{78E9E4D3-8C1A-4537-AD9E-CC1302D92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2014-04-03T08:24:00Z</dcterms:created>
  <dcterms:modified xsi:type="dcterms:W3CDTF">2014-04-03T08:24:00Z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