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2BC" w:rsidRPr="00E8008F" w:rsidRDefault="009042BC" w:rsidP="009042BC">
      <w:pPr>
        <w:jc w:val="center"/>
        <w:rPr>
          <w:rtl/>
        </w:rPr>
      </w:pPr>
      <w:r>
        <w:rPr>
          <w:noProof/>
        </w:rPr>
        <w:drawing>
          <wp:inline distT="0" distB="0" distL="0" distR="0" wp14:anchorId="7DA38A69" wp14:editId="0601D2D0">
            <wp:extent cx="1243636" cy="704850"/>
            <wp:effectExtent l="0" t="0" r="0" b="0"/>
            <wp:docPr id="2" name="תמונה 2" descr="C:\Users\u20m\AppData\Local\Microsoft\Windows\Temporary Internet Files\Content.Word\60Y+bank_Color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20m\AppData\Local\Microsoft\Windows\Temporary Internet Files\Content.Word\60Y+bank_Color_RGB_72DP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3636" cy="704850"/>
                    </a:xfrm>
                    <a:prstGeom prst="rect">
                      <a:avLst/>
                    </a:prstGeom>
                    <a:noFill/>
                    <a:ln>
                      <a:noFill/>
                    </a:ln>
                  </pic:spPr>
                </pic:pic>
              </a:graphicData>
            </a:graphic>
          </wp:inline>
        </w:drawing>
      </w:r>
    </w:p>
    <w:p w:rsidR="009042BC" w:rsidRDefault="009042BC" w:rsidP="009042BC">
      <w:pPr>
        <w:pStyle w:val="regpar"/>
        <w:spacing w:line="300" w:lineRule="atLeast"/>
        <w:ind w:firstLine="0"/>
        <w:jc w:val="center"/>
        <w:rPr>
          <w:b/>
        </w:rPr>
      </w:pPr>
    </w:p>
    <w:p w:rsidR="009042BC" w:rsidRPr="00000A06" w:rsidRDefault="009042BC" w:rsidP="009042BC">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rsidR="009042BC" w:rsidRPr="00000A06" w:rsidRDefault="009042BC" w:rsidP="009042BC">
      <w:pPr>
        <w:pStyle w:val="regpar"/>
        <w:spacing w:line="300" w:lineRule="atLeast"/>
        <w:ind w:firstLine="0"/>
        <w:jc w:val="center"/>
        <w:rPr>
          <w:rFonts w:ascii="Times New Roman" w:hAnsi="Times New Roman" w:cs="Times New Roman"/>
          <w:b/>
        </w:rPr>
      </w:pPr>
      <w:r w:rsidRPr="00000A06">
        <w:rPr>
          <w:rFonts w:ascii="Times New Roman" w:hAnsi="Times New Roman" w:cs="Times New Roman"/>
        </w:rPr>
        <w:t>Office of the Spokes</w:t>
      </w:r>
      <w:r>
        <w:rPr>
          <w:rFonts w:ascii="Times New Roman" w:hAnsi="Times New Roman" w:cs="Times New Roman"/>
        </w:rPr>
        <w:t>person</w:t>
      </w:r>
      <w:r w:rsidRPr="00000A06">
        <w:rPr>
          <w:rFonts w:ascii="Times New Roman" w:hAnsi="Times New Roman" w:cs="Times New Roman"/>
        </w:rPr>
        <w:t xml:space="preserve"> and Economic Information</w:t>
      </w:r>
    </w:p>
    <w:p w:rsidR="009042BC" w:rsidRDefault="009042BC" w:rsidP="009042BC">
      <w:pPr>
        <w:jc w:val="center"/>
        <w:rPr>
          <w:rFonts w:cs="David"/>
          <w:b/>
          <w:bCs/>
          <w:sz w:val="26"/>
          <w:szCs w:val="26"/>
        </w:rPr>
      </w:pPr>
    </w:p>
    <w:p w:rsidR="009042BC" w:rsidRDefault="009042BC" w:rsidP="009042BC">
      <w:pPr>
        <w:jc w:val="right"/>
      </w:pPr>
      <w:r>
        <w:t>June 8, 2014</w:t>
      </w:r>
    </w:p>
    <w:p w:rsidR="009042BC" w:rsidRPr="00BA7BE1" w:rsidRDefault="009042BC" w:rsidP="009042BC">
      <w:pPr>
        <w:tabs>
          <w:tab w:val="center" w:pos="4156"/>
          <w:tab w:val="right" w:pos="8312"/>
        </w:tabs>
        <w:rPr>
          <w:rFonts w:cs="David"/>
          <w:sz w:val="22"/>
          <w:szCs w:val="22"/>
        </w:rPr>
      </w:pPr>
      <w:r w:rsidRPr="00BA7BE1">
        <w:rPr>
          <w:rFonts w:cs="David"/>
          <w:sz w:val="22"/>
          <w:szCs w:val="22"/>
        </w:rPr>
        <w:tab/>
        <w:t>Press Release</w:t>
      </w:r>
      <w:r w:rsidRPr="00BA7BE1">
        <w:rPr>
          <w:rFonts w:cs="David"/>
          <w:sz w:val="22"/>
          <w:szCs w:val="22"/>
        </w:rPr>
        <w:tab/>
      </w:r>
    </w:p>
    <w:p w:rsidR="00C7415F" w:rsidRDefault="00C7415F" w:rsidP="00C7415F">
      <w:pPr>
        <w:spacing w:line="300" w:lineRule="exact"/>
        <w:jc w:val="both"/>
      </w:pPr>
    </w:p>
    <w:p w:rsidR="00C7415F" w:rsidRPr="008B6A8E" w:rsidRDefault="00C7415F" w:rsidP="00F90985">
      <w:pPr>
        <w:spacing w:line="300" w:lineRule="exact"/>
        <w:jc w:val="center"/>
        <w:rPr>
          <w:b/>
          <w:bCs/>
          <w:sz w:val="26"/>
          <w:szCs w:val="26"/>
          <w:u w:val="single"/>
        </w:rPr>
      </w:pPr>
      <w:r w:rsidRPr="008B6A8E">
        <w:rPr>
          <w:b/>
          <w:bCs/>
          <w:sz w:val="26"/>
          <w:szCs w:val="26"/>
          <w:u w:val="single"/>
        </w:rPr>
        <w:t xml:space="preserve">Israel’s foreign currency market in </w:t>
      </w:r>
      <w:r w:rsidR="00F90985" w:rsidRPr="008B6A8E">
        <w:rPr>
          <w:b/>
          <w:bCs/>
          <w:sz w:val="26"/>
          <w:szCs w:val="26"/>
          <w:u w:val="single"/>
        </w:rPr>
        <w:t>May</w:t>
      </w:r>
      <w:r w:rsidRPr="008B6A8E">
        <w:rPr>
          <w:b/>
          <w:bCs/>
          <w:sz w:val="26"/>
          <w:szCs w:val="26"/>
          <w:u w:val="single"/>
        </w:rPr>
        <w:t xml:space="preserve"> 2014</w:t>
      </w:r>
    </w:p>
    <w:p w:rsidR="00C7415F" w:rsidRDefault="00C7415F" w:rsidP="00C7415F">
      <w:pPr>
        <w:spacing w:line="300" w:lineRule="exact"/>
        <w:jc w:val="both"/>
        <w:rPr>
          <w:b/>
          <w:bCs/>
        </w:rPr>
      </w:pPr>
    </w:p>
    <w:p w:rsidR="00C7415F" w:rsidRDefault="00C7415F" w:rsidP="00C7415F">
      <w:pPr>
        <w:spacing w:line="300" w:lineRule="exact"/>
        <w:jc w:val="both"/>
        <w:rPr>
          <w:b/>
          <w:bCs/>
        </w:rPr>
      </w:pPr>
    </w:p>
    <w:p w:rsidR="00F90985" w:rsidRDefault="00F90985" w:rsidP="00F90985">
      <w:pPr>
        <w:spacing w:line="300" w:lineRule="exact"/>
        <w:jc w:val="both"/>
        <w:rPr>
          <w:b/>
          <w:bCs/>
        </w:rPr>
      </w:pPr>
      <w:r>
        <w:rPr>
          <w:b/>
          <w:bCs/>
        </w:rPr>
        <w:t>1. The Exchange Rate</w:t>
      </w:r>
    </w:p>
    <w:p w:rsidR="00F90985" w:rsidRDefault="00F90985" w:rsidP="00F90985">
      <w:pPr>
        <w:spacing w:line="300" w:lineRule="exact"/>
        <w:jc w:val="both"/>
        <w:rPr>
          <w:b/>
          <w:bCs/>
        </w:rPr>
      </w:pPr>
      <w:r>
        <w:rPr>
          <w:b/>
          <w:bCs/>
        </w:rPr>
        <w:t>The shekel weakened against the dollar, as the dollar strengthened against global currencies.</w:t>
      </w:r>
    </w:p>
    <w:p w:rsidR="00F90985" w:rsidRDefault="00F90985" w:rsidP="00F90985">
      <w:pPr>
        <w:spacing w:line="300" w:lineRule="exact"/>
        <w:jc w:val="both"/>
        <w:rPr>
          <w:b/>
          <w:bCs/>
        </w:rPr>
      </w:pPr>
    </w:p>
    <w:p w:rsidR="00F90985" w:rsidRDefault="00F90985" w:rsidP="00F90985">
      <w:pPr>
        <w:spacing w:line="300" w:lineRule="exact"/>
        <w:jc w:val="both"/>
      </w:pPr>
      <w:r>
        <w:t xml:space="preserve">In May, the shekel weakened by about 0.3 percent against the dollar, and strengthened by about 1.5 percent against the euro. Against the currencies of Israel's main trading partners, in terms of the nominal effective exchange rate of the shekel (i.e., the trade-weighted </w:t>
      </w:r>
      <w:r w:rsidRPr="00DC2232">
        <w:t>average shekel exchange rate</w:t>
      </w:r>
      <w:r>
        <w:t xml:space="preserve"> against those currencies), the shekel strengthened by about 0.2 percent. </w:t>
      </w:r>
    </w:p>
    <w:p w:rsidR="00F90985" w:rsidRPr="00B963E5" w:rsidRDefault="00F90985" w:rsidP="00F90985">
      <w:pPr>
        <w:spacing w:line="300" w:lineRule="exact"/>
        <w:jc w:val="both"/>
      </w:pPr>
      <w:r>
        <w:t xml:space="preserve">In May, the dollar strengthened against most currencies—including by about 1.8 percent against the Swiss franc, by about 1.8 percent against </w:t>
      </w:r>
      <w:r w:rsidRPr="00B963E5">
        <w:t>the</w:t>
      </w:r>
      <w:r>
        <w:t xml:space="preserve"> euro, by about 0.7 percent against the British pound—while it weakened by about 0.9 percent against the Japanese yen.</w:t>
      </w:r>
    </w:p>
    <w:p w:rsidR="00F90985" w:rsidRDefault="00F90985" w:rsidP="00F90985">
      <w:pPr>
        <w:spacing w:line="300" w:lineRule="exact"/>
        <w:jc w:val="both"/>
        <w:rPr>
          <w:b/>
          <w:bCs/>
        </w:rPr>
      </w:pPr>
    </w:p>
    <w:p w:rsidR="00F90985" w:rsidRDefault="00F90985" w:rsidP="00F90985">
      <w:pPr>
        <w:spacing w:line="300" w:lineRule="exact"/>
        <w:jc w:val="both"/>
        <w:rPr>
          <w:b/>
          <w:bCs/>
        </w:rPr>
      </w:pPr>
    </w:p>
    <w:p w:rsidR="00F90985" w:rsidRDefault="00F90985" w:rsidP="00F90985">
      <w:pPr>
        <w:spacing w:line="300" w:lineRule="exact"/>
        <w:jc w:val="both"/>
        <w:rPr>
          <w:b/>
          <w:bCs/>
        </w:rPr>
      </w:pPr>
      <w:r>
        <w:rPr>
          <w:b/>
          <w:bCs/>
        </w:rPr>
        <w:t>2. Exchange Rate Volatility</w:t>
      </w:r>
    </w:p>
    <w:p w:rsidR="00F90985" w:rsidRDefault="00F90985" w:rsidP="00F90985">
      <w:pPr>
        <w:spacing w:line="300" w:lineRule="exact"/>
        <w:jc w:val="both"/>
        <w:rPr>
          <w:b/>
          <w:bCs/>
        </w:rPr>
      </w:pPr>
      <w:r>
        <w:rPr>
          <w:b/>
          <w:bCs/>
        </w:rPr>
        <w:t xml:space="preserve">Actual volatility of the exchange rate declined along with a decline in the implied volatility of the exchange rate. </w:t>
      </w:r>
    </w:p>
    <w:p w:rsidR="00F90985" w:rsidRDefault="00F90985" w:rsidP="00F90985">
      <w:pPr>
        <w:spacing w:line="300" w:lineRule="exact"/>
        <w:jc w:val="both"/>
        <w:rPr>
          <w:b/>
          <w:bCs/>
        </w:rPr>
      </w:pPr>
    </w:p>
    <w:p w:rsidR="00F90985" w:rsidRDefault="00F90985" w:rsidP="00F90985">
      <w:pPr>
        <w:spacing w:line="300" w:lineRule="exact"/>
        <w:jc w:val="both"/>
      </w:pPr>
      <w:r>
        <w:t xml:space="preserve">The standard deviation of changes </w:t>
      </w:r>
      <w:r w:rsidRPr="00DF2C76">
        <w:t xml:space="preserve">in the </w:t>
      </w:r>
      <w:r w:rsidRPr="00116B89">
        <w:t xml:space="preserve">shekel-dollar exchange </w:t>
      </w:r>
      <w:proofErr w:type="gramStart"/>
      <w:r w:rsidRPr="00116B89">
        <w:t>rate</w:t>
      </w:r>
      <w:proofErr w:type="gramEnd"/>
      <w:r w:rsidRPr="00116B89">
        <w:t>,</w:t>
      </w:r>
      <w:r>
        <w:t xml:space="preserve"> which represents its actual volatility, decreased in May by about 0.8 percentage points to 3.8 percent. </w:t>
      </w:r>
    </w:p>
    <w:p w:rsidR="00F90985" w:rsidRDefault="00F90985" w:rsidP="00F90985">
      <w:pPr>
        <w:spacing w:line="300" w:lineRule="exact"/>
        <w:jc w:val="both"/>
      </w:pPr>
      <w:r>
        <w:t xml:space="preserve">The </w:t>
      </w:r>
      <w:r w:rsidRPr="00F61670">
        <w:rPr>
          <w:u w:val="single"/>
        </w:rPr>
        <w:t>average</w:t>
      </w:r>
      <w:r>
        <w:t xml:space="preserve"> level of implied volatility in over the counter shekel-dollar options––</w:t>
      </w:r>
      <w:r w:rsidRPr="00E15596">
        <w:t>an indication of expected exchange rate volatility––</w:t>
      </w:r>
      <w:r>
        <w:t xml:space="preserve">declined to 6.3 percent at the end of May, compared with 6.7 percent in April. </w:t>
      </w:r>
    </w:p>
    <w:p w:rsidR="00F90985" w:rsidRDefault="00F90985" w:rsidP="00F90985">
      <w:pPr>
        <w:spacing w:line="300" w:lineRule="exact"/>
        <w:jc w:val="both"/>
      </w:pPr>
      <w:r>
        <w:t xml:space="preserve">At the same time, in May, the </w:t>
      </w:r>
      <w:r w:rsidRPr="00E017A8">
        <w:t>implied volatili</w:t>
      </w:r>
      <w:r>
        <w:t>ty</w:t>
      </w:r>
      <w:r w:rsidRPr="00E017A8">
        <w:t xml:space="preserve"> </w:t>
      </w:r>
      <w:r>
        <w:t xml:space="preserve">in </w:t>
      </w:r>
      <w:r w:rsidRPr="00E017A8">
        <w:t xml:space="preserve">foreign exchange options </w:t>
      </w:r>
      <w:r>
        <w:t>in emerging markets also declined, reaching 7.7 percent on average. The implied volatility in foreign exchange options in advanced economies declined as well in May, to 6.2 percent at the end of the month.</w:t>
      </w:r>
    </w:p>
    <w:p w:rsidR="00F90985" w:rsidRDefault="00F90985" w:rsidP="00F90985">
      <w:pPr>
        <w:spacing w:line="300" w:lineRule="exact"/>
        <w:jc w:val="both"/>
      </w:pPr>
    </w:p>
    <w:p w:rsidR="009042BC" w:rsidRDefault="009042BC">
      <w:r>
        <w:br w:type="page"/>
      </w:r>
    </w:p>
    <w:p w:rsidR="00F90985" w:rsidRDefault="00F90985" w:rsidP="00F90985">
      <w:pPr>
        <w:spacing w:line="300" w:lineRule="exact"/>
        <w:jc w:val="both"/>
      </w:pPr>
    </w:p>
    <w:p w:rsidR="009042BC" w:rsidRDefault="009042BC" w:rsidP="00F90985">
      <w:pPr>
        <w:spacing w:line="300" w:lineRule="exact"/>
        <w:jc w:val="both"/>
      </w:pPr>
    </w:p>
    <w:p w:rsidR="00F90985" w:rsidRDefault="00F90985" w:rsidP="00F90985">
      <w:pPr>
        <w:spacing w:line="300" w:lineRule="exact"/>
        <w:jc w:val="both"/>
        <w:rPr>
          <w:b/>
          <w:bCs/>
        </w:rPr>
      </w:pPr>
      <w:r>
        <w:rPr>
          <w:b/>
          <w:bCs/>
        </w:rPr>
        <w:t xml:space="preserve">3. The Volume of Trade in the Foreign Currency Market </w:t>
      </w:r>
    </w:p>
    <w:p w:rsidR="00F90985" w:rsidRDefault="00F90985" w:rsidP="00F90985">
      <w:pPr>
        <w:spacing w:line="300" w:lineRule="exact"/>
        <w:jc w:val="both"/>
        <w:rPr>
          <w:b/>
          <w:bCs/>
        </w:rPr>
      </w:pPr>
      <w:r>
        <w:rPr>
          <w:b/>
          <w:bCs/>
        </w:rPr>
        <w:t>An increase in trading volume of conversion transactions and in nonresidents’ share of total trading volume</w:t>
      </w:r>
    </w:p>
    <w:p w:rsidR="00F90985" w:rsidRDefault="00F90985" w:rsidP="00F90985">
      <w:pPr>
        <w:spacing w:line="300" w:lineRule="exact"/>
        <w:jc w:val="both"/>
        <w:rPr>
          <w:b/>
          <w:bCs/>
        </w:rPr>
      </w:pPr>
    </w:p>
    <w:p w:rsidR="00F90985" w:rsidRDefault="00F90985" w:rsidP="00F90985">
      <w:pPr>
        <w:spacing w:line="300" w:lineRule="exact"/>
        <w:jc w:val="both"/>
      </w:pPr>
      <w:r w:rsidRPr="00B563E8">
        <w:rPr>
          <w:b/>
          <w:bCs/>
        </w:rPr>
        <w:t>The total volume of trade in foreign currency</w:t>
      </w:r>
      <w:r w:rsidRPr="00B563E8">
        <w:t xml:space="preserve"> in </w:t>
      </w:r>
      <w:r>
        <w:t xml:space="preserve">May </w:t>
      </w:r>
      <w:r w:rsidRPr="00B563E8">
        <w:t>was about $</w:t>
      </w:r>
      <w:r>
        <w:t xml:space="preserve">106 </w:t>
      </w:r>
      <w:r w:rsidRPr="00B563E8">
        <w:t>billion</w:t>
      </w:r>
      <w:r>
        <w:t xml:space="preserve">, compared with about $98 billion in April. Average daily trading volume declined by about 3 percent in May, and reached </w:t>
      </w:r>
      <w:r w:rsidRPr="00872640">
        <w:t>about $5.3 billion.</w:t>
      </w:r>
      <w:r>
        <w:t xml:space="preserve"> </w:t>
      </w:r>
    </w:p>
    <w:p w:rsidR="00F90985" w:rsidRDefault="00F90985" w:rsidP="00F90985">
      <w:pPr>
        <w:spacing w:line="300" w:lineRule="exact"/>
        <w:jc w:val="both"/>
      </w:pPr>
    </w:p>
    <w:p w:rsidR="00F90985" w:rsidRDefault="00F90985" w:rsidP="00F90985">
      <w:pPr>
        <w:spacing w:line="300" w:lineRule="exact"/>
        <w:jc w:val="both"/>
      </w:pPr>
      <w:r w:rsidRPr="00954214">
        <w:rPr>
          <w:b/>
          <w:bCs/>
        </w:rPr>
        <w:t xml:space="preserve">The volume of trade in spot and forward </w:t>
      </w:r>
      <w:r w:rsidRPr="00FA5B92">
        <w:rPr>
          <w:b/>
          <w:bCs/>
        </w:rPr>
        <w:t>transactions (conversions)</w:t>
      </w:r>
      <w:r>
        <w:t xml:space="preserve"> was about $32 billion in May, compared with about $28 billion in April.</w:t>
      </w:r>
      <w:r w:rsidRPr="00BB3203">
        <w:t xml:space="preserve"> </w:t>
      </w:r>
      <w:r>
        <w:t>The a</w:t>
      </w:r>
      <w:r w:rsidRPr="00BB3203">
        <w:t xml:space="preserve">verage daily trading volume in those transactions </w:t>
      </w:r>
      <w:r>
        <w:t>increased in May by about 1.7 percent compared with April.</w:t>
      </w:r>
      <w:r w:rsidRPr="00BB3203">
        <w:t xml:space="preserve"> </w:t>
      </w:r>
      <w:r>
        <w:t>During May, the Bank of Israel bought $295 million through conversion transactions</w:t>
      </w:r>
      <w:r>
        <w:rPr>
          <w:rStyle w:val="a9"/>
        </w:rPr>
        <w:footnoteReference w:id="1"/>
      </w:r>
      <w:r>
        <w:t>, as part of the purchase program intended to offset the effect of natural gas production on the exchange rate.</w:t>
      </w:r>
    </w:p>
    <w:p w:rsidR="00F90985" w:rsidRDefault="00F90985" w:rsidP="00F90985">
      <w:pPr>
        <w:spacing w:line="300" w:lineRule="exact"/>
        <w:jc w:val="both"/>
      </w:pPr>
    </w:p>
    <w:p w:rsidR="00F90985" w:rsidRDefault="00F90985" w:rsidP="00F90985">
      <w:pPr>
        <w:spacing w:line="300" w:lineRule="exact"/>
        <w:jc w:val="both"/>
      </w:pPr>
      <w:r w:rsidRPr="00B01AF5">
        <w:rPr>
          <w:b/>
          <w:bCs/>
        </w:rPr>
        <w:t>The volume o</w:t>
      </w:r>
      <w:r w:rsidRPr="00710F15">
        <w:rPr>
          <w:b/>
          <w:bCs/>
        </w:rPr>
        <w:t>f trade in over</w:t>
      </w:r>
      <w:r>
        <w:rPr>
          <w:b/>
          <w:bCs/>
        </w:rPr>
        <w:t xml:space="preserve"> the counter </w:t>
      </w:r>
      <w:r w:rsidRPr="00954214">
        <w:rPr>
          <w:b/>
          <w:bCs/>
        </w:rPr>
        <w:t>foreign currency options</w:t>
      </w:r>
      <w:r>
        <w:t xml:space="preserve"> (which are not traded on the stock exchange) totaled about $8.8 billion in May. The average daily trading volume in those options in May was about $440 million, an increase of about 30 percent from its level in April.</w:t>
      </w:r>
    </w:p>
    <w:p w:rsidR="00F90985" w:rsidRDefault="00F90985" w:rsidP="00F90985">
      <w:pPr>
        <w:spacing w:line="300" w:lineRule="exact"/>
        <w:jc w:val="both"/>
      </w:pPr>
    </w:p>
    <w:p w:rsidR="00F90985" w:rsidRDefault="00F90985" w:rsidP="00F90985">
      <w:pPr>
        <w:spacing w:line="300" w:lineRule="exact"/>
        <w:jc w:val="both"/>
      </w:pPr>
      <w:r>
        <w:rPr>
          <w:b/>
          <w:bCs/>
        </w:rPr>
        <w:t xml:space="preserve">The trading </w:t>
      </w:r>
      <w:r w:rsidRPr="007175A4">
        <w:rPr>
          <w:b/>
          <w:bCs/>
        </w:rPr>
        <w:t>volume of swap transactions</w:t>
      </w:r>
      <w:r>
        <w:t xml:space="preserve"> was about $64 billion in May. Average daily turnover declined from the previous month, to around $3.2 billion.</w:t>
      </w:r>
    </w:p>
    <w:p w:rsidR="00F90985" w:rsidRDefault="00F90985" w:rsidP="00F90985">
      <w:pPr>
        <w:spacing w:line="300" w:lineRule="exact"/>
        <w:jc w:val="both"/>
      </w:pPr>
    </w:p>
    <w:p w:rsidR="00F90985" w:rsidRPr="00256AEA" w:rsidRDefault="00F90985" w:rsidP="00F90985">
      <w:pPr>
        <w:spacing w:line="300" w:lineRule="exact"/>
        <w:jc w:val="both"/>
      </w:pPr>
      <w:r w:rsidRPr="00256AEA">
        <w:rPr>
          <w:b/>
          <w:bCs/>
        </w:rPr>
        <w:t xml:space="preserve">Nonresidents' share of total trade </w:t>
      </w:r>
      <w:r w:rsidRPr="00256AEA">
        <w:t xml:space="preserve">(spot and forward transactions, options and swaps) </w:t>
      </w:r>
      <w:r>
        <w:t xml:space="preserve">increased in May, to about 32 </w:t>
      </w:r>
      <w:r w:rsidRPr="00256AEA">
        <w:t>percent</w:t>
      </w:r>
      <w:r>
        <w:t>, compared with about 27 percent in April.</w:t>
      </w:r>
    </w:p>
    <w:p w:rsidR="00AC2DAB" w:rsidRDefault="00F90985" w:rsidP="00A358BC">
      <w:pPr>
        <w:jc w:val="both"/>
        <w:rPr>
          <w:sz w:val="20"/>
          <w:szCs w:val="20"/>
        </w:rPr>
      </w:pPr>
      <w:r>
        <w:rPr>
          <w:sz w:val="20"/>
          <w:szCs w:val="20"/>
        </w:rPr>
        <w:br w:type="page"/>
      </w:r>
    </w:p>
    <w:p w:rsidR="00CB4EFC" w:rsidRDefault="00CB4EFC" w:rsidP="00E73F42">
      <w:pPr>
        <w:jc w:val="both"/>
        <w:rPr>
          <w:sz w:val="20"/>
          <w:szCs w:val="20"/>
        </w:rPr>
      </w:pPr>
    </w:p>
    <w:p w:rsidR="00CB4EFC" w:rsidRDefault="00CB4EFC" w:rsidP="00E73F42">
      <w:pPr>
        <w:jc w:val="both"/>
        <w:rPr>
          <w:sz w:val="20"/>
          <w:szCs w:val="20"/>
        </w:rPr>
      </w:pPr>
    </w:p>
    <w:p w:rsidR="00AC2DAB" w:rsidRDefault="00BA7BE1" w:rsidP="00E73F42">
      <w:pPr>
        <w:jc w:val="both"/>
        <w:rPr>
          <w:noProof/>
          <w:sz w:val="20"/>
          <w:szCs w:val="20"/>
        </w:rPr>
      </w:pPr>
      <w:bookmarkStart w:id="0" w:name="_GoBack"/>
      <w:r>
        <w:rPr>
          <w:noProof/>
          <w:sz w:val="20"/>
          <w:szCs w:val="20"/>
        </w:rPr>
        <w:drawing>
          <wp:anchor distT="0" distB="0" distL="114300" distR="114300" simplePos="0" relativeHeight="251678720" behindDoc="0" locked="0" layoutInCell="1" allowOverlap="1" wp14:anchorId="045F196B" wp14:editId="4F5EBF97">
            <wp:simplePos x="0" y="0"/>
            <wp:positionH relativeFrom="margin">
              <wp:posOffset>-247015</wp:posOffset>
            </wp:positionH>
            <wp:positionV relativeFrom="margin">
              <wp:posOffset>857250</wp:posOffset>
            </wp:positionV>
            <wp:extent cx="5993765" cy="3657600"/>
            <wp:effectExtent l="38100" t="38100" r="102235" b="9525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93765" cy="3657600"/>
                    </a:xfrm>
                    <a:prstGeom prst="rect">
                      <a:avLst/>
                    </a:prstGeom>
                    <a:noFill/>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bookmarkEnd w:id="0"/>
    </w:p>
    <w:p w:rsidR="00A358BC" w:rsidRDefault="00A358BC" w:rsidP="00E73F42">
      <w:pPr>
        <w:jc w:val="both"/>
        <w:rPr>
          <w:noProof/>
          <w:sz w:val="20"/>
          <w:szCs w:val="20"/>
        </w:rPr>
      </w:pPr>
    </w:p>
    <w:p w:rsidR="00A358BC" w:rsidRDefault="00A358BC" w:rsidP="00E73F42">
      <w:pPr>
        <w:jc w:val="both"/>
        <w:rPr>
          <w:noProof/>
          <w:sz w:val="20"/>
          <w:szCs w:val="20"/>
        </w:rPr>
      </w:pPr>
    </w:p>
    <w:p w:rsidR="00A358BC" w:rsidRDefault="00A358BC" w:rsidP="00E73F42">
      <w:pPr>
        <w:jc w:val="both"/>
        <w:rPr>
          <w:noProof/>
          <w:sz w:val="20"/>
          <w:szCs w:val="20"/>
        </w:rPr>
      </w:pPr>
    </w:p>
    <w:p w:rsidR="00A358BC" w:rsidRDefault="00A358BC" w:rsidP="00E73F42">
      <w:pPr>
        <w:jc w:val="both"/>
        <w:rPr>
          <w:sz w:val="20"/>
          <w:szCs w:val="20"/>
        </w:rPr>
      </w:pPr>
    </w:p>
    <w:p w:rsidR="00E843FD" w:rsidRDefault="00E843FD" w:rsidP="00E73F42">
      <w:pPr>
        <w:jc w:val="both"/>
        <w:rPr>
          <w:sz w:val="20"/>
          <w:szCs w:val="20"/>
        </w:rPr>
      </w:pPr>
    </w:p>
    <w:p w:rsidR="00E843FD" w:rsidRDefault="00E843FD" w:rsidP="00E73F42">
      <w:pPr>
        <w:jc w:val="both"/>
        <w:rPr>
          <w:sz w:val="20"/>
          <w:szCs w:val="20"/>
        </w:rPr>
      </w:pPr>
    </w:p>
    <w:p w:rsidR="002F4295" w:rsidRDefault="00BA7BE1" w:rsidP="0075027F">
      <w:pPr>
        <w:jc w:val="both"/>
        <w:rPr>
          <w:sz w:val="20"/>
          <w:szCs w:val="20"/>
        </w:rPr>
      </w:pPr>
      <w:r>
        <w:rPr>
          <w:noProof/>
          <w:sz w:val="20"/>
          <w:szCs w:val="20"/>
        </w:rPr>
        <w:drawing>
          <wp:anchor distT="0" distB="0" distL="114300" distR="114300" simplePos="0" relativeHeight="251689984" behindDoc="0" locked="0" layoutInCell="1" allowOverlap="1" wp14:anchorId="0079B0AB" wp14:editId="577B3223">
            <wp:simplePos x="0" y="0"/>
            <wp:positionH relativeFrom="margin">
              <wp:posOffset>-247015</wp:posOffset>
            </wp:positionH>
            <wp:positionV relativeFrom="margin">
              <wp:posOffset>5455285</wp:posOffset>
            </wp:positionV>
            <wp:extent cx="5993765" cy="4078605"/>
            <wp:effectExtent l="38100" t="38100" r="102235" b="93345"/>
            <wp:wrapSquare wrapText="bothSides"/>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3765" cy="4078605"/>
                    </a:xfrm>
                    <a:prstGeom prst="rect">
                      <a:avLst/>
                    </a:prstGeom>
                    <a:noFill/>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rsidR="002F4295" w:rsidRDefault="00A2646E" w:rsidP="00E73F42">
      <w:pPr>
        <w:jc w:val="both"/>
        <w:rPr>
          <w:sz w:val="20"/>
          <w:szCs w:val="20"/>
        </w:rPr>
      </w:pPr>
      <w:r>
        <w:rPr>
          <w:noProof/>
          <w:sz w:val="20"/>
          <w:szCs w:val="20"/>
        </w:rPr>
        <w:lastRenderedPageBreak/>
        <w:drawing>
          <wp:anchor distT="0" distB="0" distL="114300" distR="114300" simplePos="0" relativeHeight="251687936" behindDoc="0" locked="0" layoutInCell="1" allowOverlap="1" wp14:anchorId="630B2EEB" wp14:editId="3F13EB67">
            <wp:simplePos x="0" y="0"/>
            <wp:positionH relativeFrom="margin">
              <wp:posOffset>-151765</wp:posOffset>
            </wp:positionH>
            <wp:positionV relativeFrom="margin">
              <wp:posOffset>86995</wp:posOffset>
            </wp:positionV>
            <wp:extent cx="5993765" cy="3657600"/>
            <wp:effectExtent l="38100" t="38100" r="102235" b="95250"/>
            <wp:wrapSquare wrapText="bothSides"/>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93765" cy="3657600"/>
                    </a:xfrm>
                    <a:prstGeom prst="rect">
                      <a:avLst/>
                    </a:prstGeom>
                    <a:noFill/>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rsidR="002F4295" w:rsidRDefault="00A2646E" w:rsidP="00E73F42">
      <w:pPr>
        <w:jc w:val="both"/>
        <w:rPr>
          <w:sz w:val="20"/>
          <w:szCs w:val="20"/>
        </w:rPr>
      </w:pPr>
      <w:r>
        <w:rPr>
          <w:noProof/>
          <w:sz w:val="20"/>
          <w:szCs w:val="20"/>
        </w:rPr>
        <w:drawing>
          <wp:anchor distT="0" distB="0" distL="114300" distR="114300" simplePos="0" relativeHeight="251692032" behindDoc="0" locked="0" layoutInCell="1" allowOverlap="1" wp14:anchorId="7CC08999" wp14:editId="016BA740">
            <wp:simplePos x="0" y="0"/>
            <wp:positionH relativeFrom="margin">
              <wp:posOffset>-161290</wp:posOffset>
            </wp:positionH>
            <wp:positionV relativeFrom="margin">
              <wp:posOffset>4231640</wp:posOffset>
            </wp:positionV>
            <wp:extent cx="6000750" cy="3664585"/>
            <wp:effectExtent l="38100" t="38100" r="95250" b="88265"/>
            <wp:wrapSquare wrapText="bothSides"/>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00750" cy="3664585"/>
                    </a:xfrm>
                    <a:prstGeom prst="rect">
                      <a:avLst/>
                    </a:prstGeom>
                    <a:noFill/>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rsidR="002F4295" w:rsidRDefault="002F4295" w:rsidP="00E73F42">
      <w:pPr>
        <w:jc w:val="both"/>
        <w:rPr>
          <w:sz w:val="20"/>
          <w:szCs w:val="20"/>
        </w:rPr>
      </w:pPr>
    </w:p>
    <w:p w:rsidR="002F4295" w:rsidRDefault="002F4295" w:rsidP="00E73F42">
      <w:pPr>
        <w:jc w:val="both"/>
        <w:rPr>
          <w:sz w:val="20"/>
          <w:szCs w:val="20"/>
        </w:rPr>
      </w:pPr>
    </w:p>
    <w:p w:rsidR="002F4295" w:rsidRPr="00AC2DAB" w:rsidRDefault="002F4295" w:rsidP="00A2646E">
      <w:pPr>
        <w:jc w:val="both"/>
        <w:rPr>
          <w:sz w:val="20"/>
          <w:szCs w:val="20"/>
        </w:rPr>
      </w:pPr>
    </w:p>
    <w:p w:rsidR="00AC2DAB" w:rsidRDefault="00AC2DAB" w:rsidP="00E73F42">
      <w:pPr>
        <w:jc w:val="both"/>
        <w:rPr>
          <w:sz w:val="20"/>
          <w:szCs w:val="20"/>
        </w:rPr>
      </w:pPr>
    </w:p>
    <w:p w:rsidR="00AC2DAB" w:rsidRDefault="00AC2DAB" w:rsidP="00E73F42">
      <w:pPr>
        <w:jc w:val="both"/>
        <w:rPr>
          <w:sz w:val="20"/>
          <w:szCs w:val="20"/>
        </w:rPr>
      </w:pPr>
    </w:p>
    <w:p w:rsidR="00A2646E" w:rsidRDefault="00A2646E" w:rsidP="0024330E">
      <w:pPr>
        <w:jc w:val="both"/>
        <w:rPr>
          <w:sz w:val="20"/>
          <w:szCs w:val="20"/>
        </w:rPr>
      </w:pPr>
    </w:p>
    <w:p w:rsidR="00A2646E" w:rsidRDefault="00A2646E" w:rsidP="0024330E">
      <w:pPr>
        <w:jc w:val="both"/>
        <w:rPr>
          <w:sz w:val="20"/>
          <w:szCs w:val="20"/>
        </w:rPr>
      </w:pPr>
    </w:p>
    <w:p w:rsidR="00A2646E" w:rsidRDefault="00A2646E" w:rsidP="0024330E">
      <w:pPr>
        <w:jc w:val="both"/>
        <w:rPr>
          <w:sz w:val="20"/>
          <w:szCs w:val="20"/>
        </w:rPr>
      </w:pPr>
    </w:p>
    <w:p w:rsidR="00A2646E" w:rsidRDefault="00A2646E" w:rsidP="0024330E">
      <w:pPr>
        <w:jc w:val="both"/>
        <w:rPr>
          <w:sz w:val="20"/>
          <w:szCs w:val="20"/>
        </w:rPr>
      </w:pPr>
    </w:p>
    <w:p w:rsidR="00A2646E" w:rsidRDefault="00A2646E" w:rsidP="0024330E">
      <w:pPr>
        <w:jc w:val="both"/>
        <w:rPr>
          <w:sz w:val="20"/>
          <w:szCs w:val="20"/>
        </w:rPr>
      </w:pPr>
    </w:p>
    <w:p w:rsidR="00A2646E" w:rsidRDefault="00A2646E" w:rsidP="0024330E">
      <w:pPr>
        <w:jc w:val="both"/>
        <w:rPr>
          <w:sz w:val="20"/>
          <w:szCs w:val="20"/>
        </w:rPr>
      </w:pPr>
    </w:p>
    <w:p w:rsidR="00BA7BE1" w:rsidRDefault="00BA7BE1" w:rsidP="00A2646E">
      <w:pPr>
        <w:ind w:left="-709"/>
        <w:jc w:val="both"/>
        <w:rPr>
          <w:sz w:val="20"/>
          <w:szCs w:val="20"/>
        </w:rPr>
      </w:pPr>
    </w:p>
    <w:p w:rsidR="00BA7BE1" w:rsidRDefault="00BA7BE1" w:rsidP="00A2646E">
      <w:pPr>
        <w:ind w:left="-709"/>
        <w:jc w:val="both"/>
        <w:rPr>
          <w:sz w:val="20"/>
          <w:szCs w:val="20"/>
        </w:rPr>
      </w:pPr>
    </w:p>
    <w:p w:rsidR="00BA7BE1" w:rsidRDefault="00BA7BE1" w:rsidP="00A2646E">
      <w:pPr>
        <w:ind w:left="-709"/>
        <w:jc w:val="both"/>
        <w:rPr>
          <w:sz w:val="20"/>
          <w:szCs w:val="20"/>
        </w:rPr>
      </w:pPr>
    </w:p>
    <w:p w:rsidR="00A2646E" w:rsidRDefault="00A2646E" w:rsidP="00A2646E">
      <w:pPr>
        <w:ind w:left="-709"/>
        <w:jc w:val="both"/>
        <w:rPr>
          <w:sz w:val="20"/>
          <w:szCs w:val="20"/>
        </w:rPr>
      </w:pPr>
      <w:r>
        <w:rPr>
          <w:noProof/>
          <w:sz w:val="20"/>
          <w:szCs w:val="20"/>
        </w:rPr>
        <w:drawing>
          <wp:inline distT="0" distB="0" distL="0" distR="0" wp14:anchorId="35A05F22" wp14:editId="646E6E5F">
            <wp:extent cx="6429375" cy="4181475"/>
            <wp:effectExtent l="0" t="0" r="9525" b="9525"/>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06-2014-5555.png"/>
                    <pic:cNvPicPr/>
                  </pic:nvPicPr>
                  <pic:blipFill>
                    <a:blip r:embed="rId14">
                      <a:extLst>
                        <a:ext uri="{28A0092B-C50C-407E-A947-70E740481C1C}">
                          <a14:useLocalDpi xmlns:a14="http://schemas.microsoft.com/office/drawing/2010/main" val="0"/>
                        </a:ext>
                      </a:extLst>
                    </a:blip>
                    <a:stretch>
                      <a:fillRect/>
                    </a:stretch>
                  </pic:blipFill>
                  <pic:spPr>
                    <a:xfrm>
                      <a:off x="0" y="0"/>
                      <a:ext cx="6430922" cy="4182481"/>
                    </a:xfrm>
                    <a:prstGeom prst="rect">
                      <a:avLst/>
                    </a:prstGeom>
                  </pic:spPr>
                </pic:pic>
              </a:graphicData>
            </a:graphic>
          </wp:inline>
        </w:drawing>
      </w:r>
    </w:p>
    <w:p w:rsidR="00A2646E" w:rsidRDefault="00A2646E" w:rsidP="0024330E">
      <w:pPr>
        <w:jc w:val="both"/>
        <w:rPr>
          <w:sz w:val="20"/>
          <w:szCs w:val="20"/>
        </w:rPr>
      </w:pPr>
    </w:p>
    <w:p w:rsidR="00A2646E" w:rsidRDefault="00A2646E" w:rsidP="0024330E">
      <w:pPr>
        <w:jc w:val="both"/>
        <w:rPr>
          <w:sz w:val="20"/>
          <w:szCs w:val="20"/>
        </w:rPr>
      </w:pPr>
    </w:p>
    <w:p w:rsidR="00A2646E" w:rsidRDefault="00A2646E" w:rsidP="0024330E">
      <w:pPr>
        <w:jc w:val="both"/>
        <w:rPr>
          <w:sz w:val="20"/>
          <w:szCs w:val="20"/>
        </w:rPr>
      </w:pPr>
    </w:p>
    <w:p w:rsidR="00A2646E" w:rsidRDefault="00A2646E" w:rsidP="0024330E">
      <w:pPr>
        <w:jc w:val="both"/>
        <w:rPr>
          <w:sz w:val="20"/>
          <w:szCs w:val="20"/>
        </w:rPr>
      </w:pPr>
    </w:p>
    <w:p w:rsidR="0075027F" w:rsidRDefault="0075027F" w:rsidP="0024330E">
      <w:pPr>
        <w:jc w:val="both"/>
        <w:rPr>
          <w:sz w:val="20"/>
          <w:szCs w:val="20"/>
        </w:rPr>
      </w:pPr>
    </w:p>
    <w:p w:rsidR="00A2646E" w:rsidRDefault="00A2646E">
      <w:pPr>
        <w:rPr>
          <w:sz w:val="20"/>
          <w:szCs w:val="20"/>
        </w:rPr>
      </w:pPr>
      <w:r>
        <w:rPr>
          <w:sz w:val="20"/>
          <w:szCs w:val="20"/>
        </w:rPr>
        <w:br w:type="page"/>
      </w:r>
    </w:p>
    <w:p w:rsidR="0075027F" w:rsidRDefault="0075027F" w:rsidP="0024330E">
      <w:pPr>
        <w:jc w:val="both"/>
        <w:rPr>
          <w:sz w:val="20"/>
          <w:szCs w:val="20"/>
        </w:rPr>
      </w:pPr>
    </w:p>
    <w:p w:rsidR="008B6A8E" w:rsidRDefault="008B6A8E" w:rsidP="00535833">
      <w:pPr>
        <w:jc w:val="center"/>
        <w:rPr>
          <w:b/>
          <w:bCs/>
          <w:sz w:val="26"/>
          <w:szCs w:val="26"/>
        </w:rPr>
      </w:pPr>
    </w:p>
    <w:p w:rsidR="00AC2DAB" w:rsidRPr="008B6A8E" w:rsidRDefault="0024330E" w:rsidP="00535833">
      <w:pPr>
        <w:jc w:val="center"/>
        <w:rPr>
          <w:sz w:val="20"/>
          <w:szCs w:val="20"/>
        </w:rPr>
      </w:pPr>
      <w:r w:rsidRPr="008B6A8E">
        <w:rPr>
          <w:b/>
          <w:bCs/>
          <w:sz w:val="26"/>
          <w:szCs w:val="26"/>
          <w:u w:val="single"/>
        </w:rPr>
        <w:t xml:space="preserve">Forex transactions with domestic banks, by instruments and </w:t>
      </w:r>
      <w:r w:rsidR="00535833" w:rsidRPr="008B6A8E">
        <w:rPr>
          <w:b/>
          <w:bCs/>
          <w:sz w:val="26"/>
          <w:szCs w:val="26"/>
          <w:u w:val="single"/>
        </w:rPr>
        <w:t>sectors</w:t>
      </w:r>
      <w:r w:rsidR="00387068">
        <w:rPr>
          <w:b/>
          <w:bCs/>
          <w:sz w:val="26"/>
          <w:szCs w:val="26"/>
        </w:rPr>
        <w:t xml:space="preserve">          </w:t>
      </w:r>
      <w:r w:rsidRPr="00387068">
        <w:rPr>
          <w:b/>
          <w:bCs/>
          <w:sz w:val="26"/>
          <w:szCs w:val="26"/>
        </w:rPr>
        <w:t xml:space="preserve"> </w:t>
      </w:r>
      <w:r w:rsidRPr="008B6A8E">
        <w:rPr>
          <w:sz w:val="20"/>
          <w:szCs w:val="20"/>
        </w:rPr>
        <w:t>($ million)</w:t>
      </w:r>
    </w:p>
    <w:p w:rsidR="00834D4C" w:rsidRDefault="00834D4C" w:rsidP="00535833">
      <w:pPr>
        <w:jc w:val="center"/>
        <w:rPr>
          <w:sz w:val="20"/>
          <w:szCs w:val="20"/>
        </w:rPr>
      </w:pPr>
    </w:p>
    <w:p w:rsidR="00834D4C" w:rsidRDefault="00834D4C" w:rsidP="00535833">
      <w:pPr>
        <w:jc w:val="center"/>
        <w:rPr>
          <w:sz w:val="20"/>
          <w:szCs w:val="20"/>
        </w:rPr>
      </w:pPr>
    </w:p>
    <w:p w:rsidR="00AC2DAB" w:rsidRDefault="00AC2DAB" w:rsidP="00E73F42">
      <w:pPr>
        <w:jc w:val="both"/>
        <w:rPr>
          <w:sz w:val="20"/>
          <w:szCs w:val="20"/>
        </w:rPr>
      </w:pPr>
    </w:p>
    <w:p w:rsidR="00953F98" w:rsidRDefault="00953F98" w:rsidP="00834D4C">
      <w:pPr>
        <w:rPr>
          <w:rFonts w:ascii="Arial" w:hAnsi="Arial" w:cs="David"/>
          <w:sz w:val="22"/>
          <w:szCs w:val="22"/>
        </w:rPr>
        <w:sectPr w:rsidR="00953F98" w:rsidSect="008B6A8E">
          <w:footerReference w:type="default" r:id="rId15"/>
          <w:pgSz w:w="11906" w:h="16838"/>
          <w:pgMar w:top="851" w:right="1797" w:bottom="851" w:left="1797" w:header="709" w:footer="340" w:gutter="0"/>
          <w:cols w:space="708"/>
          <w:docGrid w:linePitch="360"/>
        </w:sectPr>
      </w:pPr>
    </w:p>
    <w:p w:rsidR="00953F98" w:rsidRDefault="00953F98" w:rsidP="00834D4C">
      <w:pPr>
        <w:rPr>
          <w:rFonts w:ascii="Arial" w:hAnsi="Arial" w:cs="David"/>
          <w:sz w:val="22"/>
          <w:szCs w:val="22"/>
        </w:rPr>
        <w:sectPr w:rsidR="00953F98" w:rsidSect="00953F98">
          <w:type w:val="continuous"/>
          <w:pgSz w:w="11906" w:h="16838"/>
          <w:pgMar w:top="1440" w:right="1797" w:bottom="1440" w:left="1797" w:header="709" w:footer="709" w:gutter="0"/>
          <w:cols w:space="708"/>
          <w:titlePg/>
          <w:docGrid w:linePitch="360"/>
        </w:sectPr>
      </w:pPr>
    </w:p>
    <w:tbl>
      <w:tblPr>
        <w:tblpPr w:leftFromText="180" w:rightFromText="180" w:vertAnchor="text" w:tblpXSpec="center" w:tblpY="1"/>
        <w:tblOverlap w:val="never"/>
        <w:tblW w:w="11384" w:type="dxa"/>
        <w:jc w:val="center"/>
        <w:tblLook w:val="04A0" w:firstRow="1" w:lastRow="0" w:firstColumn="1" w:lastColumn="0" w:noHBand="0" w:noVBand="1"/>
      </w:tblPr>
      <w:tblGrid>
        <w:gridCol w:w="1169"/>
        <w:gridCol w:w="4088"/>
        <w:gridCol w:w="1449"/>
        <w:gridCol w:w="886"/>
        <w:gridCol w:w="1121"/>
        <w:gridCol w:w="1052"/>
        <w:gridCol w:w="1619"/>
      </w:tblGrid>
      <w:tr w:rsidR="00834D4C" w:rsidRPr="00387068" w:rsidTr="007C6CAB">
        <w:trPr>
          <w:trHeight w:val="1010"/>
          <w:jc w:val="center"/>
        </w:trPr>
        <w:tc>
          <w:tcPr>
            <w:tcW w:w="116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34D4C" w:rsidRPr="00387068" w:rsidRDefault="00834D4C" w:rsidP="00834D4C">
            <w:pPr>
              <w:rPr>
                <w:sz w:val="22"/>
                <w:szCs w:val="22"/>
              </w:rPr>
            </w:pPr>
            <w:r w:rsidRPr="00387068">
              <w:rPr>
                <w:sz w:val="22"/>
                <w:szCs w:val="22"/>
              </w:rPr>
              <w:t> </w:t>
            </w:r>
          </w:p>
        </w:tc>
        <w:tc>
          <w:tcPr>
            <w:tcW w:w="4088"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834D4C" w:rsidRPr="00387068" w:rsidRDefault="00834D4C" w:rsidP="00834D4C">
            <w:pPr>
              <w:jc w:val="center"/>
              <w:rPr>
                <w:b/>
                <w:bCs/>
                <w:sz w:val="22"/>
                <w:szCs w:val="22"/>
              </w:rPr>
            </w:pPr>
            <w:r w:rsidRPr="00387068">
              <w:rPr>
                <w:b/>
                <w:bCs/>
                <w:sz w:val="22"/>
                <w:szCs w:val="22"/>
              </w:rPr>
              <w:t> </w:t>
            </w:r>
          </w:p>
        </w:tc>
        <w:tc>
          <w:tcPr>
            <w:tcW w:w="1449" w:type="dxa"/>
            <w:tcBorders>
              <w:top w:val="single" w:sz="8" w:space="0" w:color="auto"/>
              <w:left w:val="nil"/>
              <w:bottom w:val="single" w:sz="4" w:space="0" w:color="auto"/>
              <w:right w:val="single" w:sz="4" w:space="0" w:color="auto"/>
            </w:tcBorders>
            <w:shd w:val="clear" w:color="auto" w:fill="auto"/>
            <w:vAlign w:val="bottom"/>
            <w:hideMark/>
          </w:tcPr>
          <w:p w:rsidR="00834D4C" w:rsidRPr="00387068" w:rsidRDefault="00834D4C" w:rsidP="00834D4C">
            <w:pPr>
              <w:jc w:val="center"/>
              <w:rPr>
                <w:b/>
                <w:bCs/>
                <w:sz w:val="22"/>
                <w:szCs w:val="22"/>
              </w:rPr>
            </w:pPr>
            <w:r w:rsidRPr="00387068">
              <w:rPr>
                <w:b/>
                <w:bCs/>
                <w:sz w:val="22"/>
                <w:szCs w:val="22"/>
              </w:rPr>
              <w:t xml:space="preserve"> Conversions (1) </w:t>
            </w:r>
          </w:p>
        </w:tc>
        <w:tc>
          <w:tcPr>
            <w:tcW w:w="886" w:type="dxa"/>
            <w:tcBorders>
              <w:top w:val="single" w:sz="8" w:space="0" w:color="auto"/>
              <w:left w:val="nil"/>
              <w:bottom w:val="single" w:sz="4" w:space="0" w:color="auto"/>
              <w:right w:val="single" w:sz="4" w:space="0" w:color="auto"/>
            </w:tcBorders>
            <w:shd w:val="clear" w:color="auto" w:fill="auto"/>
            <w:vAlign w:val="bottom"/>
            <w:hideMark/>
          </w:tcPr>
          <w:p w:rsidR="00834D4C" w:rsidRPr="00387068" w:rsidRDefault="00834D4C" w:rsidP="00953F98">
            <w:pPr>
              <w:jc w:val="center"/>
              <w:rPr>
                <w:b/>
                <w:bCs/>
                <w:sz w:val="22"/>
                <w:szCs w:val="22"/>
              </w:rPr>
            </w:pPr>
            <w:r w:rsidRPr="00387068">
              <w:rPr>
                <w:b/>
                <w:bCs/>
                <w:sz w:val="22"/>
                <w:szCs w:val="22"/>
              </w:rPr>
              <w:t xml:space="preserve"> Swaps</w:t>
            </w:r>
            <w:r w:rsidR="00953F98" w:rsidRPr="00387068">
              <w:rPr>
                <w:rStyle w:val="a9"/>
                <w:b/>
                <w:bCs/>
                <w:sz w:val="22"/>
                <w:szCs w:val="22"/>
              </w:rPr>
              <w:footnoteReference w:id="2"/>
            </w:r>
            <w:r w:rsidRPr="00387068">
              <w:rPr>
                <w:b/>
                <w:bCs/>
                <w:sz w:val="22"/>
                <w:szCs w:val="22"/>
              </w:rPr>
              <w:t xml:space="preserve"> (2)</w:t>
            </w:r>
          </w:p>
        </w:tc>
        <w:tc>
          <w:tcPr>
            <w:tcW w:w="1121" w:type="dxa"/>
            <w:tcBorders>
              <w:top w:val="single" w:sz="8" w:space="0" w:color="auto"/>
              <w:left w:val="nil"/>
              <w:bottom w:val="single" w:sz="4" w:space="0" w:color="auto"/>
              <w:right w:val="single" w:sz="4" w:space="0" w:color="auto"/>
            </w:tcBorders>
            <w:shd w:val="clear" w:color="auto" w:fill="auto"/>
            <w:vAlign w:val="bottom"/>
            <w:hideMark/>
          </w:tcPr>
          <w:p w:rsidR="00834D4C" w:rsidRPr="00387068" w:rsidRDefault="00834D4C" w:rsidP="00834D4C">
            <w:pPr>
              <w:jc w:val="center"/>
              <w:rPr>
                <w:b/>
                <w:bCs/>
                <w:sz w:val="22"/>
                <w:szCs w:val="22"/>
              </w:rPr>
            </w:pPr>
            <w:r w:rsidRPr="00387068">
              <w:rPr>
                <w:b/>
                <w:bCs/>
                <w:sz w:val="22"/>
                <w:szCs w:val="22"/>
              </w:rPr>
              <w:t xml:space="preserve"> Cross Currency swap</w:t>
            </w:r>
            <w:r w:rsidR="00953F98" w:rsidRPr="00387068">
              <w:rPr>
                <w:rStyle w:val="a9"/>
                <w:b/>
                <w:bCs/>
                <w:sz w:val="22"/>
                <w:szCs w:val="22"/>
              </w:rPr>
              <w:footnoteReference w:id="3"/>
            </w:r>
            <w:r w:rsidRPr="00387068">
              <w:rPr>
                <w:b/>
                <w:bCs/>
                <w:sz w:val="22"/>
                <w:szCs w:val="22"/>
              </w:rPr>
              <w:t xml:space="preserve"> (3)</w:t>
            </w:r>
          </w:p>
        </w:tc>
        <w:tc>
          <w:tcPr>
            <w:tcW w:w="1052" w:type="dxa"/>
            <w:tcBorders>
              <w:top w:val="single" w:sz="8" w:space="0" w:color="auto"/>
              <w:left w:val="nil"/>
              <w:bottom w:val="single" w:sz="4" w:space="0" w:color="auto"/>
              <w:right w:val="single" w:sz="4" w:space="0" w:color="auto"/>
            </w:tcBorders>
            <w:shd w:val="clear" w:color="auto" w:fill="auto"/>
            <w:vAlign w:val="bottom"/>
            <w:hideMark/>
          </w:tcPr>
          <w:p w:rsidR="00834D4C" w:rsidRPr="00387068" w:rsidRDefault="00834D4C" w:rsidP="00834D4C">
            <w:pPr>
              <w:jc w:val="center"/>
              <w:rPr>
                <w:b/>
                <w:bCs/>
                <w:sz w:val="22"/>
                <w:szCs w:val="22"/>
              </w:rPr>
            </w:pPr>
            <w:r w:rsidRPr="00387068">
              <w:rPr>
                <w:b/>
                <w:bCs/>
                <w:sz w:val="22"/>
                <w:szCs w:val="22"/>
              </w:rPr>
              <w:t xml:space="preserve"> Options</w:t>
            </w:r>
            <w:r w:rsidR="00AD241E" w:rsidRPr="00387068">
              <w:rPr>
                <w:rStyle w:val="a9"/>
                <w:b/>
                <w:bCs/>
                <w:sz w:val="22"/>
                <w:szCs w:val="22"/>
              </w:rPr>
              <w:footnoteReference w:id="4"/>
            </w:r>
            <w:r w:rsidRPr="00387068">
              <w:rPr>
                <w:b/>
                <w:bCs/>
                <w:sz w:val="22"/>
                <w:szCs w:val="22"/>
              </w:rPr>
              <w:t xml:space="preserve"> (4)</w:t>
            </w:r>
          </w:p>
        </w:tc>
        <w:tc>
          <w:tcPr>
            <w:tcW w:w="1619" w:type="dxa"/>
            <w:tcBorders>
              <w:top w:val="single" w:sz="8" w:space="0" w:color="auto"/>
              <w:left w:val="nil"/>
              <w:bottom w:val="single" w:sz="4" w:space="0" w:color="auto"/>
              <w:right w:val="single" w:sz="8" w:space="0" w:color="auto"/>
            </w:tcBorders>
            <w:shd w:val="clear" w:color="auto" w:fill="auto"/>
            <w:vAlign w:val="bottom"/>
            <w:hideMark/>
          </w:tcPr>
          <w:p w:rsidR="00834D4C" w:rsidRPr="00387068" w:rsidRDefault="00834D4C" w:rsidP="00834D4C">
            <w:pPr>
              <w:jc w:val="center"/>
              <w:rPr>
                <w:b/>
                <w:bCs/>
                <w:sz w:val="22"/>
                <w:szCs w:val="22"/>
              </w:rPr>
            </w:pPr>
            <w:r w:rsidRPr="00387068">
              <w:rPr>
                <w:b/>
                <w:bCs/>
                <w:sz w:val="22"/>
                <w:szCs w:val="22"/>
              </w:rPr>
              <w:t>Total volume of trade (1)+(2)+(3)+(4)</w:t>
            </w:r>
          </w:p>
        </w:tc>
      </w:tr>
      <w:tr w:rsidR="00E71DE2" w:rsidRPr="00387068" w:rsidTr="007C6CAB">
        <w:trPr>
          <w:trHeight w:val="252"/>
          <w:jc w:val="center"/>
        </w:trPr>
        <w:tc>
          <w:tcPr>
            <w:tcW w:w="1169" w:type="dxa"/>
            <w:vMerge w:val="restart"/>
            <w:tcBorders>
              <w:top w:val="nil"/>
              <w:left w:val="single" w:sz="8" w:space="0" w:color="auto"/>
              <w:bottom w:val="single" w:sz="8" w:space="0" w:color="000000"/>
              <w:right w:val="single" w:sz="4" w:space="0" w:color="auto"/>
            </w:tcBorders>
            <w:shd w:val="clear" w:color="auto" w:fill="auto"/>
            <w:vAlign w:val="center"/>
            <w:hideMark/>
          </w:tcPr>
          <w:p w:rsidR="00E71DE2" w:rsidRPr="00387068" w:rsidRDefault="00E71DE2" w:rsidP="00E12C67">
            <w:pPr>
              <w:jc w:val="center"/>
              <w:rPr>
                <w:b/>
                <w:bCs/>
                <w:sz w:val="22"/>
                <w:szCs w:val="22"/>
              </w:rPr>
            </w:pPr>
            <w:r>
              <w:rPr>
                <w:b/>
                <w:bCs/>
                <w:sz w:val="22"/>
                <w:szCs w:val="22"/>
              </w:rPr>
              <w:t>May</w:t>
            </w:r>
          </w:p>
          <w:p w:rsidR="00E71DE2" w:rsidRPr="00387068" w:rsidRDefault="00E71DE2" w:rsidP="00804434">
            <w:pPr>
              <w:jc w:val="center"/>
              <w:rPr>
                <w:b/>
                <w:bCs/>
                <w:sz w:val="22"/>
                <w:szCs w:val="22"/>
              </w:rPr>
            </w:pPr>
            <w:r w:rsidRPr="00387068">
              <w:rPr>
                <w:b/>
                <w:bCs/>
                <w:sz w:val="22"/>
                <w:szCs w:val="22"/>
              </w:rPr>
              <w:t>201</w:t>
            </w:r>
            <w:r>
              <w:rPr>
                <w:b/>
                <w:bCs/>
                <w:sz w:val="22"/>
                <w:szCs w:val="22"/>
              </w:rPr>
              <w:t>4</w:t>
            </w:r>
          </w:p>
          <w:p w:rsidR="00E71DE2" w:rsidRPr="00387068" w:rsidRDefault="00E71DE2" w:rsidP="00E12C67">
            <w:pPr>
              <w:jc w:val="center"/>
              <w:rPr>
                <w:b/>
                <w:bCs/>
                <w:sz w:val="22"/>
                <w:szCs w:val="22"/>
              </w:rPr>
            </w:pPr>
            <w:r w:rsidRPr="00387068">
              <w:rPr>
                <w:b/>
                <w:bCs/>
                <w:sz w:val="22"/>
                <w:szCs w:val="22"/>
              </w:rPr>
              <w:t xml:space="preserve"> (Not final)</w:t>
            </w:r>
          </w:p>
        </w:tc>
        <w:tc>
          <w:tcPr>
            <w:tcW w:w="4088" w:type="dxa"/>
            <w:tcBorders>
              <w:top w:val="single" w:sz="4" w:space="0" w:color="auto"/>
              <w:left w:val="nil"/>
              <w:bottom w:val="single" w:sz="4" w:space="0" w:color="auto"/>
              <w:right w:val="single" w:sz="4" w:space="0" w:color="auto"/>
            </w:tcBorders>
            <w:shd w:val="clear" w:color="000000" w:fill="D9D9D9"/>
            <w:noWrap/>
            <w:vAlign w:val="bottom"/>
            <w:hideMark/>
          </w:tcPr>
          <w:p w:rsidR="00E71DE2" w:rsidRPr="00387068" w:rsidRDefault="00E71DE2" w:rsidP="00834D4C">
            <w:pPr>
              <w:rPr>
                <w:b/>
                <w:bCs/>
                <w:sz w:val="22"/>
                <w:szCs w:val="22"/>
              </w:rPr>
            </w:pPr>
            <w:r w:rsidRPr="00387068">
              <w:rPr>
                <w:b/>
                <w:bCs/>
                <w:sz w:val="22"/>
                <w:szCs w:val="22"/>
              </w:rPr>
              <w:t>Total</w:t>
            </w:r>
          </w:p>
        </w:tc>
        <w:tc>
          <w:tcPr>
            <w:tcW w:w="1449" w:type="dxa"/>
            <w:tcBorders>
              <w:top w:val="single" w:sz="4" w:space="0" w:color="auto"/>
              <w:left w:val="nil"/>
              <w:bottom w:val="single" w:sz="4" w:space="0" w:color="auto"/>
              <w:right w:val="single" w:sz="4" w:space="0" w:color="auto"/>
            </w:tcBorders>
            <w:shd w:val="clear" w:color="000000" w:fill="D9D9D9"/>
            <w:noWrap/>
            <w:hideMark/>
          </w:tcPr>
          <w:p w:rsidR="00E71DE2" w:rsidRPr="00E71DE2" w:rsidRDefault="00E71DE2" w:rsidP="006951A2">
            <w:pPr>
              <w:rPr>
                <w:b/>
                <w:bCs/>
              </w:rPr>
            </w:pPr>
            <w:r w:rsidRPr="00E71DE2">
              <w:rPr>
                <w:b/>
                <w:bCs/>
              </w:rPr>
              <w:t xml:space="preserve">31,878 </w:t>
            </w:r>
          </w:p>
        </w:tc>
        <w:tc>
          <w:tcPr>
            <w:tcW w:w="886" w:type="dxa"/>
            <w:tcBorders>
              <w:top w:val="single" w:sz="4" w:space="0" w:color="auto"/>
              <w:left w:val="nil"/>
              <w:bottom w:val="single" w:sz="4" w:space="0" w:color="auto"/>
              <w:right w:val="single" w:sz="4" w:space="0" w:color="auto"/>
            </w:tcBorders>
            <w:shd w:val="clear" w:color="000000" w:fill="D9D9D9"/>
            <w:noWrap/>
            <w:hideMark/>
          </w:tcPr>
          <w:p w:rsidR="00E71DE2" w:rsidRPr="00E71DE2" w:rsidRDefault="00E71DE2" w:rsidP="006951A2">
            <w:pPr>
              <w:rPr>
                <w:b/>
                <w:bCs/>
              </w:rPr>
            </w:pPr>
            <w:r w:rsidRPr="00E71DE2">
              <w:rPr>
                <w:b/>
                <w:bCs/>
              </w:rPr>
              <w:t xml:space="preserve">64,332 </w:t>
            </w:r>
          </w:p>
        </w:tc>
        <w:tc>
          <w:tcPr>
            <w:tcW w:w="1121" w:type="dxa"/>
            <w:tcBorders>
              <w:top w:val="single" w:sz="4" w:space="0" w:color="auto"/>
              <w:left w:val="nil"/>
              <w:bottom w:val="single" w:sz="4" w:space="0" w:color="auto"/>
              <w:right w:val="single" w:sz="4" w:space="0" w:color="auto"/>
            </w:tcBorders>
            <w:shd w:val="clear" w:color="000000" w:fill="D9D9D9"/>
            <w:noWrap/>
            <w:hideMark/>
          </w:tcPr>
          <w:p w:rsidR="00E71DE2" w:rsidRPr="00E71DE2" w:rsidRDefault="00E71DE2" w:rsidP="006951A2">
            <w:pPr>
              <w:rPr>
                <w:b/>
                <w:bCs/>
              </w:rPr>
            </w:pPr>
            <w:r w:rsidRPr="00E71DE2">
              <w:rPr>
                <w:b/>
                <w:bCs/>
              </w:rPr>
              <w:t xml:space="preserve">509 </w:t>
            </w:r>
          </w:p>
        </w:tc>
        <w:tc>
          <w:tcPr>
            <w:tcW w:w="1052" w:type="dxa"/>
            <w:tcBorders>
              <w:top w:val="single" w:sz="4" w:space="0" w:color="auto"/>
              <w:left w:val="nil"/>
              <w:bottom w:val="single" w:sz="4" w:space="0" w:color="auto"/>
              <w:right w:val="single" w:sz="4" w:space="0" w:color="auto"/>
            </w:tcBorders>
            <w:shd w:val="clear" w:color="000000" w:fill="D9D9D9"/>
            <w:noWrap/>
            <w:hideMark/>
          </w:tcPr>
          <w:p w:rsidR="00E71DE2" w:rsidRPr="00E71DE2" w:rsidRDefault="00E71DE2" w:rsidP="006951A2">
            <w:pPr>
              <w:rPr>
                <w:b/>
                <w:bCs/>
              </w:rPr>
            </w:pPr>
            <w:r w:rsidRPr="00E71DE2">
              <w:rPr>
                <w:b/>
                <w:bCs/>
              </w:rPr>
              <w:t xml:space="preserve">8,816 </w:t>
            </w:r>
          </w:p>
        </w:tc>
        <w:tc>
          <w:tcPr>
            <w:tcW w:w="1619" w:type="dxa"/>
            <w:tcBorders>
              <w:top w:val="single" w:sz="4" w:space="0" w:color="auto"/>
              <w:left w:val="nil"/>
              <w:bottom w:val="single" w:sz="4" w:space="0" w:color="auto"/>
              <w:right w:val="single" w:sz="8" w:space="0" w:color="auto"/>
            </w:tcBorders>
            <w:shd w:val="clear" w:color="000000" w:fill="D9D9D9"/>
            <w:noWrap/>
            <w:hideMark/>
          </w:tcPr>
          <w:p w:rsidR="00E71DE2" w:rsidRPr="00E71DE2" w:rsidRDefault="00E71DE2" w:rsidP="006951A2">
            <w:pPr>
              <w:rPr>
                <w:b/>
                <w:bCs/>
              </w:rPr>
            </w:pPr>
            <w:r w:rsidRPr="00E71DE2">
              <w:rPr>
                <w:b/>
                <w:bCs/>
              </w:rPr>
              <w:t xml:space="preserve">105,535 </w:t>
            </w:r>
          </w:p>
        </w:tc>
      </w:tr>
      <w:tr w:rsidR="00E71DE2" w:rsidRPr="00387068" w:rsidTr="007C6CAB">
        <w:trPr>
          <w:trHeight w:val="265"/>
          <w:jc w:val="center"/>
        </w:trPr>
        <w:tc>
          <w:tcPr>
            <w:tcW w:w="1169" w:type="dxa"/>
            <w:vMerge/>
            <w:tcBorders>
              <w:top w:val="nil"/>
              <w:left w:val="single" w:sz="8" w:space="0" w:color="auto"/>
              <w:bottom w:val="single" w:sz="8" w:space="0" w:color="000000"/>
              <w:right w:val="single" w:sz="4" w:space="0" w:color="auto"/>
            </w:tcBorders>
            <w:vAlign w:val="center"/>
            <w:hideMark/>
          </w:tcPr>
          <w:p w:rsidR="00E71DE2" w:rsidRPr="00387068" w:rsidRDefault="00E71DE2" w:rsidP="00834D4C">
            <w:pPr>
              <w:rPr>
                <w:b/>
                <w:bCs/>
                <w:sz w:val="22"/>
                <w:szCs w:val="22"/>
              </w:rPr>
            </w:pPr>
          </w:p>
        </w:tc>
        <w:tc>
          <w:tcPr>
            <w:tcW w:w="4088" w:type="dxa"/>
            <w:tcBorders>
              <w:top w:val="nil"/>
              <w:left w:val="nil"/>
              <w:bottom w:val="single" w:sz="4" w:space="0" w:color="auto"/>
              <w:right w:val="single" w:sz="4" w:space="0" w:color="auto"/>
            </w:tcBorders>
            <w:shd w:val="clear" w:color="000000" w:fill="D9D9D9"/>
            <w:noWrap/>
            <w:vAlign w:val="bottom"/>
            <w:hideMark/>
          </w:tcPr>
          <w:p w:rsidR="00E71DE2" w:rsidRPr="00387068" w:rsidRDefault="00E71DE2" w:rsidP="00A358BC">
            <w:pPr>
              <w:rPr>
                <w:b/>
                <w:bCs/>
                <w:sz w:val="22"/>
                <w:szCs w:val="22"/>
              </w:rPr>
            </w:pPr>
            <w:r w:rsidRPr="00387068">
              <w:rPr>
                <w:b/>
                <w:bCs/>
                <w:sz w:val="22"/>
                <w:szCs w:val="22"/>
              </w:rPr>
              <w:t xml:space="preserve"> Daily average (</w:t>
            </w:r>
            <w:r>
              <w:rPr>
                <w:b/>
                <w:bCs/>
                <w:sz w:val="22"/>
                <w:szCs w:val="22"/>
              </w:rPr>
              <w:t>20</w:t>
            </w:r>
            <w:r w:rsidRPr="00387068">
              <w:rPr>
                <w:b/>
                <w:bCs/>
                <w:sz w:val="22"/>
                <w:szCs w:val="22"/>
              </w:rPr>
              <w:t xml:space="preserve"> days)</w:t>
            </w:r>
          </w:p>
        </w:tc>
        <w:tc>
          <w:tcPr>
            <w:tcW w:w="1449" w:type="dxa"/>
            <w:tcBorders>
              <w:top w:val="nil"/>
              <w:left w:val="nil"/>
              <w:bottom w:val="single" w:sz="4" w:space="0" w:color="auto"/>
              <w:right w:val="single" w:sz="4" w:space="0" w:color="auto"/>
            </w:tcBorders>
            <w:shd w:val="clear" w:color="000000" w:fill="D9D9D9"/>
            <w:noWrap/>
            <w:hideMark/>
          </w:tcPr>
          <w:p w:rsidR="00E71DE2" w:rsidRPr="00E71DE2" w:rsidRDefault="00E71DE2" w:rsidP="006951A2">
            <w:pPr>
              <w:rPr>
                <w:b/>
                <w:bCs/>
              </w:rPr>
            </w:pPr>
            <w:r w:rsidRPr="00E71DE2">
              <w:rPr>
                <w:b/>
                <w:bCs/>
              </w:rPr>
              <w:t xml:space="preserve">1,594 </w:t>
            </w:r>
          </w:p>
        </w:tc>
        <w:tc>
          <w:tcPr>
            <w:tcW w:w="886" w:type="dxa"/>
            <w:tcBorders>
              <w:top w:val="nil"/>
              <w:left w:val="nil"/>
              <w:bottom w:val="single" w:sz="4" w:space="0" w:color="auto"/>
              <w:right w:val="single" w:sz="4" w:space="0" w:color="auto"/>
            </w:tcBorders>
            <w:shd w:val="clear" w:color="000000" w:fill="D9D9D9"/>
            <w:noWrap/>
            <w:hideMark/>
          </w:tcPr>
          <w:p w:rsidR="00E71DE2" w:rsidRPr="00E71DE2" w:rsidRDefault="00E71DE2" w:rsidP="006951A2">
            <w:pPr>
              <w:rPr>
                <w:b/>
                <w:bCs/>
              </w:rPr>
            </w:pPr>
            <w:r w:rsidRPr="00E71DE2">
              <w:rPr>
                <w:b/>
                <w:bCs/>
              </w:rPr>
              <w:t xml:space="preserve">3,217 </w:t>
            </w:r>
          </w:p>
        </w:tc>
        <w:tc>
          <w:tcPr>
            <w:tcW w:w="1121" w:type="dxa"/>
            <w:tcBorders>
              <w:top w:val="nil"/>
              <w:left w:val="nil"/>
              <w:bottom w:val="single" w:sz="4" w:space="0" w:color="auto"/>
              <w:right w:val="single" w:sz="4" w:space="0" w:color="auto"/>
            </w:tcBorders>
            <w:shd w:val="clear" w:color="000000" w:fill="D9D9D9"/>
            <w:noWrap/>
            <w:hideMark/>
          </w:tcPr>
          <w:p w:rsidR="00E71DE2" w:rsidRPr="00E71DE2" w:rsidRDefault="00E71DE2" w:rsidP="006951A2">
            <w:pPr>
              <w:rPr>
                <w:b/>
                <w:bCs/>
              </w:rPr>
            </w:pPr>
            <w:r w:rsidRPr="00E71DE2">
              <w:rPr>
                <w:b/>
                <w:bCs/>
              </w:rPr>
              <w:t xml:space="preserve">25 </w:t>
            </w:r>
          </w:p>
        </w:tc>
        <w:tc>
          <w:tcPr>
            <w:tcW w:w="1052" w:type="dxa"/>
            <w:tcBorders>
              <w:top w:val="nil"/>
              <w:left w:val="nil"/>
              <w:bottom w:val="single" w:sz="4" w:space="0" w:color="auto"/>
              <w:right w:val="single" w:sz="4" w:space="0" w:color="auto"/>
            </w:tcBorders>
            <w:shd w:val="clear" w:color="000000" w:fill="D9D9D9"/>
            <w:noWrap/>
            <w:hideMark/>
          </w:tcPr>
          <w:p w:rsidR="00E71DE2" w:rsidRPr="00E71DE2" w:rsidRDefault="00E71DE2" w:rsidP="006951A2">
            <w:pPr>
              <w:rPr>
                <w:b/>
                <w:bCs/>
              </w:rPr>
            </w:pPr>
            <w:r w:rsidRPr="00E71DE2">
              <w:rPr>
                <w:b/>
                <w:bCs/>
              </w:rPr>
              <w:t xml:space="preserve">441 </w:t>
            </w:r>
          </w:p>
        </w:tc>
        <w:tc>
          <w:tcPr>
            <w:tcW w:w="1619" w:type="dxa"/>
            <w:tcBorders>
              <w:top w:val="nil"/>
              <w:left w:val="nil"/>
              <w:bottom w:val="single" w:sz="4" w:space="0" w:color="auto"/>
              <w:right w:val="single" w:sz="8" w:space="0" w:color="auto"/>
            </w:tcBorders>
            <w:shd w:val="clear" w:color="000000" w:fill="D9D9D9"/>
            <w:noWrap/>
            <w:hideMark/>
          </w:tcPr>
          <w:p w:rsidR="00E71DE2" w:rsidRPr="00E71DE2" w:rsidRDefault="00E71DE2" w:rsidP="006951A2">
            <w:pPr>
              <w:rPr>
                <w:b/>
                <w:bCs/>
              </w:rPr>
            </w:pPr>
            <w:r w:rsidRPr="00E71DE2">
              <w:rPr>
                <w:b/>
                <w:bCs/>
              </w:rPr>
              <w:t xml:space="preserve">5,277 </w:t>
            </w:r>
          </w:p>
        </w:tc>
      </w:tr>
      <w:tr w:rsidR="00E71DE2" w:rsidRPr="00387068" w:rsidTr="007C6CAB">
        <w:trPr>
          <w:trHeight w:val="293"/>
          <w:jc w:val="center"/>
        </w:trPr>
        <w:tc>
          <w:tcPr>
            <w:tcW w:w="1169" w:type="dxa"/>
            <w:vMerge/>
            <w:tcBorders>
              <w:top w:val="nil"/>
              <w:left w:val="single" w:sz="8" w:space="0" w:color="auto"/>
              <w:bottom w:val="single" w:sz="8" w:space="0" w:color="000000"/>
              <w:right w:val="single" w:sz="4" w:space="0" w:color="auto"/>
            </w:tcBorders>
            <w:vAlign w:val="center"/>
            <w:hideMark/>
          </w:tcPr>
          <w:p w:rsidR="00E71DE2" w:rsidRPr="00387068" w:rsidRDefault="00E71DE2" w:rsidP="00834D4C">
            <w:pPr>
              <w:rPr>
                <w:b/>
                <w:bCs/>
                <w:sz w:val="22"/>
                <w:szCs w:val="22"/>
              </w:rPr>
            </w:pPr>
          </w:p>
        </w:tc>
        <w:tc>
          <w:tcPr>
            <w:tcW w:w="4088" w:type="dxa"/>
            <w:tcBorders>
              <w:top w:val="nil"/>
              <w:left w:val="nil"/>
              <w:bottom w:val="single" w:sz="4" w:space="0" w:color="auto"/>
              <w:right w:val="single" w:sz="4" w:space="0" w:color="auto"/>
            </w:tcBorders>
            <w:shd w:val="clear" w:color="auto" w:fill="auto"/>
            <w:noWrap/>
            <w:vAlign w:val="bottom"/>
            <w:hideMark/>
          </w:tcPr>
          <w:p w:rsidR="00E71DE2" w:rsidRPr="00387068" w:rsidRDefault="00E71DE2" w:rsidP="00834D4C">
            <w:pPr>
              <w:rPr>
                <w:b/>
                <w:bCs/>
                <w:sz w:val="22"/>
                <w:szCs w:val="22"/>
              </w:rPr>
            </w:pPr>
            <w:r w:rsidRPr="00387068">
              <w:rPr>
                <w:b/>
                <w:bCs/>
                <w:sz w:val="22"/>
                <w:szCs w:val="22"/>
              </w:rPr>
              <w:t>Nonresidents</w:t>
            </w:r>
          </w:p>
        </w:tc>
        <w:tc>
          <w:tcPr>
            <w:tcW w:w="1449" w:type="dxa"/>
            <w:tcBorders>
              <w:top w:val="nil"/>
              <w:left w:val="nil"/>
              <w:bottom w:val="single" w:sz="4" w:space="0" w:color="auto"/>
              <w:right w:val="single" w:sz="4" w:space="0" w:color="auto"/>
            </w:tcBorders>
            <w:shd w:val="clear" w:color="auto" w:fill="auto"/>
            <w:noWrap/>
            <w:hideMark/>
          </w:tcPr>
          <w:p w:rsidR="00E71DE2" w:rsidRPr="00F579C9" w:rsidRDefault="00E71DE2" w:rsidP="006951A2">
            <w:r w:rsidRPr="00F579C9">
              <w:t xml:space="preserve">12,359 </w:t>
            </w:r>
          </w:p>
        </w:tc>
        <w:tc>
          <w:tcPr>
            <w:tcW w:w="886" w:type="dxa"/>
            <w:tcBorders>
              <w:top w:val="nil"/>
              <w:left w:val="nil"/>
              <w:bottom w:val="single" w:sz="4" w:space="0" w:color="auto"/>
              <w:right w:val="single" w:sz="4" w:space="0" w:color="auto"/>
            </w:tcBorders>
            <w:shd w:val="clear" w:color="auto" w:fill="auto"/>
            <w:noWrap/>
            <w:hideMark/>
          </w:tcPr>
          <w:p w:rsidR="00E71DE2" w:rsidRPr="00F579C9" w:rsidRDefault="00E71DE2" w:rsidP="006951A2">
            <w:r w:rsidRPr="00F579C9">
              <w:t xml:space="preserve">18,220 </w:t>
            </w:r>
          </w:p>
        </w:tc>
        <w:tc>
          <w:tcPr>
            <w:tcW w:w="1121" w:type="dxa"/>
            <w:tcBorders>
              <w:top w:val="nil"/>
              <w:left w:val="nil"/>
              <w:bottom w:val="single" w:sz="4" w:space="0" w:color="auto"/>
              <w:right w:val="single" w:sz="4" w:space="0" w:color="auto"/>
            </w:tcBorders>
            <w:shd w:val="clear" w:color="auto" w:fill="auto"/>
            <w:noWrap/>
            <w:hideMark/>
          </w:tcPr>
          <w:p w:rsidR="00E71DE2" w:rsidRPr="00F579C9" w:rsidRDefault="00E71DE2" w:rsidP="006951A2">
            <w:r w:rsidRPr="00F579C9">
              <w:t xml:space="preserve">0 </w:t>
            </w:r>
          </w:p>
        </w:tc>
        <w:tc>
          <w:tcPr>
            <w:tcW w:w="1052" w:type="dxa"/>
            <w:tcBorders>
              <w:top w:val="nil"/>
              <w:left w:val="nil"/>
              <w:bottom w:val="single" w:sz="4" w:space="0" w:color="auto"/>
              <w:right w:val="single" w:sz="4" w:space="0" w:color="auto"/>
            </w:tcBorders>
            <w:shd w:val="clear" w:color="auto" w:fill="auto"/>
            <w:noWrap/>
            <w:hideMark/>
          </w:tcPr>
          <w:p w:rsidR="00E71DE2" w:rsidRPr="00F579C9" w:rsidRDefault="00E71DE2" w:rsidP="006951A2">
            <w:r w:rsidRPr="00F579C9">
              <w:t xml:space="preserve">2,962 </w:t>
            </w:r>
          </w:p>
        </w:tc>
        <w:tc>
          <w:tcPr>
            <w:tcW w:w="1619" w:type="dxa"/>
            <w:tcBorders>
              <w:top w:val="nil"/>
              <w:left w:val="nil"/>
              <w:bottom w:val="single" w:sz="4" w:space="0" w:color="auto"/>
              <w:right w:val="single" w:sz="8" w:space="0" w:color="auto"/>
            </w:tcBorders>
            <w:shd w:val="clear" w:color="auto" w:fill="auto"/>
            <w:noWrap/>
            <w:hideMark/>
          </w:tcPr>
          <w:p w:rsidR="00E71DE2" w:rsidRPr="00F579C9" w:rsidRDefault="00E71DE2" w:rsidP="006951A2">
            <w:r w:rsidRPr="00F579C9">
              <w:t xml:space="preserve">33,541 </w:t>
            </w:r>
          </w:p>
        </w:tc>
      </w:tr>
      <w:tr w:rsidR="00E71DE2" w:rsidRPr="00387068" w:rsidTr="007C6CAB">
        <w:trPr>
          <w:trHeight w:val="293"/>
          <w:jc w:val="center"/>
        </w:trPr>
        <w:tc>
          <w:tcPr>
            <w:tcW w:w="1169" w:type="dxa"/>
            <w:vMerge/>
            <w:tcBorders>
              <w:top w:val="nil"/>
              <w:left w:val="single" w:sz="8" w:space="0" w:color="auto"/>
              <w:bottom w:val="single" w:sz="8" w:space="0" w:color="000000"/>
              <w:right w:val="single" w:sz="4" w:space="0" w:color="auto"/>
            </w:tcBorders>
            <w:vAlign w:val="center"/>
            <w:hideMark/>
          </w:tcPr>
          <w:p w:rsidR="00E71DE2" w:rsidRPr="00387068" w:rsidRDefault="00E71DE2" w:rsidP="00834D4C">
            <w:pPr>
              <w:rPr>
                <w:b/>
                <w:bCs/>
                <w:sz w:val="22"/>
                <w:szCs w:val="22"/>
              </w:rPr>
            </w:pPr>
          </w:p>
        </w:tc>
        <w:tc>
          <w:tcPr>
            <w:tcW w:w="4088" w:type="dxa"/>
            <w:tcBorders>
              <w:top w:val="nil"/>
              <w:left w:val="nil"/>
              <w:bottom w:val="single" w:sz="4" w:space="0" w:color="auto"/>
              <w:right w:val="single" w:sz="4" w:space="0" w:color="auto"/>
            </w:tcBorders>
            <w:shd w:val="clear" w:color="auto" w:fill="auto"/>
            <w:noWrap/>
            <w:vAlign w:val="bottom"/>
            <w:hideMark/>
          </w:tcPr>
          <w:p w:rsidR="00E71DE2" w:rsidRPr="00387068" w:rsidRDefault="00E71DE2" w:rsidP="00834D4C">
            <w:pPr>
              <w:rPr>
                <w:b/>
                <w:bCs/>
                <w:sz w:val="22"/>
                <w:szCs w:val="22"/>
              </w:rPr>
            </w:pPr>
            <w:r w:rsidRPr="00387068">
              <w:rPr>
                <w:b/>
                <w:bCs/>
                <w:sz w:val="22"/>
                <w:szCs w:val="22"/>
              </w:rPr>
              <w:t xml:space="preserve"> of which </w:t>
            </w:r>
            <w:r w:rsidRPr="00387068">
              <w:rPr>
                <w:sz w:val="22"/>
                <w:szCs w:val="22"/>
              </w:rPr>
              <w:t>Foreign financial institutions</w:t>
            </w:r>
          </w:p>
        </w:tc>
        <w:tc>
          <w:tcPr>
            <w:tcW w:w="1449" w:type="dxa"/>
            <w:tcBorders>
              <w:top w:val="nil"/>
              <w:left w:val="nil"/>
              <w:bottom w:val="single" w:sz="4" w:space="0" w:color="auto"/>
              <w:right w:val="single" w:sz="4" w:space="0" w:color="auto"/>
            </w:tcBorders>
            <w:shd w:val="clear" w:color="auto" w:fill="auto"/>
            <w:noWrap/>
            <w:hideMark/>
          </w:tcPr>
          <w:p w:rsidR="00E71DE2" w:rsidRPr="00F579C9" w:rsidRDefault="00E71DE2" w:rsidP="006951A2">
            <w:r w:rsidRPr="00F579C9">
              <w:t xml:space="preserve">11,758 </w:t>
            </w:r>
          </w:p>
        </w:tc>
        <w:tc>
          <w:tcPr>
            <w:tcW w:w="886" w:type="dxa"/>
            <w:tcBorders>
              <w:top w:val="nil"/>
              <w:left w:val="nil"/>
              <w:bottom w:val="single" w:sz="4" w:space="0" w:color="auto"/>
              <w:right w:val="single" w:sz="4" w:space="0" w:color="auto"/>
            </w:tcBorders>
            <w:shd w:val="clear" w:color="auto" w:fill="auto"/>
            <w:noWrap/>
            <w:hideMark/>
          </w:tcPr>
          <w:p w:rsidR="00E71DE2" w:rsidRPr="00F579C9" w:rsidRDefault="00E71DE2" w:rsidP="006951A2">
            <w:r w:rsidRPr="00F579C9">
              <w:t xml:space="preserve">18,191 </w:t>
            </w:r>
          </w:p>
        </w:tc>
        <w:tc>
          <w:tcPr>
            <w:tcW w:w="1121" w:type="dxa"/>
            <w:tcBorders>
              <w:top w:val="nil"/>
              <w:left w:val="nil"/>
              <w:bottom w:val="single" w:sz="4" w:space="0" w:color="auto"/>
              <w:right w:val="single" w:sz="4" w:space="0" w:color="auto"/>
            </w:tcBorders>
            <w:shd w:val="clear" w:color="auto" w:fill="auto"/>
            <w:noWrap/>
            <w:hideMark/>
          </w:tcPr>
          <w:p w:rsidR="00E71DE2" w:rsidRPr="00F579C9" w:rsidRDefault="00E71DE2" w:rsidP="006951A2">
            <w:r w:rsidRPr="00F579C9">
              <w:t xml:space="preserve">0 </w:t>
            </w:r>
          </w:p>
        </w:tc>
        <w:tc>
          <w:tcPr>
            <w:tcW w:w="1052" w:type="dxa"/>
            <w:tcBorders>
              <w:top w:val="nil"/>
              <w:left w:val="nil"/>
              <w:bottom w:val="single" w:sz="4" w:space="0" w:color="auto"/>
              <w:right w:val="single" w:sz="4" w:space="0" w:color="auto"/>
            </w:tcBorders>
            <w:shd w:val="clear" w:color="auto" w:fill="auto"/>
            <w:noWrap/>
            <w:hideMark/>
          </w:tcPr>
          <w:p w:rsidR="00E71DE2" w:rsidRPr="00F579C9" w:rsidRDefault="00E71DE2" w:rsidP="006951A2">
            <w:r w:rsidRPr="00F579C9">
              <w:t xml:space="preserve">2,840 </w:t>
            </w:r>
          </w:p>
        </w:tc>
        <w:tc>
          <w:tcPr>
            <w:tcW w:w="1619" w:type="dxa"/>
            <w:tcBorders>
              <w:top w:val="nil"/>
              <w:left w:val="nil"/>
              <w:bottom w:val="single" w:sz="4" w:space="0" w:color="auto"/>
              <w:right w:val="single" w:sz="8" w:space="0" w:color="auto"/>
            </w:tcBorders>
            <w:shd w:val="clear" w:color="auto" w:fill="auto"/>
            <w:noWrap/>
            <w:hideMark/>
          </w:tcPr>
          <w:p w:rsidR="00E71DE2" w:rsidRPr="00F579C9" w:rsidRDefault="00E71DE2" w:rsidP="006951A2">
            <w:r w:rsidRPr="00F579C9">
              <w:t xml:space="preserve">32,789 </w:t>
            </w:r>
          </w:p>
        </w:tc>
      </w:tr>
      <w:tr w:rsidR="00E71DE2" w:rsidRPr="00387068" w:rsidTr="007C6CAB">
        <w:trPr>
          <w:trHeight w:val="293"/>
          <w:jc w:val="center"/>
        </w:trPr>
        <w:tc>
          <w:tcPr>
            <w:tcW w:w="1169" w:type="dxa"/>
            <w:vMerge/>
            <w:tcBorders>
              <w:top w:val="nil"/>
              <w:left w:val="single" w:sz="8" w:space="0" w:color="auto"/>
              <w:bottom w:val="single" w:sz="8" w:space="0" w:color="000000"/>
              <w:right w:val="single" w:sz="4" w:space="0" w:color="auto"/>
            </w:tcBorders>
            <w:vAlign w:val="center"/>
            <w:hideMark/>
          </w:tcPr>
          <w:p w:rsidR="00E71DE2" w:rsidRPr="00387068" w:rsidRDefault="00E71DE2" w:rsidP="00834D4C">
            <w:pPr>
              <w:rPr>
                <w:b/>
                <w:bCs/>
                <w:sz w:val="22"/>
                <w:szCs w:val="22"/>
              </w:rPr>
            </w:pPr>
          </w:p>
        </w:tc>
        <w:tc>
          <w:tcPr>
            <w:tcW w:w="4088" w:type="dxa"/>
            <w:tcBorders>
              <w:top w:val="nil"/>
              <w:left w:val="nil"/>
              <w:bottom w:val="single" w:sz="4" w:space="0" w:color="auto"/>
              <w:right w:val="single" w:sz="4" w:space="0" w:color="auto"/>
            </w:tcBorders>
            <w:shd w:val="clear" w:color="auto" w:fill="auto"/>
            <w:noWrap/>
            <w:vAlign w:val="bottom"/>
            <w:hideMark/>
          </w:tcPr>
          <w:p w:rsidR="00E71DE2" w:rsidRPr="00387068" w:rsidRDefault="00E71DE2" w:rsidP="00834D4C">
            <w:pPr>
              <w:rPr>
                <w:b/>
                <w:bCs/>
                <w:sz w:val="22"/>
                <w:szCs w:val="22"/>
              </w:rPr>
            </w:pPr>
            <w:r w:rsidRPr="00387068">
              <w:rPr>
                <w:b/>
                <w:bCs/>
                <w:sz w:val="22"/>
                <w:szCs w:val="22"/>
              </w:rPr>
              <w:t>Residents</w:t>
            </w:r>
          </w:p>
        </w:tc>
        <w:tc>
          <w:tcPr>
            <w:tcW w:w="1449" w:type="dxa"/>
            <w:tcBorders>
              <w:top w:val="nil"/>
              <w:left w:val="nil"/>
              <w:bottom w:val="single" w:sz="4" w:space="0" w:color="auto"/>
              <w:right w:val="single" w:sz="4" w:space="0" w:color="auto"/>
            </w:tcBorders>
            <w:shd w:val="clear" w:color="auto" w:fill="auto"/>
            <w:noWrap/>
            <w:hideMark/>
          </w:tcPr>
          <w:p w:rsidR="00E71DE2" w:rsidRPr="00F579C9" w:rsidRDefault="00E71DE2" w:rsidP="006951A2">
            <w:r w:rsidRPr="00F579C9">
              <w:t xml:space="preserve">19,519 </w:t>
            </w:r>
          </w:p>
        </w:tc>
        <w:tc>
          <w:tcPr>
            <w:tcW w:w="886" w:type="dxa"/>
            <w:tcBorders>
              <w:top w:val="nil"/>
              <w:left w:val="nil"/>
              <w:bottom w:val="single" w:sz="4" w:space="0" w:color="auto"/>
              <w:right w:val="single" w:sz="4" w:space="0" w:color="auto"/>
            </w:tcBorders>
            <w:shd w:val="clear" w:color="auto" w:fill="auto"/>
            <w:noWrap/>
            <w:hideMark/>
          </w:tcPr>
          <w:p w:rsidR="00E71DE2" w:rsidRPr="00F579C9" w:rsidRDefault="00E71DE2" w:rsidP="006951A2">
            <w:r w:rsidRPr="00F579C9">
              <w:t xml:space="preserve">46,112 </w:t>
            </w:r>
          </w:p>
        </w:tc>
        <w:tc>
          <w:tcPr>
            <w:tcW w:w="1121" w:type="dxa"/>
            <w:tcBorders>
              <w:top w:val="nil"/>
              <w:left w:val="nil"/>
              <w:bottom w:val="single" w:sz="4" w:space="0" w:color="auto"/>
              <w:right w:val="single" w:sz="4" w:space="0" w:color="auto"/>
            </w:tcBorders>
            <w:shd w:val="clear" w:color="auto" w:fill="auto"/>
            <w:noWrap/>
            <w:hideMark/>
          </w:tcPr>
          <w:p w:rsidR="00E71DE2" w:rsidRPr="00F579C9" w:rsidRDefault="00E71DE2" w:rsidP="006951A2">
            <w:r w:rsidRPr="00F579C9">
              <w:t xml:space="preserve">509 </w:t>
            </w:r>
          </w:p>
        </w:tc>
        <w:tc>
          <w:tcPr>
            <w:tcW w:w="1052" w:type="dxa"/>
            <w:tcBorders>
              <w:top w:val="nil"/>
              <w:left w:val="nil"/>
              <w:bottom w:val="single" w:sz="4" w:space="0" w:color="auto"/>
              <w:right w:val="single" w:sz="4" w:space="0" w:color="auto"/>
            </w:tcBorders>
            <w:shd w:val="clear" w:color="auto" w:fill="auto"/>
            <w:noWrap/>
            <w:hideMark/>
          </w:tcPr>
          <w:p w:rsidR="00E71DE2" w:rsidRPr="00F579C9" w:rsidRDefault="00E71DE2" w:rsidP="006951A2">
            <w:r w:rsidRPr="00F579C9">
              <w:t xml:space="preserve">5,854 </w:t>
            </w:r>
          </w:p>
        </w:tc>
        <w:tc>
          <w:tcPr>
            <w:tcW w:w="1619" w:type="dxa"/>
            <w:tcBorders>
              <w:top w:val="nil"/>
              <w:left w:val="nil"/>
              <w:bottom w:val="single" w:sz="4" w:space="0" w:color="auto"/>
              <w:right w:val="single" w:sz="8" w:space="0" w:color="auto"/>
            </w:tcBorders>
            <w:shd w:val="clear" w:color="auto" w:fill="auto"/>
            <w:noWrap/>
            <w:hideMark/>
          </w:tcPr>
          <w:p w:rsidR="00E71DE2" w:rsidRPr="00F579C9" w:rsidRDefault="00E71DE2" w:rsidP="006951A2">
            <w:r w:rsidRPr="00F579C9">
              <w:t xml:space="preserve">71,994 </w:t>
            </w:r>
          </w:p>
        </w:tc>
      </w:tr>
      <w:tr w:rsidR="00E71DE2" w:rsidRPr="00387068" w:rsidTr="007C6CAB">
        <w:trPr>
          <w:trHeight w:val="293"/>
          <w:jc w:val="center"/>
        </w:trPr>
        <w:tc>
          <w:tcPr>
            <w:tcW w:w="1169" w:type="dxa"/>
            <w:vMerge/>
            <w:tcBorders>
              <w:top w:val="nil"/>
              <w:left w:val="single" w:sz="8" w:space="0" w:color="auto"/>
              <w:bottom w:val="single" w:sz="8" w:space="0" w:color="000000"/>
              <w:right w:val="single" w:sz="4" w:space="0" w:color="auto"/>
            </w:tcBorders>
            <w:vAlign w:val="center"/>
            <w:hideMark/>
          </w:tcPr>
          <w:p w:rsidR="00E71DE2" w:rsidRPr="00387068" w:rsidRDefault="00E71DE2" w:rsidP="00834D4C">
            <w:pPr>
              <w:rPr>
                <w:b/>
                <w:bCs/>
                <w:sz w:val="22"/>
                <w:szCs w:val="22"/>
              </w:rPr>
            </w:pPr>
          </w:p>
        </w:tc>
        <w:tc>
          <w:tcPr>
            <w:tcW w:w="4088" w:type="dxa"/>
            <w:tcBorders>
              <w:top w:val="nil"/>
              <w:left w:val="nil"/>
              <w:bottom w:val="single" w:sz="4" w:space="0" w:color="auto"/>
              <w:right w:val="single" w:sz="4" w:space="0" w:color="auto"/>
            </w:tcBorders>
            <w:shd w:val="clear" w:color="auto" w:fill="auto"/>
            <w:noWrap/>
            <w:vAlign w:val="bottom"/>
            <w:hideMark/>
          </w:tcPr>
          <w:p w:rsidR="00E71DE2" w:rsidRPr="00387068" w:rsidRDefault="00E71DE2" w:rsidP="00834D4C">
            <w:pPr>
              <w:rPr>
                <w:b/>
                <w:bCs/>
                <w:sz w:val="22"/>
                <w:szCs w:val="22"/>
              </w:rPr>
            </w:pPr>
            <w:r w:rsidRPr="00387068">
              <w:rPr>
                <w:b/>
                <w:bCs/>
                <w:sz w:val="22"/>
                <w:szCs w:val="22"/>
              </w:rPr>
              <w:t xml:space="preserve"> of which</w:t>
            </w:r>
            <w:r w:rsidRPr="00387068">
              <w:rPr>
                <w:sz w:val="22"/>
                <w:szCs w:val="22"/>
              </w:rPr>
              <w:t xml:space="preserve"> Real sector</w:t>
            </w:r>
          </w:p>
        </w:tc>
        <w:tc>
          <w:tcPr>
            <w:tcW w:w="1449" w:type="dxa"/>
            <w:tcBorders>
              <w:top w:val="nil"/>
              <w:left w:val="nil"/>
              <w:bottom w:val="single" w:sz="4" w:space="0" w:color="auto"/>
              <w:right w:val="single" w:sz="4" w:space="0" w:color="auto"/>
            </w:tcBorders>
            <w:shd w:val="clear" w:color="auto" w:fill="auto"/>
            <w:noWrap/>
            <w:hideMark/>
          </w:tcPr>
          <w:p w:rsidR="00E71DE2" w:rsidRPr="00F579C9" w:rsidRDefault="00E71DE2" w:rsidP="006951A2">
            <w:r w:rsidRPr="00F579C9">
              <w:t xml:space="preserve">6,347 </w:t>
            </w:r>
          </w:p>
        </w:tc>
        <w:tc>
          <w:tcPr>
            <w:tcW w:w="886" w:type="dxa"/>
            <w:tcBorders>
              <w:top w:val="nil"/>
              <w:left w:val="nil"/>
              <w:bottom w:val="single" w:sz="4" w:space="0" w:color="auto"/>
              <w:right w:val="single" w:sz="4" w:space="0" w:color="auto"/>
            </w:tcBorders>
            <w:shd w:val="clear" w:color="auto" w:fill="auto"/>
            <w:noWrap/>
            <w:hideMark/>
          </w:tcPr>
          <w:p w:rsidR="00E71DE2" w:rsidRPr="00F579C9" w:rsidRDefault="00E71DE2" w:rsidP="006951A2">
            <w:r w:rsidRPr="00F579C9">
              <w:t xml:space="preserve">5,427 </w:t>
            </w:r>
          </w:p>
        </w:tc>
        <w:tc>
          <w:tcPr>
            <w:tcW w:w="1121" w:type="dxa"/>
            <w:tcBorders>
              <w:top w:val="nil"/>
              <w:left w:val="nil"/>
              <w:bottom w:val="single" w:sz="4" w:space="0" w:color="auto"/>
              <w:right w:val="single" w:sz="4" w:space="0" w:color="auto"/>
            </w:tcBorders>
            <w:shd w:val="clear" w:color="auto" w:fill="auto"/>
            <w:noWrap/>
            <w:hideMark/>
          </w:tcPr>
          <w:p w:rsidR="00E71DE2" w:rsidRPr="00F579C9" w:rsidRDefault="00E71DE2" w:rsidP="006951A2">
            <w:r w:rsidRPr="00F579C9">
              <w:t xml:space="preserve">59 </w:t>
            </w:r>
          </w:p>
        </w:tc>
        <w:tc>
          <w:tcPr>
            <w:tcW w:w="1052" w:type="dxa"/>
            <w:tcBorders>
              <w:top w:val="nil"/>
              <w:left w:val="nil"/>
              <w:bottom w:val="single" w:sz="4" w:space="0" w:color="auto"/>
              <w:right w:val="single" w:sz="4" w:space="0" w:color="auto"/>
            </w:tcBorders>
            <w:shd w:val="clear" w:color="auto" w:fill="auto"/>
            <w:noWrap/>
            <w:hideMark/>
          </w:tcPr>
          <w:p w:rsidR="00E71DE2" w:rsidRPr="00F579C9" w:rsidRDefault="00E71DE2" w:rsidP="006951A2">
            <w:r w:rsidRPr="00F579C9">
              <w:t xml:space="preserve">2,221 </w:t>
            </w:r>
          </w:p>
        </w:tc>
        <w:tc>
          <w:tcPr>
            <w:tcW w:w="1619" w:type="dxa"/>
            <w:tcBorders>
              <w:top w:val="nil"/>
              <w:left w:val="nil"/>
              <w:bottom w:val="single" w:sz="4" w:space="0" w:color="auto"/>
              <w:right w:val="single" w:sz="8" w:space="0" w:color="auto"/>
            </w:tcBorders>
            <w:shd w:val="clear" w:color="auto" w:fill="auto"/>
            <w:noWrap/>
            <w:hideMark/>
          </w:tcPr>
          <w:p w:rsidR="00E71DE2" w:rsidRPr="00F579C9" w:rsidRDefault="00E71DE2" w:rsidP="006951A2">
            <w:r w:rsidRPr="00F579C9">
              <w:t xml:space="preserve">14,054 </w:t>
            </w:r>
          </w:p>
        </w:tc>
      </w:tr>
      <w:tr w:rsidR="00E71DE2" w:rsidRPr="00387068" w:rsidTr="007C6CAB">
        <w:trPr>
          <w:trHeight w:val="293"/>
          <w:jc w:val="center"/>
        </w:trPr>
        <w:tc>
          <w:tcPr>
            <w:tcW w:w="1169" w:type="dxa"/>
            <w:vMerge/>
            <w:tcBorders>
              <w:top w:val="nil"/>
              <w:left w:val="single" w:sz="8" w:space="0" w:color="auto"/>
              <w:bottom w:val="single" w:sz="8" w:space="0" w:color="000000"/>
              <w:right w:val="single" w:sz="4" w:space="0" w:color="auto"/>
            </w:tcBorders>
            <w:vAlign w:val="center"/>
            <w:hideMark/>
          </w:tcPr>
          <w:p w:rsidR="00E71DE2" w:rsidRPr="00387068" w:rsidRDefault="00E71DE2" w:rsidP="00834D4C">
            <w:pPr>
              <w:rPr>
                <w:b/>
                <w:bCs/>
                <w:sz w:val="22"/>
                <w:szCs w:val="22"/>
              </w:rPr>
            </w:pPr>
          </w:p>
        </w:tc>
        <w:tc>
          <w:tcPr>
            <w:tcW w:w="4088" w:type="dxa"/>
            <w:tcBorders>
              <w:top w:val="nil"/>
              <w:left w:val="nil"/>
              <w:bottom w:val="single" w:sz="4" w:space="0" w:color="auto"/>
              <w:right w:val="single" w:sz="4" w:space="0" w:color="auto"/>
            </w:tcBorders>
            <w:shd w:val="clear" w:color="auto" w:fill="auto"/>
            <w:noWrap/>
            <w:vAlign w:val="bottom"/>
            <w:hideMark/>
          </w:tcPr>
          <w:p w:rsidR="00E71DE2" w:rsidRPr="00387068" w:rsidRDefault="00E71DE2" w:rsidP="00834D4C">
            <w:pPr>
              <w:rPr>
                <w:b/>
                <w:bCs/>
                <w:sz w:val="22"/>
                <w:szCs w:val="22"/>
              </w:rPr>
            </w:pPr>
            <w:r w:rsidRPr="00387068">
              <w:rPr>
                <w:b/>
                <w:bCs/>
                <w:sz w:val="22"/>
                <w:szCs w:val="22"/>
              </w:rPr>
              <w:t xml:space="preserve"> Financial sector</w:t>
            </w:r>
          </w:p>
        </w:tc>
        <w:tc>
          <w:tcPr>
            <w:tcW w:w="1449" w:type="dxa"/>
            <w:tcBorders>
              <w:top w:val="nil"/>
              <w:left w:val="nil"/>
              <w:bottom w:val="single" w:sz="4" w:space="0" w:color="auto"/>
              <w:right w:val="single" w:sz="4" w:space="0" w:color="auto"/>
            </w:tcBorders>
            <w:shd w:val="clear" w:color="auto" w:fill="auto"/>
            <w:noWrap/>
            <w:hideMark/>
          </w:tcPr>
          <w:p w:rsidR="00E71DE2" w:rsidRPr="00F579C9" w:rsidRDefault="00E71DE2" w:rsidP="006951A2">
            <w:r w:rsidRPr="00F579C9">
              <w:t xml:space="preserve">3,148 </w:t>
            </w:r>
          </w:p>
        </w:tc>
        <w:tc>
          <w:tcPr>
            <w:tcW w:w="886" w:type="dxa"/>
            <w:tcBorders>
              <w:top w:val="nil"/>
              <w:left w:val="nil"/>
              <w:bottom w:val="single" w:sz="4" w:space="0" w:color="auto"/>
              <w:right w:val="single" w:sz="4" w:space="0" w:color="auto"/>
            </w:tcBorders>
            <w:shd w:val="clear" w:color="auto" w:fill="auto"/>
            <w:noWrap/>
            <w:hideMark/>
          </w:tcPr>
          <w:p w:rsidR="00E71DE2" w:rsidRPr="00F579C9" w:rsidRDefault="00E71DE2" w:rsidP="006951A2">
            <w:r w:rsidRPr="00F579C9">
              <w:t xml:space="preserve">26,047 </w:t>
            </w:r>
          </w:p>
        </w:tc>
        <w:tc>
          <w:tcPr>
            <w:tcW w:w="1121" w:type="dxa"/>
            <w:tcBorders>
              <w:top w:val="nil"/>
              <w:left w:val="nil"/>
              <w:bottom w:val="single" w:sz="4" w:space="0" w:color="auto"/>
              <w:right w:val="single" w:sz="4" w:space="0" w:color="auto"/>
            </w:tcBorders>
            <w:shd w:val="clear" w:color="auto" w:fill="auto"/>
            <w:noWrap/>
            <w:hideMark/>
          </w:tcPr>
          <w:p w:rsidR="00E71DE2" w:rsidRPr="00F579C9" w:rsidRDefault="00E71DE2" w:rsidP="006951A2">
            <w:r w:rsidRPr="00F579C9">
              <w:t xml:space="preserve">136 </w:t>
            </w:r>
          </w:p>
        </w:tc>
        <w:tc>
          <w:tcPr>
            <w:tcW w:w="1052" w:type="dxa"/>
            <w:tcBorders>
              <w:top w:val="nil"/>
              <w:left w:val="nil"/>
              <w:bottom w:val="single" w:sz="4" w:space="0" w:color="auto"/>
              <w:right w:val="single" w:sz="4" w:space="0" w:color="auto"/>
            </w:tcBorders>
            <w:shd w:val="clear" w:color="auto" w:fill="auto"/>
            <w:noWrap/>
            <w:hideMark/>
          </w:tcPr>
          <w:p w:rsidR="00E71DE2" w:rsidRPr="00F579C9" w:rsidRDefault="00E71DE2" w:rsidP="006951A2">
            <w:r w:rsidRPr="00F579C9">
              <w:t xml:space="preserve">1,939 </w:t>
            </w:r>
          </w:p>
        </w:tc>
        <w:tc>
          <w:tcPr>
            <w:tcW w:w="1619" w:type="dxa"/>
            <w:tcBorders>
              <w:top w:val="nil"/>
              <w:left w:val="nil"/>
              <w:bottom w:val="single" w:sz="4" w:space="0" w:color="auto"/>
              <w:right w:val="single" w:sz="8" w:space="0" w:color="auto"/>
            </w:tcBorders>
            <w:shd w:val="clear" w:color="auto" w:fill="auto"/>
            <w:noWrap/>
            <w:hideMark/>
          </w:tcPr>
          <w:p w:rsidR="00E71DE2" w:rsidRPr="00F579C9" w:rsidRDefault="00E71DE2" w:rsidP="006951A2">
            <w:r w:rsidRPr="00F579C9">
              <w:t xml:space="preserve">31,270 </w:t>
            </w:r>
          </w:p>
        </w:tc>
      </w:tr>
      <w:tr w:rsidR="00E71DE2" w:rsidRPr="00387068" w:rsidTr="007C6CAB">
        <w:trPr>
          <w:trHeight w:val="293"/>
          <w:jc w:val="center"/>
        </w:trPr>
        <w:tc>
          <w:tcPr>
            <w:tcW w:w="1169" w:type="dxa"/>
            <w:vMerge/>
            <w:tcBorders>
              <w:top w:val="nil"/>
              <w:left w:val="single" w:sz="8" w:space="0" w:color="auto"/>
              <w:bottom w:val="single" w:sz="8" w:space="0" w:color="000000"/>
              <w:right w:val="single" w:sz="4" w:space="0" w:color="auto"/>
            </w:tcBorders>
            <w:vAlign w:val="center"/>
            <w:hideMark/>
          </w:tcPr>
          <w:p w:rsidR="00E71DE2" w:rsidRPr="00387068" w:rsidRDefault="00E71DE2" w:rsidP="00834D4C">
            <w:pPr>
              <w:rPr>
                <w:b/>
                <w:bCs/>
                <w:sz w:val="22"/>
                <w:szCs w:val="22"/>
              </w:rPr>
            </w:pPr>
          </w:p>
        </w:tc>
        <w:tc>
          <w:tcPr>
            <w:tcW w:w="4088" w:type="dxa"/>
            <w:tcBorders>
              <w:top w:val="nil"/>
              <w:left w:val="nil"/>
              <w:bottom w:val="single" w:sz="4" w:space="0" w:color="auto"/>
              <w:right w:val="single" w:sz="4" w:space="0" w:color="auto"/>
            </w:tcBorders>
            <w:shd w:val="clear" w:color="auto" w:fill="auto"/>
            <w:noWrap/>
            <w:vAlign w:val="bottom"/>
            <w:hideMark/>
          </w:tcPr>
          <w:p w:rsidR="00E71DE2" w:rsidRPr="00387068" w:rsidRDefault="00E71DE2" w:rsidP="00834D4C">
            <w:pPr>
              <w:rPr>
                <w:b/>
                <w:bCs/>
                <w:sz w:val="22"/>
                <w:szCs w:val="22"/>
              </w:rPr>
            </w:pPr>
            <w:r w:rsidRPr="00387068">
              <w:rPr>
                <w:b/>
                <w:bCs/>
                <w:sz w:val="22"/>
                <w:szCs w:val="22"/>
              </w:rPr>
              <w:t xml:space="preserve"> Institutions (incl. insurance companies)</w:t>
            </w:r>
          </w:p>
        </w:tc>
        <w:tc>
          <w:tcPr>
            <w:tcW w:w="1449" w:type="dxa"/>
            <w:tcBorders>
              <w:top w:val="nil"/>
              <w:left w:val="nil"/>
              <w:bottom w:val="single" w:sz="4" w:space="0" w:color="auto"/>
              <w:right w:val="single" w:sz="4" w:space="0" w:color="auto"/>
            </w:tcBorders>
            <w:shd w:val="clear" w:color="auto" w:fill="auto"/>
            <w:noWrap/>
            <w:hideMark/>
          </w:tcPr>
          <w:p w:rsidR="00E71DE2" w:rsidRPr="00F579C9" w:rsidRDefault="00E71DE2" w:rsidP="006951A2">
            <w:r w:rsidRPr="00F579C9">
              <w:t xml:space="preserve">2,640 </w:t>
            </w:r>
          </w:p>
        </w:tc>
        <w:tc>
          <w:tcPr>
            <w:tcW w:w="886" w:type="dxa"/>
            <w:tcBorders>
              <w:top w:val="nil"/>
              <w:left w:val="nil"/>
              <w:bottom w:val="single" w:sz="4" w:space="0" w:color="auto"/>
              <w:right w:val="single" w:sz="4" w:space="0" w:color="auto"/>
            </w:tcBorders>
            <w:shd w:val="clear" w:color="auto" w:fill="auto"/>
            <w:noWrap/>
            <w:hideMark/>
          </w:tcPr>
          <w:p w:rsidR="00E71DE2" w:rsidRPr="00F579C9" w:rsidRDefault="00E71DE2" w:rsidP="006951A2">
            <w:r w:rsidRPr="00F579C9">
              <w:t xml:space="preserve">6,056 </w:t>
            </w:r>
          </w:p>
        </w:tc>
        <w:tc>
          <w:tcPr>
            <w:tcW w:w="1121" w:type="dxa"/>
            <w:tcBorders>
              <w:top w:val="nil"/>
              <w:left w:val="nil"/>
              <w:bottom w:val="single" w:sz="4" w:space="0" w:color="auto"/>
              <w:right w:val="single" w:sz="4" w:space="0" w:color="auto"/>
            </w:tcBorders>
            <w:shd w:val="clear" w:color="auto" w:fill="auto"/>
            <w:noWrap/>
            <w:hideMark/>
          </w:tcPr>
          <w:p w:rsidR="00E71DE2" w:rsidRPr="00F579C9" w:rsidRDefault="00E71DE2" w:rsidP="006951A2">
            <w:r w:rsidRPr="00F579C9">
              <w:t xml:space="preserve">0 </w:t>
            </w:r>
          </w:p>
        </w:tc>
        <w:tc>
          <w:tcPr>
            <w:tcW w:w="1052" w:type="dxa"/>
            <w:tcBorders>
              <w:top w:val="nil"/>
              <w:left w:val="nil"/>
              <w:bottom w:val="single" w:sz="4" w:space="0" w:color="auto"/>
              <w:right w:val="single" w:sz="4" w:space="0" w:color="auto"/>
            </w:tcBorders>
            <w:shd w:val="clear" w:color="auto" w:fill="auto"/>
            <w:noWrap/>
            <w:hideMark/>
          </w:tcPr>
          <w:p w:rsidR="00E71DE2" w:rsidRPr="00F579C9" w:rsidRDefault="00E71DE2" w:rsidP="006951A2">
            <w:r w:rsidRPr="00F579C9">
              <w:t xml:space="preserve">1 </w:t>
            </w:r>
          </w:p>
        </w:tc>
        <w:tc>
          <w:tcPr>
            <w:tcW w:w="1619" w:type="dxa"/>
            <w:tcBorders>
              <w:top w:val="nil"/>
              <w:left w:val="nil"/>
              <w:bottom w:val="single" w:sz="4" w:space="0" w:color="auto"/>
              <w:right w:val="single" w:sz="8" w:space="0" w:color="auto"/>
            </w:tcBorders>
            <w:shd w:val="clear" w:color="auto" w:fill="auto"/>
            <w:noWrap/>
            <w:hideMark/>
          </w:tcPr>
          <w:p w:rsidR="00E71DE2" w:rsidRPr="00F579C9" w:rsidRDefault="00E71DE2" w:rsidP="006951A2">
            <w:r w:rsidRPr="00F579C9">
              <w:t xml:space="preserve">8,697 </w:t>
            </w:r>
          </w:p>
        </w:tc>
      </w:tr>
      <w:tr w:rsidR="00E71DE2" w:rsidRPr="00387068" w:rsidTr="007C6CAB">
        <w:trPr>
          <w:trHeight w:val="293"/>
          <w:jc w:val="center"/>
        </w:trPr>
        <w:tc>
          <w:tcPr>
            <w:tcW w:w="1169" w:type="dxa"/>
            <w:vMerge/>
            <w:tcBorders>
              <w:top w:val="nil"/>
              <w:left w:val="single" w:sz="8" w:space="0" w:color="auto"/>
              <w:bottom w:val="single" w:sz="8" w:space="0" w:color="000000"/>
              <w:right w:val="single" w:sz="4" w:space="0" w:color="auto"/>
            </w:tcBorders>
            <w:vAlign w:val="center"/>
            <w:hideMark/>
          </w:tcPr>
          <w:p w:rsidR="00E71DE2" w:rsidRPr="00387068" w:rsidRDefault="00E71DE2" w:rsidP="00834D4C">
            <w:pPr>
              <w:rPr>
                <w:b/>
                <w:bCs/>
                <w:sz w:val="22"/>
                <w:szCs w:val="22"/>
              </w:rPr>
            </w:pPr>
          </w:p>
        </w:tc>
        <w:tc>
          <w:tcPr>
            <w:tcW w:w="4088" w:type="dxa"/>
            <w:tcBorders>
              <w:top w:val="nil"/>
              <w:left w:val="nil"/>
              <w:bottom w:val="single" w:sz="4" w:space="0" w:color="auto"/>
              <w:right w:val="single" w:sz="4" w:space="0" w:color="auto"/>
            </w:tcBorders>
            <w:shd w:val="clear" w:color="auto" w:fill="auto"/>
            <w:noWrap/>
            <w:vAlign w:val="bottom"/>
            <w:hideMark/>
          </w:tcPr>
          <w:p w:rsidR="00E71DE2" w:rsidRPr="00387068" w:rsidRDefault="00E71DE2" w:rsidP="00834D4C">
            <w:pPr>
              <w:rPr>
                <w:b/>
                <w:bCs/>
                <w:sz w:val="22"/>
                <w:szCs w:val="22"/>
              </w:rPr>
            </w:pPr>
            <w:r w:rsidRPr="00387068">
              <w:rPr>
                <w:b/>
                <w:bCs/>
                <w:sz w:val="22"/>
                <w:szCs w:val="22"/>
              </w:rPr>
              <w:t xml:space="preserve"> Individuals and provident funds</w:t>
            </w:r>
          </w:p>
        </w:tc>
        <w:tc>
          <w:tcPr>
            <w:tcW w:w="1449" w:type="dxa"/>
            <w:tcBorders>
              <w:top w:val="nil"/>
              <w:left w:val="nil"/>
              <w:bottom w:val="single" w:sz="4" w:space="0" w:color="auto"/>
              <w:right w:val="single" w:sz="4" w:space="0" w:color="auto"/>
            </w:tcBorders>
            <w:shd w:val="clear" w:color="auto" w:fill="auto"/>
            <w:noWrap/>
            <w:hideMark/>
          </w:tcPr>
          <w:p w:rsidR="00E71DE2" w:rsidRPr="00F579C9" w:rsidRDefault="00E71DE2" w:rsidP="006951A2">
            <w:r w:rsidRPr="00F579C9">
              <w:t xml:space="preserve">800 </w:t>
            </w:r>
          </w:p>
        </w:tc>
        <w:tc>
          <w:tcPr>
            <w:tcW w:w="886" w:type="dxa"/>
            <w:tcBorders>
              <w:top w:val="nil"/>
              <w:left w:val="nil"/>
              <w:bottom w:val="single" w:sz="4" w:space="0" w:color="auto"/>
              <w:right w:val="single" w:sz="4" w:space="0" w:color="auto"/>
            </w:tcBorders>
            <w:shd w:val="clear" w:color="auto" w:fill="auto"/>
            <w:noWrap/>
            <w:hideMark/>
          </w:tcPr>
          <w:p w:rsidR="00E71DE2" w:rsidRPr="00F579C9" w:rsidRDefault="00E71DE2" w:rsidP="006951A2">
            <w:r w:rsidRPr="00F579C9">
              <w:t xml:space="preserve">747 </w:t>
            </w:r>
          </w:p>
        </w:tc>
        <w:tc>
          <w:tcPr>
            <w:tcW w:w="1121" w:type="dxa"/>
            <w:tcBorders>
              <w:top w:val="nil"/>
              <w:left w:val="nil"/>
              <w:bottom w:val="single" w:sz="4" w:space="0" w:color="auto"/>
              <w:right w:val="single" w:sz="4" w:space="0" w:color="auto"/>
            </w:tcBorders>
            <w:shd w:val="clear" w:color="auto" w:fill="auto"/>
            <w:noWrap/>
            <w:hideMark/>
          </w:tcPr>
          <w:p w:rsidR="00E71DE2" w:rsidRPr="00F579C9" w:rsidRDefault="00E71DE2" w:rsidP="006951A2">
            <w:r w:rsidRPr="00F579C9">
              <w:t xml:space="preserve">0 </w:t>
            </w:r>
          </w:p>
        </w:tc>
        <w:tc>
          <w:tcPr>
            <w:tcW w:w="1052" w:type="dxa"/>
            <w:tcBorders>
              <w:top w:val="nil"/>
              <w:left w:val="nil"/>
              <w:bottom w:val="single" w:sz="4" w:space="0" w:color="auto"/>
              <w:right w:val="single" w:sz="4" w:space="0" w:color="auto"/>
            </w:tcBorders>
            <w:shd w:val="clear" w:color="auto" w:fill="auto"/>
            <w:noWrap/>
            <w:hideMark/>
          </w:tcPr>
          <w:p w:rsidR="00E71DE2" w:rsidRPr="00F579C9" w:rsidRDefault="00E71DE2" w:rsidP="006951A2">
            <w:r w:rsidRPr="00F579C9">
              <w:t xml:space="preserve">518 </w:t>
            </w:r>
          </w:p>
        </w:tc>
        <w:tc>
          <w:tcPr>
            <w:tcW w:w="1619" w:type="dxa"/>
            <w:tcBorders>
              <w:top w:val="nil"/>
              <w:left w:val="nil"/>
              <w:bottom w:val="single" w:sz="4" w:space="0" w:color="auto"/>
              <w:right w:val="single" w:sz="8" w:space="0" w:color="auto"/>
            </w:tcBorders>
            <w:shd w:val="clear" w:color="auto" w:fill="auto"/>
            <w:noWrap/>
            <w:hideMark/>
          </w:tcPr>
          <w:p w:rsidR="00E71DE2" w:rsidRPr="00F579C9" w:rsidRDefault="00E71DE2" w:rsidP="006951A2">
            <w:r w:rsidRPr="00F579C9">
              <w:t xml:space="preserve">2,065 </w:t>
            </w:r>
          </w:p>
        </w:tc>
      </w:tr>
      <w:tr w:rsidR="00E71DE2" w:rsidRPr="00387068" w:rsidTr="007C6CAB">
        <w:trPr>
          <w:trHeight w:val="293"/>
          <w:jc w:val="center"/>
        </w:trPr>
        <w:tc>
          <w:tcPr>
            <w:tcW w:w="1169" w:type="dxa"/>
            <w:vMerge/>
            <w:tcBorders>
              <w:top w:val="nil"/>
              <w:left w:val="single" w:sz="8" w:space="0" w:color="auto"/>
              <w:bottom w:val="single" w:sz="8" w:space="0" w:color="000000"/>
              <w:right w:val="single" w:sz="4" w:space="0" w:color="auto"/>
            </w:tcBorders>
            <w:vAlign w:val="center"/>
            <w:hideMark/>
          </w:tcPr>
          <w:p w:rsidR="00E71DE2" w:rsidRPr="00387068" w:rsidRDefault="00E71DE2" w:rsidP="00834D4C">
            <w:pPr>
              <w:rPr>
                <w:b/>
                <w:bCs/>
                <w:sz w:val="22"/>
                <w:szCs w:val="22"/>
              </w:rPr>
            </w:pPr>
          </w:p>
        </w:tc>
        <w:tc>
          <w:tcPr>
            <w:tcW w:w="4088" w:type="dxa"/>
            <w:tcBorders>
              <w:top w:val="nil"/>
              <w:left w:val="nil"/>
              <w:bottom w:val="single" w:sz="4" w:space="0" w:color="auto"/>
              <w:right w:val="single" w:sz="4" w:space="0" w:color="auto"/>
            </w:tcBorders>
            <w:shd w:val="clear" w:color="auto" w:fill="auto"/>
            <w:noWrap/>
            <w:vAlign w:val="bottom"/>
            <w:hideMark/>
          </w:tcPr>
          <w:p w:rsidR="00E71DE2" w:rsidRPr="00387068" w:rsidRDefault="00E71DE2" w:rsidP="00834D4C">
            <w:pPr>
              <w:rPr>
                <w:b/>
                <w:bCs/>
                <w:sz w:val="22"/>
                <w:szCs w:val="22"/>
              </w:rPr>
            </w:pPr>
            <w:r w:rsidRPr="00387068">
              <w:rPr>
                <w:b/>
                <w:bCs/>
                <w:sz w:val="22"/>
                <w:szCs w:val="22"/>
              </w:rPr>
              <w:t xml:space="preserve"> The Bank of Israel</w:t>
            </w:r>
          </w:p>
        </w:tc>
        <w:tc>
          <w:tcPr>
            <w:tcW w:w="1449" w:type="dxa"/>
            <w:tcBorders>
              <w:top w:val="nil"/>
              <w:left w:val="nil"/>
              <w:bottom w:val="single" w:sz="4" w:space="0" w:color="auto"/>
              <w:right w:val="single" w:sz="4" w:space="0" w:color="auto"/>
            </w:tcBorders>
            <w:shd w:val="clear" w:color="auto" w:fill="auto"/>
            <w:noWrap/>
            <w:hideMark/>
          </w:tcPr>
          <w:p w:rsidR="00E71DE2" w:rsidRPr="00F579C9" w:rsidRDefault="00E71DE2" w:rsidP="006951A2">
            <w:r w:rsidRPr="00F579C9">
              <w:t xml:space="preserve">295 </w:t>
            </w:r>
          </w:p>
        </w:tc>
        <w:tc>
          <w:tcPr>
            <w:tcW w:w="886" w:type="dxa"/>
            <w:tcBorders>
              <w:top w:val="nil"/>
              <w:left w:val="nil"/>
              <w:bottom w:val="single" w:sz="4" w:space="0" w:color="auto"/>
              <w:right w:val="single" w:sz="4" w:space="0" w:color="auto"/>
            </w:tcBorders>
            <w:shd w:val="clear" w:color="auto" w:fill="auto"/>
            <w:noWrap/>
            <w:hideMark/>
          </w:tcPr>
          <w:p w:rsidR="00E71DE2" w:rsidRPr="00F579C9" w:rsidRDefault="00E71DE2" w:rsidP="006951A2">
            <w:r w:rsidRPr="00F579C9">
              <w:t xml:space="preserve">0 </w:t>
            </w:r>
          </w:p>
        </w:tc>
        <w:tc>
          <w:tcPr>
            <w:tcW w:w="1121" w:type="dxa"/>
            <w:tcBorders>
              <w:top w:val="nil"/>
              <w:left w:val="nil"/>
              <w:bottom w:val="single" w:sz="4" w:space="0" w:color="auto"/>
              <w:right w:val="single" w:sz="4" w:space="0" w:color="auto"/>
            </w:tcBorders>
            <w:shd w:val="clear" w:color="auto" w:fill="auto"/>
            <w:noWrap/>
            <w:hideMark/>
          </w:tcPr>
          <w:p w:rsidR="00E71DE2" w:rsidRPr="00F579C9" w:rsidRDefault="00E71DE2" w:rsidP="006951A2">
            <w:r w:rsidRPr="00F579C9">
              <w:t xml:space="preserve">0 </w:t>
            </w:r>
          </w:p>
        </w:tc>
        <w:tc>
          <w:tcPr>
            <w:tcW w:w="1052" w:type="dxa"/>
            <w:tcBorders>
              <w:top w:val="nil"/>
              <w:left w:val="nil"/>
              <w:bottom w:val="single" w:sz="4" w:space="0" w:color="auto"/>
              <w:right w:val="single" w:sz="4" w:space="0" w:color="auto"/>
            </w:tcBorders>
            <w:shd w:val="clear" w:color="auto" w:fill="auto"/>
            <w:noWrap/>
            <w:hideMark/>
          </w:tcPr>
          <w:p w:rsidR="00E71DE2" w:rsidRPr="00F579C9" w:rsidRDefault="00E71DE2" w:rsidP="006951A2">
            <w:r w:rsidRPr="00F579C9">
              <w:t xml:space="preserve">0 </w:t>
            </w:r>
          </w:p>
        </w:tc>
        <w:tc>
          <w:tcPr>
            <w:tcW w:w="1619" w:type="dxa"/>
            <w:tcBorders>
              <w:top w:val="nil"/>
              <w:left w:val="nil"/>
              <w:bottom w:val="single" w:sz="4" w:space="0" w:color="auto"/>
              <w:right w:val="single" w:sz="8" w:space="0" w:color="auto"/>
            </w:tcBorders>
            <w:shd w:val="clear" w:color="auto" w:fill="auto"/>
            <w:noWrap/>
            <w:hideMark/>
          </w:tcPr>
          <w:p w:rsidR="00E71DE2" w:rsidRPr="00F579C9" w:rsidRDefault="00E71DE2" w:rsidP="006951A2">
            <w:r w:rsidRPr="00F579C9">
              <w:t xml:space="preserve">295 </w:t>
            </w:r>
          </w:p>
        </w:tc>
      </w:tr>
      <w:tr w:rsidR="00E71DE2" w:rsidRPr="00387068" w:rsidTr="007C6CAB">
        <w:trPr>
          <w:trHeight w:val="293"/>
          <w:jc w:val="center"/>
        </w:trPr>
        <w:tc>
          <w:tcPr>
            <w:tcW w:w="1169" w:type="dxa"/>
            <w:vMerge/>
            <w:tcBorders>
              <w:top w:val="nil"/>
              <w:left w:val="single" w:sz="8" w:space="0" w:color="auto"/>
              <w:bottom w:val="single" w:sz="8" w:space="0" w:color="000000"/>
              <w:right w:val="single" w:sz="4" w:space="0" w:color="auto"/>
            </w:tcBorders>
            <w:vAlign w:val="center"/>
            <w:hideMark/>
          </w:tcPr>
          <w:p w:rsidR="00E71DE2" w:rsidRPr="00387068" w:rsidRDefault="00E71DE2" w:rsidP="00834D4C">
            <w:pPr>
              <w:rPr>
                <w:b/>
                <w:bCs/>
                <w:sz w:val="22"/>
                <w:szCs w:val="22"/>
              </w:rPr>
            </w:pPr>
          </w:p>
        </w:tc>
        <w:tc>
          <w:tcPr>
            <w:tcW w:w="4088" w:type="dxa"/>
            <w:tcBorders>
              <w:top w:val="nil"/>
              <w:left w:val="nil"/>
              <w:bottom w:val="single" w:sz="4" w:space="0" w:color="auto"/>
              <w:right w:val="single" w:sz="4" w:space="0" w:color="auto"/>
            </w:tcBorders>
            <w:shd w:val="clear" w:color="auto" w:fill="auto"/>
            <w:noWrap/>
            <w:vAlign w:val="bottom"/>
            <w:hideMark/>
          </w:tcPr>
          <w:p w:rsidR="00E71DE2" w:rsidRPr="00387068" w:rsidRDefault="00E71DE2" w:rsidP="00834D4C">
            <w:pPr>
              <w:rPr>
                <w:b/>
                <w:bCs/>
                <w:sz w:val="22"/>
                <w:szCs w:val="22"/>
              </w:rPr>
            </w:pPr>
            <w:r w:rsidRPr="00387068">
              <w:rPr>
                <w:b/>
                <w:bCs/>
                <w:i/>
                <w:iCs/>
                <w:sz w:val="22"/>
                <w:szCs w:val="22"/>
              </w:rPr>
              <w:t>of which</w:t>
            </w:r>
            <w:r w:rsidRPr="00387068">
              <w:rPr>
                <w:sz w:val="22"/>
                <w:szCs w:val="22"/>
              </w:rPr>
              <w:t xml:space="preserve"> within the program to offset the gas effect </w:t>
            </w:r>
          </w:p>
        </w:tc>
        <w:tc>
          <w:tcPr>
            <w:tcW w:w="1449" w:type="dxa"/>
            <w:tcBorders>
              <w:top w:val="nil"/>
              <w:left w:val="nil"/>
              <w:bottom w:val="single" w:sz="4" w:space="0" w:color="auto"/>
              <w:right w:val="single" w:sz="4" w:space="0" w:color="auto"/>
            </w:tcBorders>
            <w:shd w:val="clear" w:color="auto" w:fill="auto"/>
            <w:noWrap/>
            <w:hideMark/>
          </w:tcPr>
          <w:p w:rsidR="00E71DE2" w:rsidRPr="00F579C9" w:rsidRDefault="00E71DE2" w:rsidP="006951A2">
            <w:r w:rsidRPr="00F579C9">
              <w:t xml:space="preserve">295 </w:t>
            </w:r>
          </w:p>
        </w:tc>
        <w:tc>
          <w:tcPr>
            <w:tcW w:w="886" w:type="dxa"/>
            <w:tcBorders>
              <w:top w:val="nil"/>
              <w:left w:val="nil"/>
              <w:bottom w:val="single" w:sz="4" w:space="0" w:color="auto"/>
              <w:right w:val="single" w:sz="4" w:space="0" w:color="auto"/>
            </w:tcBorders>
            <w:shd w:val="clear" w:color="auto" w:fill="auto"/>
            <w:noWrap/>
            <w:hideMark/>
          </w:tcPr>
          <w:p w:rsidR="00E71DE2" w:rsidRPr="00F579C9" w:rsidRDefault="00E71DE2" w:rsidP="006951A2">
            <w:r w:rsidRPr="00F579C9">
              <w:t xml:space="preserve">0 </w:t>
            </w:r>
          </w:p>
        </w:tc>
        <w:tc>
          <w:tcPr>
            <w:tcW w:w="1121" w:type="dxa"/>
            <w:tcBorders>
              <w:top w:val="nil"/>
              <w:left w:val="nil"/>
              <w:bottom w:val="single" w:sz="4" w:space="0" w:color="auto"/>
              <w:right w:val="single" w:sz="4" w:space="0" w:color="auto"/>
            </w:tcBorders>
            <w:shd w:val="clear" w:color="auto" w:fill="auto"/>
            <w:noWrap/>
            <w:hideMark/>
          </w:tcPr>
          <w:p w:rsidR="00E71DE2" w:rsidRPr="00F579C9" w:rsidRDefault="00E71DE2" w:rsidP="006951A2">
            <w:r w:rsidRPr="00F579C9">
              <w:t xml:space="preserve">0 </w:t>
            </w:r>
          </w:p>
        </w:tc>
        <w:tc>
          <w:tcPr>
            <w:tcW w:w="1052" w:type="dxa"/>
            <w:tcBorders>
              <w:top w:val="nil"/>
              <w:left w:val="nil"/>
              <w:bottom w:val="single" w:sz="4" w:space="0" w:color="auto"/>
              <w:right w:val="single" w:sz="4" w:space="0" w:color="auto"/>
            </w:tcBorders>
            <w:shd w:val="clear" w:color="auto" w:fill="auto"/>
            <w:noWrap/>
            <w:hideMark/>
          </w:tcPr>
          <w:p w:rsidR="00E71DE2" w:rsidRPr="00F579C9" w:rsidRDefault="00E71DE2" w:rsidP="006951A2">
            <w:r w:rsidRPr="00F579C9">
              <w:t xml:space="preserve">0 </w:t>
            </w:r>
          </w:p>
        </w:tc>
        <w:tc>
          <w:tcPr>
            <w:tcW w:w="1619" w:type="dxa"/>
            <w:tcBorders>
              <w:top w:val="nil"/>
              <w:left w:val="nil"/>
              <w:bottom w:val="single" w:sz="4" w:space="0" w:color="auto"/>
              <w:right w:val="single" w:sz="8" w:space="0" w:color="auto"/>
            </w:tcBorders>
            <w:shd w:val="clear" w:color="auto" w:fill="auto"/>
            <w:noWrap/>
            <w:hideMark/>
          </w:tcPr>
          <w:p w:rsidR="00E71DE2" w:rsidRPr="00F579C9" w:rsidRDefault="00E71DE2" w:rsidP="006951A2">
            <w:r w:rsidRPr="00F579C9">
              <w:t xml:space="preserve">295 </w:t>
            </w:r>
          </w:p>
        </w:tc>
      </w:tr>
      <w:tr w:rsidR="00E71DE2" w:rsidRPr="00387068" w:rsidTr="007C6CAB">
        <w:trPr>
          <w:trHeight w:val="293"/>
          <w:jc w:val="center"/>
        </w:trPr>
        <w:tc>
          <w:tcPr>
            <w:tcW w:w="1169" w:type="dxa"/>
            <w:vMerge/>
            <w:tcBorders>
              <w:top w:val="nil"/>
              <w:left w:val="single" w:sz="8" w:space="0" w:color="auto"/>
              <w:bottom w:val="single" w:sz="8" w:space="0" w:color="000000"/>
              <w:right w:val="single" w:sz="4" w:space="0" w:color="auto"/>
            </w:tcBorders>
            <w:vAlign w:val="center"/>
            <w:hideMark/>
          </w:tcPr>
          <w:p w:rsidR="00E71DE2" w:rsidRPr="00387068" w:rsidRDefault="00E71DE2" w:rsidP="00834D4C">
            <w:pPr>
              <w:rPr>
                <w:b/>
                <w:bCs/>
                <w:sz w:val="22"/>
                <w:szCs w:val="22"/>
              </w:rPr>
            </w:pPr>
          </w:p>
        </w:tc>
        <w:tc>
          <w:tcPr>
            <w:tcW w:w="4088" w:type="dxa"/>
            <w:tcBorders>
              <w:top w:val="nil"/>
              <w:left w:val="nil"/>
              <w:bottom w:val="single" w:sz="4" w:space="0" w:color="auto"/>
              <w:right w:val="single" w:sz="4" w:space="0" w:color="auto"/>
            </w:tcBorders>
            <w:shd w:val="clear" w:color="auto" w:fill="auto"/>
            <w:noWrap/>
            <w:vAlign w:val="bottom"/>
            <w:hideMark/>
          </w:tcPr>
          <w:p w:rsidR="00E71DE2" w:rsidRPr="00387068" w:rsidRDefault="00E71DE2" w:rsidP="00834D4C">
            <w:pPr>
              <w:rPr>
                <w:b/>
                <w:bCs/>
                <w:sz w:val="22"/>
                <w:szCs w:val="22"/>
              </w:rPr>
            </w:pPr>
            <w:r w:rsidRPr="00387068">
              <w:rPr>
                <w:b/>
                <w:bCs/>
                <w:sz w:val="22"/>
                <w:szCs w:val="22"/>
              </w:rPr>
              <w:t xml:space="preserve"> Other</w:t>
            </w:r>
            <w:r w:rsidRPr="00387068">
              <w:rPr>
                <w:rStyle w:val="a9"/>
                <w:b/>
                <w:bCs/>
                <w:sz w:val="22"/>
                <w:szCs w:val="22"/>
              </w:rPr>
              <w:footnoteReference w:id="5"/>
            </w:r>
          </w:p>
        </w:tc>
        <w:tc>
          <w:tcPr>
            <w:tcW w:w="1449" w:type="dxa"/>
            <w:tcBorders>
              <w:top w:val="nil"/>
              <w:left w:val="nil"/>
              <w:bottom w:val="single" w:sz="4" w:space="0" w:color="auto"/>
              <w:right w:val="single" w:sz="4" w:space="0" w:color="auto"/>
            </w:tcBorders>
            <w:shd w:val="clear" w:color="auto" w:fill="auto"/>
            <w:noWrap/>
            <w:hideMark/>
          </w:tcPr>
          <w:p w:rsidR="00E71DE2" w:rsidRPr="00F579C9" w:rsidRDefault="00E71DE2" w:rsidP="006951A2">
            <w:r w:rsidRPr="00F579C9">
              <w:t xml:space="preserve">3,074 </w:t>
            </w:r>
          </w:p>
        </w:tc>
        <w:tc>
          <w:tcPr>
            <w:tcW w:w="886" w:type="dxa"/>
            <w:tcBorders>
              <w:top w:val="nil"/>
              <w:left w:val="nil"/>
              <w:bottom w:val="single" w:sz="4" w:space="0" w:color="auto"/>
              <w:right w:val="single" w:sz="4" w:space="0" w:color="auto"/>
            </w:tcBorders>
            <w:shd w:val="clear" w:color="auto" w:fill="auto"/>
            <w:noWrap/>
            <w:hideMark/>
          </w:tcPr>
          <w:p w:rsidR="00E71DE2" w:rsidRPr="00F579C9" w:rsidRDefault="00E71DE2" w:rsidP="006951A2">
            <w:r w:rsidRPr="00F579C9">
              <w:t xml:space="preserve">35 </w:t>
            </w:r>
          </w:p>
        </w:tc>
        <w:tc>
          <w:tcPr>
            <w:tcW w:w="1121" w:type="dxa"/>
            <w:tcBorders>
              <w:top w:val="nil"/>
              <w:left w:val="nil"/>
              <w:bottom w:val="single" w:sz="4" w:space="0" w:color="auto"/>
              <w:right w:val="single" w:sz="4" w:space="0" w:color="auto"/>
            </w:tcBorders>
            <w:shd w:val="clear" w:color="auto" w:fill="auto"/>
            <w:noWrap/>
            <w:hideMark/>
          </w:tcPr>
          <w:p w:rsidR="00E71DE2" w:rsidRPr="00F579C9" w:rsidRDefault="00E71DE2" w:rsidP="006951A2">
            <w:r w:rsidRPr="00F579C9">
              <w:t xml:space="preserve">0 </w:t>
            </w:r>
          </w:p>
        </w:tc>
        <w:tc>
          <w:tcPr>
            <w:tcW w:w="1052" w:type="dxa"/>
            <w:tcBorders>
              <w:top w:val="nil"/>
              <w:left w:val="nil"/>
              <w:bottom w:val="single" w:sz="4" w:space="0" w:color="auto"/>
              <w:right w:val="single" w:sz="4" w:space="0" w:color="auto"/>
            </w:tcBorders>
            <w:shd w:val="clear" w:color="auto" w:fill="auto"/>
            <w:noWrap/>
            <w:hideMark/>
          </w:tcPr>
          <w:p w:rsidR="00E71DE2" w:rsidRPr="00F579C9" w:rsidRDefault="00E71DE2" w:rsidP="006951A2">
            <w:r w:rsidRPr="00F579C9">
              <w:t xml:space="preserve">518 </w:t>
            </w:r>
          </w:p>
        </w:tc>
        <w:tc>
          <w:tcPr>
            <w:tcW w:w="1619" w:type="dxa"/>
            <w:tcBorders>
              <w:top w:val="nil"/>
              <w:left w:val="nil"/>
              <w:bottom w:val="single" w:sz="4" w:space="0" w:color="auto"/>
              <w:right w:val="single" w:sz="8" w:space="0" w:color="auto"/>
            </w:tcBorders>
            <w:shd w:val="clear" w:color="auto" w:fill="auto"/>
            <w:noWrap/>
            <w:hideMark/>
          </w:tcPr>
          <w:p w:rsidR="00E71DE2" w:rsidRPr="00F579C9" w:rsidRDefault="00E71DE2" w:rsidP="006951A2">
            <w:r w:rsidRPr="00F579C9">
              <w:t xml:space="preserve">3,627 </w:t>
            </w:r>
          </w:p>
        </w:tc>
      </w:tr>
      <w:tr w:rsidR="00E71DE2" w:rsidRPr="00387068" w:rsidTr="007C6CAB">
        <w:trPr>
          <w:trHeight w:val="293"/>
          <w:jc w:val="center"/>
        </w:trPr>
        <w:tc>
          <w:tcPr>
            <w:tcW w:w="1169" w:type="dxa"/>
            <w:vMerge/>
            <w:tcBorders>
              <w:top w:val="nil"/>
              <w:left w:val="single" w:sz="8" w:space="0" w:color="auto"/>
              <w:bottom w:val="single" w:sz="8" w:space="0" w:color="000000"/>
              <w:right w:val="single" w:sz="4" w:space="0" w:color="auto"/>
            </w:tcBorders>
            <w:vAlign w:val="center"/>
            <w:hideMark/>
          </w:tcPr>
          <w:p w:rsidR="00E71DE2" w:rsidRPr="00387068" w:rsidRDefault="00E71DE2" w:rsidP="00834D4C">
            <w:pPr>
              <w:rPr>
                <w:b/>
                <w:bCs/>
                <w:sz w:val="22"/>
                <w:szCs w:val="22"/>
              </w:rPr>
            </w:pPr>
          </w:p>
        </w:tc>
        <w:tc>
          <w:tcPr>
            <w:tcW w:w="4088" w:type="dxa"/>
            <w:tcBorders>
              <w:top w:val="nil"/>
              <w:left w:val="nil"/>
              <w:bottom w:val="single" w:sz="8" w:space="0" w:color="auto"/>
              <w:right w:val="single" w:sz="4" w:space="0" w:color="auto"/>
            </w:tcBorders>
            <w:shd w:val="clear" w:color="auto" w:fill="auto"/>
            <w:noWrap/>
            <w:vAlign w:val="bottom"/>
            <w:hideMark/>
          </w:tcPr>
          <w:p w:rsidR="00E71DE2" w:rsidRPr="00387068" w:rsidRDefault="00E71DE2" w:rsidP="00834D4C">
            <w:pPr>
              <w:rPr>
                <w:b/>
                <w:bCs/>
                <w:sz w:val="22"/>
                <w:szCs w:val="22"/>
              </w:rPr>
            </w:pPr>
            <w:r w:rsidRPr="00387068">
              <w:rPr>
                <w:b/>
                <w:bCs/>
                <w:sz w:val="22"/>
                <w:szCs w:val="22"/>
              </w:rPr>
              <w:t xml:space="preserve"> Domestic banks</w:t>
            </w:r>
            <w:r w:rsidRPr="00387068">
              <w:rPr>
                <w:rStyle w:val="a9"/>
                <w:b/>
                <w:bCs/>
                <w:sz w:val="22"/>
                <w:szCs w:val="22"/>
              </w:rPr>
              <w:footnoteReference w:id="6"/>
            </w:r>
          </w:p>
        </w:tc>
        <w:tc>
          <w:tcPr>
            <w:tcW w:w="1449" w:type="dxa"/>
            <w:tcBorders>
              <w:top w:val="nil"/>
              <w:left w:val="nil"/>
              <w:bottom w:val="single" w:sz="8" w:space="0" w:color="auto"/>
              <w:right w:val="single" w:sz="4" w:space="0" w:color="auto"/>
            </w:tcBorders>
            <w:shd w:val="clear" w:color="auto" w:fill="auto"/>
            <w:noWrap/>
            <w:hideMark/>
          </w:tcPr>
          <w:p w:rsidR="00E71DE2" w:rsidRPr="00F579C9" w:rsidRDefault="00E71DE2" w:rsidP="006951A2">
            <w:r w:rsidRPr="00F579C9">
              <w:t xml:space="preserve">3,215 </w:t>
            </w:r>
          </w:p>
        </w:tc>
        <w:tc>
          <w:tcPr>
            <w:tcW w:w="886" w:type="dxa"/>
            <w:tcBorders>
              <w:top w:val="nil"/>
              <w:left w:val="nil"/>
              <w:bottom w:val="single" w:sz="8" w:space="0" w:color="auto"/>
              <w:right w:val="single" w:sz="4" w:space="0" w:color="auto"/>
            </w:tcBorders>
            <w:shd w:val="clear" w:color="auto" w:fill="auto"/>
            <w:noWrap/>
            <w:hideMark/>
          </w:tcPr>
          <w:p w:rsidR="00E71DE2" w:rsidRPr="00F579C9" w:rsidRDefault="00E71DE2" w:rsidP="006951A2">
            <w:r w:rsidRPr="00F579C9">
              <w:t xml:space="preserve">7,800 </w:t>
            </w:r>
          </w:p>
        </w:tc>
        <w:tc>
          <w:tcPr>
            <w:tcW w:w="1121" w:type="dxa"/>
            <w:tcBorders>
              <w:top w:val="nil"/>
              <w:left w:val="nil"/>
              <w:bottom w:val="single" w:sz="8" w:space="0" w:color="auto"/>
              <w:right w:val="single" w:sz="4" w:space="0" w:color="auto"/>
            </w:tcBorders>
            <w:shd w:val="clear" w:color="auto" w:fill="auto"/>
            <w:noWrap/>
            <w:hideMark/>
          </w:tcPr>
          <w:p w:rsidR="00E71DE2" w:rsidRPr="00F579C9" w:rsidRDefault="00E71DE2" w:rsidP="006951A2">
            <w:r w:rsidRPr="00F579C9">
              <w:t xml:space="preserve">314 </w:t>
            </w:r>
          </w:p>
        </w:tc>
        <w:tc>
          <w:tcPr>
            <w:tcW w:w="1052" w:type="dxa"/>
            <w:tcBorders>
              <w:top w:val="nil"/>
              <w:left w:val="nil"/>
              <w:bottom w:val="single" w:sz="8" w:space="0" w:color="auto"/>
              <w:right w:val="single" w:sz="4" w:space="0" w:color="auto"/>
            </w:tcBorders>
            <w:shd w:val="clear" w:color="auto" w:fill="auto"/>
            <w:noWrap/>
            <w:hideMark/>
          </w:tcPr>
          <w:p w:rsidR="00E71DE2" w:rsidRPr="00F579C9" w:rsidRDefault="00E71DE2" w:rsidP="006951A2">
            <w:r w:rsidRPr="00F579C9">
              <w:t xml:space="preserve">657 </w:t>
            </w:r>
          </w:p>
        </w:tc>
        <w:tc>
          <w:tcPr>
            <w:tcW w:w="1619" w:type="dxa"/>
            <w:tcBorders>
              <w:top w:val="nil"/>
              <w:left w:val="nil"/>
              <w:bottom w:val="single" w:sz="8" w:space="0" w:color="auto"/>
              <w:right w:val="single" w:sz="8" w:space="0" w:color="auto"/>
            </w:tcBorders>
            <w:shd w:val="clear" w:color="auto" w:fill="auto"/>
            <w:noWrap/>
            <w:hideMark/>
          </w:tcPr>
          <w:p w:rsidR="00E71DE2" w:rsidRDefault="00E71DE2" w:rsidP="006951A2">
            <w:r w:rsidRPr="00F579C9">
              <w:t xml:space="preserve">11,986 </w:t>
            </w:r>
          </w:p>
        </w:tc>
      </w:tr>
      <w:tr w:rsidR="00E71DE2" w:rsidRPr="00387068" w:rsidTr="005C3895">
        <w:trPr>
          <w:trHeight w:val="244"/>
          <w:jc w:val="center"/>
        </w:trPr>
        <w:tc>
          <w:tcPr>
            <w:tcW w:w="1169" w:type="dxa"/>
            <w:vMerge w:val="restart"/>
            <w:tcBorders>
              <w:top w:val="nil"/>
              <w:left w:val="single" w:sz="8" w:space="0" w:color="auto"/>
              <w:bottom w:val="single" w:sz="4" w:space="0" w:color="000000"/>
              <w:right w:val="single" w:sz="4" w:space="0" w:color="auto"/>
            </w:tcBorders>
            <w:shd w:val="clear" w:color="auto" w:fill="auto"/>
            <w:vAlign w:val="center"/>
            <w:hideMark/>
          </w:tcPr>
          <w:p w:rsidR="00E71DE2" w:rsidRPr="00387068" w:rsidRDefault="00E71DE2" w:rsidP="00CB4EFC">
            <w:pPr>
              <w:jc w:val="center"/>
              <w:rPr>
                <w:b/>
                <w:bCs/>
                <w:sz w:val="22"/>
                <w:szCs w:val="22"/>
              </w:rPr>
            </w:pPr>
            <w:r>
              <w:rPr>
                <w:b/>
                <w:bCs/>
                <w:sz w:val="22"/>
                <w:szCs w:val="22"/>
              </w:rPr>
              <w:t>April</w:t>
            </w:r>
          </w:p>
          <w:p w:rsidR="00E71DE2" w:rsidRPr="00387068" w:rsidRDefault="00E71DE2" w:rsidP="00BF2477">
            <w:pPr>
              <w:jc w:val="center"/>
              <w:rPr>
                <w:b/>
                <w:bCs/>
                <w:sz w:val="22"/>
                <w:szCs w:val="22"/>
              </w:rPr>
            </w:pPr>
            <w:r w:rsidRPr="00387068">
              <w:rPr>
                <w:b/>
                <w:bCs/>
                <w:sz w:val="22"/>
                <w:szCs w:val="22"/>
              </w:rPr>
              <w:t xml:space="preserve"> 201</w:t>
            </w:r>
            <w:r>
              <w:rPr>
                <w:b/>
                <w:bCs/>
                <w:sz w:val="22"/>
                <w:szCs w:val="22"/>
              </w:rPr>
              <w:t>4</w:t>
            </w:r>
          </w:p>
        </w:tc>
        <w:tc>
          <w:tcPr>
            <w:tcW w:w="4088" w:type="dxa"/>
            <w:tcBorders>
              <w:top w:val="single" w:sz="4" w:space="0" w:color="auto"/>
              <w:left w:val="nil"/>
              <w:bottom w:val="single" w:sz="4" w:space="0" w:color="auto"/>
              <w:right w:val="single" w:sz="4" w:space="0" w:color="auto"/>
            </w:tcBorders>
            <w:shd w:val="clear" w:color="000000" w:fill="D9D9D9"/>
            <w:noWrap/>
            <w:vAlign w:val="bottom"/>
            <w:hideMark/>
          </w:tcPr>
          <w:p w:rsidR="00E71DE2" w:rsidRPr="00671EDA" w:rsidRDefault="00E71DE2" w:rsidP="00834D4C">
            <w:pPr>
              <w:rPr>
                <w:b/>
                <w:bCs/>
              </w:rPr>
            </w:pPr>
            <w:r w:rsidRPr="00671EDA">
              <w:rPr>
                <w:b/>
                <w:bCs/>
              </w:rPr>
              <w:t>Total</w:t>
            </w:r>
          </w:p>
        </w:tc>
        <w:tc>
          <w:tcPr>
            <w:tcW w:w="1449" w:type="dxa"/>
            <w:tcBorders>
              <w:top w:val="single" w:sz="4" w:space="0" w:color="auto"/>
              <w:left w:val="nil"/>
              <w:bottom w:val="single" w:sz="4" w:space="0" w:color="auto"/>
              <w:right w:val="single" w:sz="4" w:space="0" w:color="auto"/>
            </w:tcBorders>
            <w:shd w:val="clear" w:color="000000" w:fill="D9D9D9"/>
            <w:noWrap/>
            <w:hideMark/>
          </w:tcPr>
          <w:p w:rsidR="00E71DE2" w:rsidRPr="00E71DE2" w:rsidRDefault="00E71DE2" w:rsidP="00DB7E3E">
            <w:pPr>
              <w:rPr>
                <w:b/>
                <w:bCs/>
              </w:rPr>
            </w:pPr>
            <w:r w:rsidRPr="00E71DE2">
              <w:rPr>
                <w:b/>
                <w:bCs/>
              </w:rPr>
              <w:t xml:space="preserve">28,198 </w:t>
            </w:r>
          </w:p>
        </w:tc>
        <w:tc>
          <w:tcPr>
            <w:tcW w:w="886" w:type="dxa"/>
            <w:tcBorders>
              <w:top w:val="single" w:sz="4" w:space="0" w:color="auto"/>
              <w:left w:val="nil"/>
              <w:bottom w:val="single" w:sz="4" w:space="0" w:color="auto"/>
              <w:right w:val="single" w:sz="4" w:space="0" w:color="auto"/>
            </w:tcBorders>
            <w:shd w:val="clear" w:color="000000" w:fill="D9D9D9"/>
            <w:noWrap/>
            <w:hideMark/>
          </w:tcPr>
          <w:p w:rsidR="00E71DE2" w:rsidRPr="00E71DE2" w:rsidRDefault="00E71DE2" w:rsidP="00DB7E3E">
            <w:pPr>
              <w:rPr>
                <w:b/>
                <w:bCs/>
              </w:rPr>
            </w:pPr>
            <w:r w:rsidRPr="00E71DE2">
              <w:rPr>
                <w:b/>
                <w:bCs/>
              </w:rPr>
              <w:t xml:space="preserve">63,595 </w:t>
            </w:r>
          </w:p>
        </w:tc>
        <w:tc>
          <w:tcPr>
            <w:tcW w:w="1121" w:type="dxa"/>
            <w:tcBorders>
              <w:top w:val="single" w:sz="4" w:space="0" w:color="auto"/>
              <w:left w:val="nil"/>
              <w:bottom w:val="single" w:sz="4" w:space="0" w:color="auto"/>
              <w:right w:val="single" w:sz="4" w:space="0" w:color="auto"/>
            </w:tcBorders>
            <w:shd w:val="clear" w:color="000000" w:fill="D9D9D9"/>
            <w:noWrap/>
            <w:hideMark/>
          </w:tcPr>
          <w:p w:rsidR="00E71DE2" w:rsidRPr="00E71DE2" w:rsidRDefault="00E71DE2" w:rsidP="00DB7E3E">
            <w:pPr>
              <w:rPr>
                <w:b/>
                <w:bCs/>
              </w:rPr>
            </w:pPr>
            <w:r w:rsidRPr="00E71DE2">
              <w:rPr>
                <w:b/>
                <w:bCs/>
              </w:rPr>
              <w:t xml:space="preserve">150 </w:t>
            </w:r>
          </w:p>
        </w:tc>
        <w:tc>
          <w:tcPr>
            <w:tcW w:w="1052" w:type="dxa"/>
            <w:tcBorders>
              <w:top w:val="single" w:sz="4" w:space="0" w:color="auto"/>
              <w:left w:val="nil"/>
              <w:bottom w:val="single" w:sz="4" w:space="0" w:color="auto"/>
              <w:right w:val="single" w:sz="4" w:space="0" w:color="auto"/>
            </w:tcBorders>
            <w:shd w:val="clear" w:color="000000" w:fill="D9D9D9"/>
            <w:noWrap/>
            <w:hideMark/>
          </w:tcPr>
          <w:p w:rsidR="00E71DE2" w:rsidRPr="00E71DE2" w:rsidRDefault="00E71DE2" w:rsidP="00DB7E3E">
            <w:pPr>
              <w:rPr>
                <w:b/>
                <w:bCs/>
              </w:rPr>
            </w:pPr>
            <w:r w:rsidRPr="00E71DE2">
              <w:rPr>
                <w:b/>
                <w:bCs/>
              </w:rPr>
              <w:t xml:space="preserve">6,134 </w:t>
            </w:r>
          </w:p>
        </w:tc>
        <w:tc>
          <w:tcPr>
            <w:tcW w:w="1619" w:type="dxa"/>
            <w:tcBorders>
              <w:top w:val="single" w:sz="4" w:space="0" w:color="auto"/>
              <w:left w:val="nil"/>
              <w:bottom w:val="single" w:sz="4" w:space="0" w:color="auto"/>
              <w:right w:val="single" w:sz="4" w:space="0" w:color="auto"/>
            </w:tcBorders>
            <w:shd w:val="clear" w:color="000000" w:fill="D9D9D9"/>
            <w:noWrap/>
            <w:hideMark/>
          </w:tcPr>
          <w:p w:rsidR="00E71DE2" w:rsidRPr="00E71DE2" w:rsidRDefault="00E71DE2" w:rsidP="00DB7E3E">
            <w:pPr>
              <w:rPr>
                <w:b/>
                <w:bCs/>
              </w:rPr>
            </w:pPr>
            <w:r w:rsidRPr="00E71DE2">
              <w:rPr>
                <w:b/>
                <w:bCs/>
              </w:rPr>
              <w:t xml:space="preserve">98,077 </w:t>
            </w:r>
          </w:p>
        </w:tc>
      </w:tr>
      <w:tr w:rsidR="00E71DE2" w:rsidRPr="00387068" w:rsidTr="005C3895">
        <w:trPr>
          <w:trHeight w:val="303"/>
          <w:jc w:val="center"/>
        </w:trPr>
        <w:tc>
          <w:tcPr>
            <w:tcW w:w="1169" w:type="dxa"/>
            <w:vMerge/>
            <w:tcBorders>
              <w:top w:val="nil"/>
              <w:left w:val="single" w:sz="8" w:space="0" w:color="auto"/>
              <w:bottom w:val="single" w:sz="4" w:space="0" w:color="000000"/>
              <w:right w:val="single" w:sz="4" w:space="0" w:color="auto"/>
            </w:tcBorders>
            <w:vAlign w:val="center"/>
            <w:hideMark/>
          </w:tcPr>
          <w:p w:rsidR="00E71DE2" w:rsidRPr="00387068" w:rsidRDefault="00E71DE2" w:rsidP="00834D4C">
            <w:pPr>
              <w:rPr>
                <w:b/>
                <w:bCs/>
                <w:sz w:val="22"/>
                <w:szCs w:val="22"/>
              </w:rPr>
            </w:pPr>
          </w:p>
        </w:tc>
        <w:tc>
          <w:tcPr>
            <w:tcW w:w="4088" w:type="dxa"/>
            <w:tcBorders>
              <w:top w:val="nil"/>
              <w:left w:val="nil"/>
              <w:bottom w:val="single" w:sz="4" w:space="0" w:color="auto"/>
              <w:right w:val="single" w:sz="4" w:space="0" w:color="auto"/>
            </w:tcBorders>
            <w:shd w:val="clear" w:color="000000" w:fill="D9D9D9"/>
            <w:noWrap/>
            <w:vAlign w:val="bottom"/>
            <w:hideMark/>
          </w:tcPr>
          <w:p w:rsidR="00E71DE2" w:rsidRPr="00671EDA" w:rsidRDefault="00E71DE2" w:rsidP="00A358BC">
            <w:pPr>
              <w:rPr>
                <w:b/>
                <w:bCs/>
              </w:rPr>
            </w:pPr>
            <w:r w:rsidRPr="00671EDA">
              <w:rPr>
                <w:b/>
                <w:bCs/>
              </w:rPr>
              <w:t xml:space="preserve"> Daily average (</w:t>
            </w:r>
            <w:r>
              <w:rPr>
                <w:b/>
                <w:bCs/>
              </w:rPr>
              <w:t>18</w:t>
            </w:r>
            <w:r w:rsidRPr="00671EDA">
              <w:rPr>
                <w:b/>
                <w:bCs/>
              </w:rPr>
              <w:t xml:space="preserve"> days)</w:t>
            </w:r>
          </w:p>
        </w:tc>
        <w:tc>
          <w:tcPr>
            <w:tcW w:w="1449" w:type="dxa"/>
            <w:tcBorders>
              <w:top w:val="nil"/>
              <w:left w:val="nil"/>
              <w:bottom w:val="single" w:sz="4" w:space="0" w:color="auto"/>
              <w:right w:val="single" w:sz="4" w:space="0" w:color="auto"/>
            </w:tcBorders>
            <w:shd w:val="clear" w:color="000000" w:fill="D9D9D9"/>
            <w:noWrap/>
            <w:hideMark/>
          </w:tcPr>
          <w:p w:rsidR="00E71DE2" w:rsidRPr="00E71DE2" w:rsidRDefault="00E71DE2" w:rsidP="00DB7E3E">
            <w:pPr>
              <w:rPr>
                <w:b/>
                <w:bCs/>
              </w:rPr>
            </w:pPr>
            <w:r w:rsidRPr="00E71DE2">
              <w:rPr>
                <w:b/>
                <w:bCs/>
              </w:rPr>
              <w:t xml:space="preserve">1,567 </w:t>
            </w:r>
          </w:p>
        </w:tc>
        <w:tc>
          <w:tcPr>
            <w:tcW w:w="886" w:type="dxa"/>
            <w:tcBorders>
              <w:top w:val="nil"/>
              <w:left w:val="nil"/>
              <w:bottom w:val="single" w:sz="4" w:space="0" w:color="auto"/>
              <w:right w:val="single" w:sz="4" w:space="0" w:color="auto"/>
            </w:tcBorders>
            <w:shd w:val="clear" w:color="000000" w:fill="D9D9D9"/>
            <w:noWrap/>
            <w:hideMark/>
          </w:tcPr>
          <w:p w:rsidR="00E71DE2" w:rsidRPr="00E71DE2" w:rsidRDefault="00E71DE2" w:rsidP="00DB7E3E">
            <w:pPr>
              <w:rPr>
                <w:b/>
                <w:bCs/>
              </w:rPr>
            </w:pPr>
            <w:r w:rsidRPr="00E71DE2">
              <w:rPr>
                <w:b/>
                <w:bCs/>
              </w:rPr>
              <w:t xml:space="preserve">3,533 </w:t>
            </w:r>
          </w:p>
        </w:tc>
        <w:tc>
          <w:tcPr>
            <w:tcW w:w="1121" w:type="dxa"/>
            <w:tcBorders>
              <w:top w:val="nil"/>
              <w:left w:val="nil"/>
              <w:bottom w:val="single" w:sz="4" w:space="0" w:color="auto"/>
              <w:right w:val="single" w:sz="4" w:space="0" w:color="auto"/>
            </w:tcBorders>
            <w:shd w:val="clear" w:color="000000" w:fill="D9D9D9"/>
            <w:noWrap/>
            <w:hideMark/>
          </w:tcPr>
          <w:p w:rsidR="00E71DE2" w:rsidRPr="00E71DE2" w:rsidRDefault="00E71DE2" w:rsidP="00DB7E3E">
            <w:pPr>
              <w:rPr>
                <w:b/>
                <w:bCs/>
              </w:rPr>
            </w:pPr>
            <w:r w:rsidRPr="00E71DE2">
              <w:rPr>
                <w:b/>
                <w:bCs/>
              </w:rPr>
              <w:t xml:space="preserve">8 </w:t>
            </w:r>
          </w:p>
        </w:tc>
        <w:tc>
          <w:tcPr>
            <w:tcW w:w="1052" w:type="dxa"/>
            <w:tcBorders>
              <w:top w:val="nil"/>
              <w:left w:val="nil"/>
              <w:bottom w:val="single" w:sz="4" w:space="0" w:color="auto"/>
              <w:right w:val="single" w:sz="4" w:space="0" w:color="auto"/>
            </w:tcBorders>
            <w:shd w:val="clear" w:color="000000" w:fill="D9D9D9"/>
            <w:noWrap/>
            <w:hideMark/>
          </w:tcPr>
          <w:p w:rsidR="00E71DE2" w:rsidRPr="00E71DE2" w:rsidRDefault="00E71DE2" w:rsidP="00DB7E3E">
            <w:pPr>
              <w:rPr>
                <w:b/>
                <w:bCs/>
              </w:rPr>
            </w:pPr>
            <w:r w:rsidRPr="00E71DE2">
              <w:rPr>
                <w:b/>
                <w:bCs/>
              </w:rPr>
              <w:t xml:space="preserve">341 </w:t>
            </w:r>
          </w:p>
        </w:tc>
        <w:tc>
          <w:tcPr>
            <w:tcW w:w="1619" w:type="dxa"/>
            <w:tcBorders>
              <w:top w:val="nil"/>
              <w:left w:val="nil"/>
              <w:bottom w:val="single" w:sz="4" w:space="0" w:color="auto"/>
              <w:right w:val="single" w:sz="4" w:space="0" w:color="auto"/>
            </w:tcBorders>
            <w:shd w:val="clear" w:color="000000" w:fill="D9D9D9"/>
            <w:noWrap/>
            <w:hideMark/>
          </w:tcPr>
          <w:p w:rsidR="00E71DE2" w:rsidRPr="00E71DE2" w:rsidRDefault="00E71DE2" w:rsidP="00DB7E3E">
            <w:pPr>
              <w:rPr>
                <w:b/>
                <w:bCs/>
              </w:rPr>
            </w:pPr>
            <w:r w:rsidRPr="00E71DE2">
              <w:rPr>
                <w:b/>
                <w:bCs/>
              </w:rPr>
              <w:t xml:space="preserve">5,449 </w:t>
            </w:r>
          </w:p>
        </w:tc>
      </w:tr>
      <w:tr w:rsidR="00E71DE2" w:rsidRPr="00387068" w:rsidTr="005C3895">
        <w:trPr>
          <w:trHeight w:val="303"/>
          <w:jc w:val="center"/>
        </w:trPr>
        <w:tc>
          <w:tcPr>
            <w:tcW w:w="1169" w:type="dxa"/>
            <w:vMerge/>
            <w:tcBorders>
              <w:top w:val="nil"/>
              <w:left w:val="single" w:sz="8" w:space="0" w:color="auto"/>
              <w:bottom w:val="single" w:sz="4" w:space="0" w:color="000000"/>
              <w:right w:val="single" w:sz="4" w:space="0" w:color="auto"/>
            </w:tcBorders>
            <w:vAlign w:val="center"/>
            <w:hideMark/>
          </w:tcPr>
          <w:p w:rsidR="00E71DE2" w:rsidRPr="00387068" w:rsidRDefault="00E71DE2" w:rsidP="00834D4C">
            <w:pPr>
              <w:rPr>
                <w:b/>
                <w:bCs/>
                <w:sz w:val="22"/>
                <w:szCs w:val="22"/>
              </w:rPr>
            </w:pPr>
          </w:p>
        </w:tc>
        <w:tc>
          <w:tcPr>
            <w:tcW w:w="4088" w:type="dxa"/>
            <w:tcBorders>
              <w:top w:val="nil"/>
              <w:left w:val="nil"/>
              <w:bottom w:val="single" w:sz="4" w:space="0" w:color="auto"/>
              <w:right w:val="single" w:sz="4" w:space="0" w:color="auto"/>
            </w:tcBorders>
            <w:shd w:val="clear" w:color="auto" w:fill="auto"/>
            <w:noWrap/>
            <w:vAlign w:val="bottom"/>
            <w:hideMark/>
          </w:tcPr>
          <w:p w:rsidR="00E71DE2" w:rsidRPr="00387068" w:rsidRDefault="00E71DE2" w:rsidP="00834D4C">
            <w:pPr>
              <w:rPr>
                <w:b/>
                <w:bCs/>
                <w:sz w:val="22"/>
                <w:szCs w:val="22"/>
              </w:rPr>
            </w:pPr>
            <w:r w:rsidRPr="00387068">
              <w:rPr>
                <w:b/>
                <w:bCs/>
                <w:sz w:val="22"/>
                <w:szCs w:val="22"/>
              </w:rPr>
              <w:t>Nonresidents</w:t>
            </w:r>
          </w:p>
        </w:tc>
        <w:tc>
          <w:tcPr>
            <w:tcW w:w="1449"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8,793 </w:t>
            </w:r>
          </w:p>
        </w:tc>
        <w:tc>
          <w:tcPr>
            <w:tcW w:w="886"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16,017 </w:t>
            </w:r>
          </w:p>
        </w:tc>
        <w:tc>
          <w:tcPr>
            <w:tcW w:w="1121"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0 </w:t>
            </w:r>
          </w:p>
        </w:tc>
        <w:tc>
          <w:tcPr>
            <w:tcW w:w="1052"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1,651 </w:t>
            </w:r>
          </w:p>
        </w:tc>
        <w:tc>
          <w:tcPr>
            <w:tcW w:w="1619"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26,461 </w:t>
            </w:r>
          </w:p>
        </w:tc>
      </w:tr>
      <w:tr w:rsidR="00E71DE2" w:rsidRPr="00387068" w:rsidTr="005C3895">
        <w:trPr>
          <w:trHeight w:val="303"/>
          <w:jc w:val="center"/>
        </w:trPr>
        <w:tc>
          <w:tcPr>
            <w:tcW w:w="1169" w:type="dxa"/>
            <w:vMerge/>
            <w:tcBorders>
              <w:top w:val="nil"/>
              <w:left w:val="single" w:sz="8" w:space="0" w:color="auto"/>
              <w:bottom w:val="single" w:sz="4" w:space="0" w:color="000000"/>
              <w:right w:val="single" w:sz="4" w:space="0" w:color="auto"/>
            </w:tcBorders>
            <w:vAlign w:val="center"/>
            <w:hideMark/>
          </w:tcPr>
          <w:p w:rsidR="00E71DE2" w:rsidRPr="00387068" w:rsidRDefault="00E71DE2" w:rsidP="00834D4C">
            <w:pPr>
              <w:rPr>
                <w:b/>
                <w:bCs/>
                <w:sz w:val="22"/>
                <w:szCs w:val="22"/>
              </w:rPr>
            </w:pPr>
          </w:p>
        </w:tc>
        <w:tc>
          <w:tcPr>
            <w:tcW w:w="4088" w:type="dxa"/>
            <w:tcBorders>
              <w:top w:val="nil"/>
              <w:left w:val="nil"/>
              <w:bottom w:val="single" w:sz="4" w:space="0" w:color="auto"/>
              <w:right w:val="single" w:sz="4" w:space="0" w:color="auto"/>
            </w:tcBorders>
            <w:shd w:val="clear" w:color="auto" w:fill="auto"/>
            <w:noWrap/>
            <w:vAlign w:val="bottom"/>
            <w:hideMark/>
          </w:tcPr>
          <w:p w:rsidR="00E71DE2" w:rsidRPr="00387068" w:rsidRDefault="00E71DE2" w:rsidP="00834D4C">
            <w:pPr>
              <w:rPr>
                <w:b/>
                <w:bCs/>
                <w:sz w:val="22"/>
                <w:szCs w:val="22"/>
              </w:rPr>
            </w:pPr>
            <w:r w:rsidRPr="00387068">
              <w:rPr>
                <w:b/>
                <w:bCs/>
                <w:sz w:val="22"/>
                <w:szCs w:val="22"/>
              </w:rPr>
              <w:t xml:space="preserve"> of which </w:t>
            </w:r>
            <w:r w:rsidRPr="00387068">
              <w:rPr>
                <w:sz w:val="22"/>
                <w:szCs w:val="22"/>
              </w:rPr>
              <w:t>Foreign financial institutions</w:t>
            </w:r>
          </w:p>
        </w:tc>
        <w:tc>
          <w:tcPr>
            <w:tcW w:w="1449"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8,055 </w:t>
            </w:r>
          </w:p>
        </w:tc>
        <w:tc>
          <w:tcPr>
            <w:tcW w:w="886"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15,799 </w:t>
            </w:r>
          </w:p>
        </w:tc>
        <w:tc>
          <w:tcPr>
            <w:tcW w:w="1121"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0 </w:t>
            </w:r>
          </w:p>
        </w:tc>
        <w:tc>
          <w:tcPr>
            <w:tcW w:w="1052"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1,644 </w:t>
            </w:r>
          </w:p>
        </w:tc>
        <w:tc>
          <w:tcPr>
            <w:tcW w:w="1619"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25,498 </w:t>
            </w:r>
          </w:p>
        </w:tc>
      </w:tr>
      <w:tr w:rsidR="00E71DE2" w:rsidRPr="00387068" w:rsidTr="005C3895">
        <w:trPr>
          <w:trHeight w:val="303"/>
          <w:jc w:val="center"/>
        </w:trPr>
        <w:tc>
          <w:tcPr>
            <w:tcW w:w="1169" w:type="dxa"/>
            <w:vMerge/>
            <w:tcBorders>
              <w:top w:val="nil"/>
              <w:left w:val="single" w:sz="8" w:space="0" w:color="auto"/>
              <w:bottom w:val="single" w:sz="4" w:space="0" w:color="000000"/>
              <w:right w:val="single" w:sz="4" w:space="0" w:color="auto"/>
            </w:tcBorders>
            <w:vAlign w:val="center"/>
            <w:hideMark/>
          </w:tcPr>
          <w:p w:rsidR="00E71DE2" w:rsidRPr="00387068" w:rsidRDefault="00E71DE2" w:rsidP="00834D4C">
            <w:pPr>
              <w:rPr>
                <w:b/>
                <w:bCs/>
                <w:sz w:val="22"/>
                <w:szCs w:val="22"/>
              </w:rPr>
            </w:pPr>
          </w:p>
        </w:tc>
        <w:tc>
          <w:tcPr>
            <w:tcW w:w="4088" w:type="dxa"/>
            <w:tcBorders>
              <w:top w:val="nil"/>
              <w:left w:val="nil"/>
              <w:bottom w:val="single" w:sz="4" w:space="0" w:color="auto"/>
              <w:right w:val="single" w:sz="4" w:space="0" w:color="auto"/>
            </w:tcBorders>
            <w:shd w:val="clear" w:color="auto" w:fill="auto"/>
            <w:noWrap/>
            <w:vAlign w:val="bottom"/>
            <w:hideMark/>
          </w:tcPr>
          <w:p w:rsidR="00E71DE2" w:rsidRPr="00387068" w:rsidRDefault="00E71DE2" w:rsidP="00834D4C">
            <w:pPr>
              <w:rPr>
                <w:b/>
                <w:bCs/>
                <w:sz w:val="22"/>
                <w:szCs w:val="22"/>
              </w:rPr>
            </w:pPr>
            <w:r w:rsidRPr="00387068">
              <w:rPr>
                <w:b/>
                <w:bCs/>
                <w:sz w:val="22"/>
                <w:szCs w:val="22"/>
              </w:rPr>
              <w:t>Residents</w:t>
            </w:r>
          </w:p>
        </w:tc>
        <w:tc>
          <w:tcPr>
            <w:tcW w:w="1449"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19,405 </w:t>
            </w:r>
          </w:p>
        </w:tc>
        <w:tc>
          <w:tcPr>
            <w:tcW w:w="886"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47,578 </w:t>
            </w:r>
          </w:p>
        </w:tc>
        <w:tc>
          <w:tcPr>
            <w:tcW w:w="1121"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150 </w:t>
            </w:r>
          </w:p>
        </w:tc>
        <w:tc>
          <w:tcPr>
            <w:tcW w:w="1052"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4,483 </w:t>
            </w:r>
          </w:p>
        </w:tc>
        <w:tc>
          <w:tcPr>
            <w:tcW w:w="1619"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71,616 </w:t>
            </w:r>
          </w:p>
        </w:tc>
      </w:tr>
      <w:tr w:rsidR="00E71DE2" w:rsidRPr="00387068" w:rsidTr="005C3895">
        <w:trPr>
          <w:trHeight w:val="303"/>
          <w:jc w:val="center"/>
        </w:trPr>
        <w:tc>
          <w:tcPr>
            <w:tcW w:w="1169" w:type="dxa"/>
            <w:vMerge/>
            <w:tcBorders>
              <w:top w:val="nil"/>
              <w:left w:val="single" w:sz="8" w:space="0" w:color="auto"/>
              <w:bottom w:val="single" w:sz="4" w:space="0" w:color="000000"/>
              <w:right w:val="single" w:sz="4" w:space="0" w:color="auto"/>
            </w:tcBorders>
            <w:vAlign w:val="center"/>
            <w:hideMark/>
          </w:tcPr>
          <w:p w:rsidR="00E71DE2" w:rsidRPr="00387068" w:rsidRDefault="00E71DE2" w:rsidP="00834D4C">
            <w:pPr>
              <w:rPr>
                <w:b/>
                <w:bCs/>
                <w:sz w:val="22"/>
                <w:szCs w:val="22"/>
              </w:rPr>
            </w:pPr>
          </w:p>
        </w:tc>
        <w:tc>
          <w:tcPr>
            <w:tcW w:w="4088" w:type="dxa"/>
            <w:tcBorders>
              <w:top w:val="nil"/>
              <w:left w:val="nil"/>
              <w:bottom w:val="single" w:sz="4" w:space="0" w:color="auto"/>
              <w:right w:val="single" w:sz="4" w:space="0" w:color="auto"/>
            </w:tcBorders>
            <w:shd w:val="clear" w:color="auto" w:fill="auto"/>
            <w:noWrap/>
            <w:vAlign w:val="bottom"/>
            <w:hideMark/>
          </w:tcPr>
          <w:p w:rsidR="00E71DE2" w:rsidRPr="00387068" w:rsidRDefault="00E71DE2" w:rsidP="00834D4C">
            <w:pPr>
              <w:rPr>
                <w:b/>
                <w:bCs/>
                <w:sz w:val="22"/>
                <w:szCs w:val="22"/>
              </w:rPr>
            </w:pPr>
            <w:r w:rsidRPr="00387068">
              <w:rPr>
                <w:b/>
                <w:bCs/>
                <w:sz w:val="22"/>
                <w:szCs w:val="22"/>
              </w:rPr>
              <w:t xml:space="preserve"> of which</w:t>
            </w:r>
            <w:r w:rsidRPr="00387068">
              <w:rPr>
                <w:sz w:val="22"/>
                <w:szCs w:val="22"/>
              </w:rPr>
              <w:t xml:space="preserve"> Real sector</w:t>
            </w:r>
          </w:p>
        </w:tc>
        <w:tc>
          <w:tcPr>
            <w:tcW w:w="1449"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5,888 </w:t>
            </w:r>
          </w:p>
        </w:tc>
        <w:tc>
          <w:tcPr>
            <w:tcW w:w="886"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4,871 </w:t>
            </w:r>
          </w:p>
        </w:tc>
        <w:tc>
          <w:tcPr>
            <w:tcW w:w="1121"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87 </w:t>
            </w:r>
          </w:p>
        </w:tc>
        <w:tc>
          <w:tcPr>
            <w:tcW w:w="1052"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1,941 </w:t>
            </w:r>
          </w:p>
        </w:tc>
        <w:tc>
          <w:tcPr>
            <w:tcW w:w="1619"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12,787 </w:t>
            </w:r>
          </w:p>
        </w:tc>
      </w:tr>
      <w:tr w:rsidR="00E71DE2" w:rsidRPr="00387068" w:rsidTr="005C3895">
        <w:trPr>
          <w:trHeight w:val="303"/>
          <w:jc w:val="center"/>
        </w:trPr>
        <w:tc>
          <w:tcPr>
            <w:tcW w:w="1169" w:type="dxa"/>
            <w:vMerge/>
            <w:tcBorders>
              <w:top w:val="nil"/>
              <w:left w:val="single" w:sz="8" w:space="0" w:color="auto"/>
              <w:bottom w:val="single" w:sz="4" w:space="0" w:color="000000"/>
              <w:right w:val="single" w:sz="4" w:space="0" w:color="auto"/>
            </w:tcBorders>
            <w:vAlign w:val="center"/>
            <w:hideMark/>
          </w:tcPr>
          <w:p w:rsidR="00E71DE2" w:rsidRPr="00387068" w:rsidRDefault="00E71DE2" w:rsidP="00834D4C">
            <w:pPr>
              <w:rPr>
                <w:b/>
                <w:bCs/>
                <w:sz w:val="22"/>
                <w:szCs w:val="22"/>
              </w:rPr>
            </w:pPr>
          </w:p>
        </w:tc>
        <w:tc>
          <w:tcPr>
            <w:tcW w:w="4088" w:type="dxa"/>
            <w:tcBorders>
              <w:top w:val="nil"/>
              <w:left w:val="nil"/>
              <w:bottom w:val="single" w:sz="4" w:space="0" w:color="auto"/>
              <w:right w:val="single" w:sz="4" w:space="0" w:color="auto"/>
            </w:tcBorders>
            <w:shd w:val="clear" w:color="auto" w:fill="auto"/>
            <w:noWrap/>
            <w:vAlign w:val="bottom"/>
            <w:hideMark/>
          </w:tcPr>
          <w:p w:rsidR="00E71DE2" w:rsidRPr="00387068" w:rsidRDefault="00E71DE2" w:rsidP="00834D4C">
            <w:pPr>
              <w:rPr>
                <w:b/>
                <w:bCs/>
                <w:sz w:val="22"/>
                <w:szCs w:val="22"/>
              </w:rPr>
            </w:pPr>
            <w:r w:rsidRPr="00387068">
              <w:rPr>
                <w:b/>
                <w:bCs/>
                <w:sz w:val="22"/>
                <w:szCs w:val="22"/>
              </w:rPr>
              <w:t xml:space="preserve"> Financial sector</w:t>
            </w:r>
          </w:p>
        </w:tc>
        <w:tc>
          <w:tcPr>
            <w:tcW w:w="1449"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3,348 </w:t>
            </w:r>
          </w:p>
        </w:tc>
        <w:tc>
          <w:tcPr>
            <w:tcW w:w="886"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28,499 </w:t>
            </w:r>
          </w:p>
        </w:tc>
        <w:tc>
          <w:tcPr>
            <w:tcW w:w="1121"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0 </w:t>
            </w:r>
          </w:p>
        </w:tc>
        <w:tc>
          <w:tcPr>
            <w:tcW w:w="1052"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1,788 </w:t>
            </w:r>
          </w:p>
        </w:tc>
        <w:tc>
          <w:tcPr>
            <w:tcW w:w="1619"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33,635 </w:t>
            </w:r>
          </w:p>
        </w:tc>
      </w:tr>
      <w:tr w:rsidR="00E71DE2" w:rsidRPr="00387068" w:rsidTr="005C3895">
        <w:trPr>
          <w:trHeight w:val="303"/>
          <w:jc w:val="center"/>
        </w:trPr>
        <w:tc>
          <w:tcPr>
            <w:tcW w:w="1169" w:type="dxa"/>
            <w:vMerge/>
            <w:tcBorders>
              <w:top w:val="nil"/>
              <w:left w:val="single" w:sz="8" w:space="0" w:color="auto"/>
              <w:bottom w:val="single" w:sz="4" w:space="0" w:color="000000"/>
              <w:right w:val="single" w:sz="4" w:space="0" w:color="auto"/>
            </w:tcBorders>
            <w:vAlign w:val="center"/>
            <w:hideMark/>
          </w:tcPr>
          <w:p w:rsidR="00E71DE2" w:rsidRPr="00387068" w:rsidRDefault="00E71DE2" w:rsidP="00834D4C">
            <w:pPr>
              <w:rPr>
                <w:b/>
                <w:bCs/>
                <w:sz w:val="22"/>
                <w:szCs w:val="22"/>
              </w:rPr>
            </w:pPr>
          </w:p>
        </w:tc>
        <w:tc>
          <w:tcPr>
            <w:tcW w:w="4088" w:type="dxa"/>
            <w:tcBorders>
              <w:top w:val="nil"/>
              <w:left w:val="nil"/>
              <w:bottom w:val="single" w:sz="4" w:space="0" w:color="auto"/>
              <w:right w:val="single" w:sz="4" w:space="0" w:color="auto"/>
            </w:tcBorders>
            <w:shd w:val="clear" w:color="auto" w:fill="auto"/>
            <w:noWrap/>
            <w:vAlign w:val="bottom"/>
            <w:hideMark/>
          </w:tcPr>
          <w:p w:rsidR="00E71DE2" w:rsidRPr="00387068" w:rsidRDefault="00E71DE2" w:rsidP="00834D4C">
            <w:pPr>
              <w:rPr>
                <w:b/>
                <w:bCs/>
                <w:sz w:val="22"/>
                <w:szCs w:val="22"/>
              </w:rPr>
            </w:pPr>
            <w:r w:rsidRPr="00387068">
              <w:rPr>
                <w:b/>
                <w:bCs/>
                <w:sz w:val="22"/>
                <w:szCs w:val="22"/>
              </w:rPr>
              <w:t xml:space="preserve"> Institutions (incl. insurance companies)</w:t>
            </w:r>
          </w:p>
        </w:tc>
        <w:tc>
          <w:tcPr>
            <w:tcW w:w="1449"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3,680 </w:t>
            </w:r>
          </w:p>
        </w:tc>
        <w:tc>
          <w:tcPr>
            <w:tcW w:w="886"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6,516 </w:t>
            </w:r>
          </w:p>
        </w:tc>
        <w:tc>
          <w:tcPr>
            <w:tcW w:w="1121"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0 </w:t>
            </w:r>
          </w:p>
        </w:tc>
        <w:tc>
          <w:tcPr>
            <w:tcW w:w="1052"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1 </w:t>
            </w:r>
          </w:p>
        </w:tc>
        <w:tc>
          <w:tcPr>
            <w:tcW w:w="1619"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10,197 </w:t>
            </w:r>
          </w:p>
        </w:tc>
      </w:tr>
      <w:tr w:rsidR="00E71DE2" w:rsidRPr="00387068" w:rsidTr="005C3895">
        <w:trPr>
          <w:trHeight w:val="303"/>
          <w:jc w:val="center"/>
        </w:trPr>
        <w:tc>
          <w:tcPr>
            <w:tcW w:w="1169" w:type="dxa"/>
            <w:vMerge/>
            <w:tcBorders>
              <w:top w:val="nil"/>
              <w:left w:val="single" w:sz="8" w:space="0" w:color="auto"/>
              <w:bottom w:val="single" w:sz="4" w:space="0" w:color="000000"/>
              <w:right w:val="single" w:sz="4" w:space="0" w:color="auto"/>
            </w:tcBorders>
            <w:vAlign w:val="center"/>
            <w:hideMark/>
          </w:tcPr>
          <w:p w:rsidR="00E71DE2" w:rsidRPr="00387068" w:rsidRDefault="00E71DE2" w:rsidP="00834D4C">
            <w:pPr>
              <w:rPr>
                <w:b/>
                <w:bCs/>
                <w:sz w:val="22"/>
                <w:szCs w:val="22"/>
              </w:rPr>
            </w:pPr>
          </w:p>
        </w:tc>
        <w:tc>
          <w:tcPr>
            <w:tcW w:w="4088" w:type="dxa"/>
            <w:tcBorders>
              <w:top w:val="nil"/>
              <w:left w:val="nil"/>
              <w:bottom w:val="single" w:sz="4" w:space="0" w:color="auto"/>
              <w:right w:val="single" w:sz="4" w:space="0" w:color="auto"/>
            </w:tcBorders>
            <w:shd w:val="clear" w:color="auto" w:fill="auto"/>
            <w:noWrap/>
            <w:vAlign w:val="bottom"/>
            <w:hideMark/>
          </w:tcPr>
          <w:p w:rsidR="00E71DE2" w:rsidRPr="00387068" w:rsidRDefault="00E71DE2" w:rsidP="00834D4C">
            <w:pPr>
              <w:rPr>
                <w:b/>
                <w:bCs/>
                <w:sz w:val="22"/>
                <w:szCs w:val="22"/>
              </w:rPr>
            </w:pPr>
            <w:r w:rsidRPr="00387068">
              <w:rPr>
                <w:b/>
                <w:bCs/>
                <w:sz w:val="22"/>
                <w:szCs w:val="22"/>
              </w:rPr>
              <w:t xml:space="preserve"> Individuals and provident funds</w:t>
            </w:r>
          </w:p>
        </w:tc>
        <w:tc>
          <w:tcPr>
            <w:tcW w:w="1449"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700 </w:t>
            </w:r>
          </w:p>
        </w:tc>
        <w:tc>
          <w:tcPr>
            <w:tcW w:w="886"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654 </w:t>
            </w:r>
          </w:p>
        </w:tc>
        <w:tc>
          <w:tcPr>
            <w:tcW w:w="1121"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0 </w:t>
            </w:r>
          </w:p>
        </w:tc>
        <w:tc>
          <w:tcPr>
            <w:tcW w:w="1052"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202 </w:t>
            </w:r>
          </w:p>
        </w:tc>
        <w:tc>
          <w:tcPr>
            <w:tcW w:w="1619"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1,556 </w:t>
            </w:r>
          </w:p>
        </w:tc>
      </w:tr>
      <w:tr w:rsidR="00E71DE2" w:rsidRPr="00387068" w:rsidTr="005C3895">
        <w:trPr>
          <w:trHeight w:val="303"/>
          <w:jc w:val="center"/>
        </w:trPr>
        <w:tc>
          <w:tcPr>
            <w:tcW w:w="1169" w:type="dxa"/>
            <w:vMerge/>
            <w:tcBorders>
              <w:top w:val="nil"/>
              <w:left w:val="single" w:sz="8" w:space="0" w:color="auto"/>
              <w:bottom w:val="single" w:sz="4" w:space="0" w:color="000000"/>
              <w:right w:val="single" w:sz="4" w:space="0" w:color="auto"/>
            </w:tcBorders>
            <w:vAlign w:val="center"/>
            <w:hideMark/>
          </w:tcPr>
          <w:p w:rsidR="00E71DE2" w:rsidRPr="00387068" w:rsidRDefault="00E71DE2" w:rsidP="00834D4C">
            <w:pPr>
              <w:rPr>
                <w:b/>
                <w:bCs/>
                <w:sz w:val="22"/>
                <w:szCs w:val="22"/>
              </w:rPr>
            </w:pPr>
          </w:p>
        </w:tc>
        <w:tc>
          <w:tcPr>
            <w:tcW w:w="4088" w:type="dxa"/>
            <w:tcBorders>
              <w:top w:val="nil"/>
              <w:left w:val="nil"/>
              <w:bottom w:val="single" w:sz="4" w:space="0" w:color="auto"/>
              <w:right w:val="single" w:sz="4" w:space="0" w:color="auto"/>
            </w:tcBorders>
            <w:shd w:val="clear" w:color="auto" w:fill="auto"/>
            <w:noWrap/>
            <w:vAlign w:val="bottom"/>
            <w:hideMark/>
          </w:tcPr>
          <w:p w:rsidR="00E71DE2" w:rsidRPr="00387068" w:rsidRDefault="00E71DE2" w:rsidP="00834D4C">
            <w:pPr>
              <w:rPr>
                <w:b/>
                <w:bCs/>
                <w:sz w:val="22"/>
                <w:szCs w:val="22"/>
              </w:rPr>
            </w:pPr>
            <w:r w:rsidRPr="00387068">
              <w:rPr>
                <w:b/>
                <w:bCs/>
                <w:sz w:val="22"/>
                <w:szCs w:val="22"/>
              </w:rPr>
              <w:t xml:space="preserve"> The Bank of Israel</w:t>
            </w:r>
          </w:p>
        </w:tc>
        <w:tc>
          <w:tcPr>
            <w:tcW w:w="1449"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590 </w:t>
            </w:r>
          </w:p>
        </w:tc>
        <w:tc>
          <w:tcPr>
            <w:tcW w:w="886"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0 </w:t>
            </w:r>
          </w:p>
        </w:tc>
        <w:tc>
          <w:tcPr>
            <w:tcW w:w="1121"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0 </w:t>
            </w:r>
          </w:p>
        </w:tc>
        <w:tc>
          <w:tcPr>
            <w:tcW w:w="1052"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0 </w:t>
            </w:r>
          </w:p>
        </w:tc>
        <w:tc>
          <w:tcPr>
            <w:tcW w:w="1619"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590 </w:t>
            </w:r>
          </w:p>
        </w:tc>
      </w:tr>
      <w:tr w:rsidR="00E71DE2" w:rsidRPr="00387068" w:rsidTr="005C3895">
        <w:trPr>
          <w:trHeight w:val="303"/>
          <w:jc w:val="center"/>
        </w:trPr>
        <w:tc>
          <w:tcPr>
            <w:tcW w:w="1169" w:type="dxa"/>
            <w:vMerge/>
            <w:tcBorders>
              <w:top w:val="nil"/>
              <w:left w:val="single" w:sz="8" w:space="0" w:color="auto"/>
              <w:bottom w:val="single" w:sz="4" w:space="0" w:color="000000"/>
              <w:right w:val="single" w:sz="4" w:space="0" w:color="auto"/>
            </w:tcBorders>
            <w:vAlign w:val="center"/>
            <w:hideMark/>
          </w:tcPr>
          <w:p w:rsidR="00E71DE2" w:rsidRPr="00387068" w:rsidRDefault="00E71DE2" w:rsidP="00834D4C">
            <w:pPr>
              <w:rPr>
                <w:b/>
                <w:bCs/>
                <w:sz w:val="22"/>
                <w:szCs w:val="22"/>
              </w:rPr>
            </w:pPr>
          </w:p>
        </w:tc>
        <w:tc>
          <w:tcPr>
            <w:tcW w:w="4088" w:type="dxa"/>
            <w:tcBorders>
              <w:top w:val="nil"/>
              <w:left w:val="nil"/>
              <w:bottom w:val="single" w:sz="4" w:space="0" w:color="auto"/>
              <w:right w:val="single" w:sz="4" w:space="0" w:color="auto"/>
            </w:tcBorders>
            <w:shd w:val="clear" w:color="auto" w:fill="auto"/>
            <w:noWrap/>
            <w:vAlign w:val="bottom"/>
            <w:hideMark/>
          </w:tcPr>
          <w:p w:rsidR="00E71DE2" w:rsidRPr="00387068" w:rsidRDefault="00E71DE2" w:rsidP="00834D4C">
            <w:pPr>
              <w:rPr>
                <w:b/>
                <w:bCs/>
                <w:sz w:val="22"/>
                <w:szCs w:val="22"/>
              </w:rPr>
            </w:pPr>
            <w:r w:rsidRPr="00387068">
              <w:rPr>
                <w:b/>
                <w:bCs/>
                <w:i/>
                <w:iCs/>
                <w:sz w:val="22"/>
                <w:szCs w:val="22"/>
              </w:rPr>
              <w:t>of which</w:t>
            </w:r>
            <w:r w:rsidRPr="00387068">
              <w:rPr>
                <w:sz w:val="22"/>
                <w:szCs w:val="22"/>
              </w:rPr>
              <w:t xml:space="preserve"> within the program to offset the gas effect </w:t>
            </w:r>
          </w:p>
        </w:tc>
        <w:tc>
          <w:tcPr>
            <w:tcW w:w="1449"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290 </w:t>
            </w:r>
          </w:p>
        </w:tc>
        <w:tc>
          <w:tcPr>
            <w:tcW w:w="886"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0 </w:t>
            </w:r>
          </w:p>
        </w:tc>
        <w:tc>
          <w:tcPr>
            <w:tcW w:w="1121"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0 </w:t>
            </w:r>
          </w:p>
        </w:tc>
        <w:tc>
          <w:tcPr>
            <w:tcW w:w="1052"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0 </w:t>
            </w:r>
          </w:p>
        </w:tc>
        <w:tc>
          <w:tcPr>
            <w:tcW w:w="1619"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290 </w:t>
            </w:r>
          </w:p>
        </w:tc>
      </w:tr>
      <w:tr w:rsidR="00E71DE2" w:rsidRPr="00387068" w:rsidTr="005C3895">
        <w:trPr>
          <w:trHeight w:val="303"/>
          <w:jc w:val="center"/>
        </w:trPr>
        <w:tc>
          <w:tcPr>
            <w:tcW w:w="1169" w:type="dxa"/>
            <w:vMerge/>
            <w:tcBorders>
              <w:top w:val="nil"/>
              <w:left w:val="single" w:sz="8" w:space="0" w:color="auto"/>
              <w:bottom w:val="single" w:sz="4" w:space="0" w:color="000000"/>
              <w:right w:val="single" w:sz="4" w:space="0" w:color="auto"/>
            </w:tcBorders>
            <w:vAlign w:val="center"/>
            <w:hideMark/>
          </w:tcPr>
          <w:p w:rsidR="00E71DE2" w:rsidRPr="00387068" w:rsidRDefault="00E71DE2" w:rsidP="00834D4C">
            <w:pPr>
              <w:rPr>
                <w:b/>
                <w:bCs/>
                <w:sz w:val="22"/>
                <w:szCs w:val="22"/>
              </w:rPr>
            </w:pPr>
          </w:p>
        </w:tc>
        <w:tc>
          <w:tcPr>
            <w:tcW w:w="4088" w:type="dxa"/>
            <w:tcBorders>
              <w:top w:val="nil"/>
              <w:left w:val="nil"/>
              <w:bottom w:val="single" w:sz="4" w:space="0" w:color="auto"/>
              <w:right w:val="single" w:sz="4" w:space="0" w:color="auto"/>
            </w:tcBorders>
            <w:shd w:val="clear" w:color="auto" w:fill="auto"/>
            <w:noWrap/>
            <w:vAlign w:val="bottom"/>
            <w:hideMark/>
          </w:tcPr>
          <w:p w:rsidR="00E71DE2" w:rsidRPr="00387068" w:rsidRDefault="00E71DE2" w:rsidP="00834D4C">
            <w:pPr>
              <w:rPr>
                <w:b/>
                <w:bCs/>
                <w:sz w:val="22"/>
                <w:szCs w:val="22"/>
              </w:rPr>
            </w:pPr>
            <w:r w:rsidRPr="00387068">
              <w:rPr>
                <w:b/>
                <w:bCs/>
                <w:sz w:val="22"/>
                <w:szCs w:val="22"/>
              </w:rPr>
              <w:t xml:space="preserve"> Other</w:t>
            </w:r>
            <w:r>
              <w:rPr>
                <w:rStyle w:val="a9"/>
                <w:b/>
                <w:bCs/>
                <w:sz w:val="22"/>
                <w:szCs w:val="22"/>
              </w:rPr>
              <w:footnoteReference w:customMarkFollows="1" w:id="7"/>
              <w:t>4</w:t>
            </w:r>
          </w:p>
        </w:tc>
        <w:tc>
          <w:tcPr>
            <w:tcW w:w="1449"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2,767 </w:t>
            </w:r>
          </w:p>
        </w:tc>
        <w:tc>
          <w:tcPr>
            <w:tcW w:w="886"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20 </w:t>
            </w:r>
          </w:p>
        </w:tc>
        <w:tc>
          <w:tcPr>
            <w:tcW w:w="1121"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0 </w:t>
            </w:r>
          </w:p>
        </w:tc>
        <w:tc>
          <w:tcPr>
            <w:tcW w:w="1052"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17 </w:t>
            </w:r>
          </w:p>
        </w:tc>
        <w:tc>
          <w:tcPr>
            <w:tcW w:w="1619"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2,804 </w:t>
            </w:r>
          </w:p>
        </w:tc>
      </w:tr>
      <w:tr w:rsidR="00E71DE2" w:rsidRPr="00387068" w:rsidTr="005C3895">
        <w:trPr>
          <w:trHeight w:val="303"/>
          <w:jc w:val="center"/>
        </w:trPr>
        <w:tc>
          <w:tcPr>
            <w:tcW w:w="1169" w:type="dxa"/>
            <w:vMerge/>
            <w:tcBorders>
              <w:top w:val="nil"/>
              <w:left w:val="single" w:sz="8" w:space="0" w:color="auto"/>
              <w:bottom w:val="single" w:sz="4" w:space="0" w:color="000000"/>
              <w:right w:val="single" w:sz="4" w:space="0" w:color="auto"/>
            </w:tcBorders>
            <w:vAlign w:val="center"/>
            <w:hideMark/>
          </w:tcPr>
          <w:p w:rsidR="00E71DE2" w:rsidRPr="00387068" w:rsidRDefault="00E71DE2" w:rsidP="00834D4C">
            <w:pPr>
              <w:rPr>
                <w:b/>
                <w:bCs/>
                <w:sz w:val="22"/>
                <w:szCs w:val="22"/>
              </w:rPr>
            </w:pPr>
          </w:p>
        </w:tc>
        <w:tc>
          <w:tcPr>
            <w:tcW w:w="4088" w:type="dxa"/>
            <w:tcBorders>
              <w:top w:val="nil"/>
              <w:left w:val="single" w:sz="4" w:space="0" w:color="auto"/>
              <w:bottom w:val="single" w:sz="4" w:space="0" w:color="auto"/>
              <w:right w:val="single" w:sz="4" w:space="0" w:color="auto"/>
            </w:tcBorders>
            <w:shd w:val="clear" w:color="auto" w:fill="auto"/>
            <w:noWrap/>
            <w:vAlign w:val="bottom"/>
            <w:hideMark/>
          </w:tcPr>
          <w:p w:rsidR="00E71DE2" w:rsidRPr="00387068" w:rsidRDefault="00E71DE2" w:rsidP="00834D4C">
            <w:pPr>
              <w:rPr>
                <w:b/>
                <w:bCs/>
                <w:sz w:val="22"/>
                <w:szCs w:val="22"/>
              </w:rPr>
            </w:pPr>
            <w:r w:rsidRPr="00387068">
              <w:rPr>
                <w:b/>
                <w:bCs/>
                <w:sz w:val="22"/>
                <w:szCs w:val="22"/>
              </w:rPr>
              <w:t xml:space="preserve"> Domestic banks</w:t>
            </w:r>
            <w:r>
              <w:rPr>
                <w:rStyle w:val="a9"/>
                <w:b/>
                <w:bCs/>
                <w:sz w:val="22"/>
                <w:szCs w:val="22"/>
              </w:rPr>
              <w:footnoteReference w:customMarkFollows="1" w:id="8"/>
              <w:t>5</w:t>
            </w:r>
          </w:p>
        </w:tc>
        <w:tc>
          <w:tcPr>
            <w:tcW w:w="1449" w:type="dxa"/>
            <w:tcBorders>
              <w:top w:val="nil"/>
              <w:left w:val="single" w:sz="4" w:space="0" w:color="auto"/>
              <w:bottom w:val="single" w:sz="4" w:space="0" w:color="auto"/>
              <w:right w:val="single" w:sz="4" w:space="0" w:color="auto"/>
            </w:tcBorders>
            <w:shd w:val="clear" w:color="auto" w:fill="auto"/>
            <w:noWrap/>
            <w:hideMark/>
          </w:tcPr>
          <w:p w:rsidR="00E71DE2" w:rsidRPr="003E657E" w:rsidRDefault="00E71DE2" w:rsidP="00DB7E3E">
            <w:r w:rsidRPr="003E657E">
              <w:t xml:space="preserve">2,432 </w:t>
            </w:r>
          </w:p>
        </w:tc>
        <w:tc>
          <w:tcPr>
            <w:tcW w:w="886"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7,018 </w:t>
            </w:r>
          </w:p>
        </w:tc>
        <w:tc>
          <w:tcPr>
            <w:tcW w:w="1121"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63 </w:t>
            </w:r>
          </w:p>
        </w:tc>
        <w:tc>
          <w:tcPr>
            <w:tcW w:w="1052" w:type="dxa"/>
            <w:tcBorders>
              <w:top w:val="nil"/>
              <w:left w:val="nil"/>
              <w:bottom w:val="single" w:sz="4" w:space="0" w:color="auto"/>
              <w:right w:val="single" w:sz="4" w:space="0" w:color="auto"/>
            </w:tcBorders>
            <w:shd w:val="clear" w:color="auto" w:fill="auto"/>
            <w:noWrap/>
            <w:hideMark/>
          </w:tcPr>
          <w:p w:rsidR="00E71DE2" w:rsidRPr="003E657E" w:rsidRDefault="00E71DE2" w:rsidP="00DB7E3E">
            <w:r w:rsidRPr="003E657E">
              <w:t xml:space="preserve">534 </w:t>
            </w:r>
          </w:p>
        </w:tc>
        <w:tc>
          <w:tcPr>
            <w:tcW w:w="1619" w:type="dxa"/>
            <w:tcBorders>
              <w:top w:val="nil"/>
              <w:left w:val="nil"/>
              <w:bottom w:val="single" w:sz="4" w:space="0" w:color="auto"/>
              <w:right w:val="single" w:sz="4" w:space="0" w:color="auto"/>
            </w:tcBorders>
            <w:shd w:val="clear" w:color="auto" w:fill="auto"/>
            <w:noWrap/>
            <w:hideMark/>
          </w:tcPr>
          <w:p w:rsidR="00E71DE2" w:rsidRDefault="00E71DE2" w:rsidP="00DB7E3E">
            <w:r w:rsidRPr="003E657E">
              <w:t xml:space="preserve">10,047 </w:t>
            </w:r>
          </w:p>
        </w:tc>
      </w:tr>
    </w:tbl>
    <w:p w:rsidR="000D690C" w:rsidRPr="00387068" w:rsidRDefault="000D690C" w:rsidP="00E73F42">
      <w:pPr>
        <w:jc w:val="both"/>
        <w:rPr>
          <w:sz w:val="22"/>
          <w:szCs w:val="22"/>
        </w:rPr>
      </w:pPr>
    </w:p>
    <w:sectPr w:rsidR="000D690C" w:rsidRPr="00387068" w:rsidSect="00953F98">
      <w:footnotePr>
        <w:numRestart w:val="eachPage"/>
      </w:footnotePr>
      <w:type w:val="continuous"/>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E52" w:rsidRDefault="00A66E52">
      <w:r>
        <w:separator/>
      </w:r>
    </w:p>
  </w:endnote>
  <w:endnote w:type="continuationSeparator" w:id="0">
    <w:p w:rsidR="00A66E52" w:rsidRDefault="00A66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0000000000000000000"/>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2001334846"/>
      <w:docPartObj>
        <w:docPartGallery w:val="Page Numbers (Bottom of Page)"/>
        <w:docPartUnique/>
      </w:docPartObj>
    </w:sdtPr>
    <w:sdtEndPr>
      <w:rPr>
        <w:cs/>
      </w:rPr>
    </w:sdtEndPr>
    <w:sdtContent>
      <w:sdt>
        <w:sdtPr>
          <w:rPr>
            <w:sz w:val="18"/>
            <w:szCs w:val="18"/>
          </w:rPr>
          <w:id w:val="860082579"/>
          <w:docPartObj>
            <w:docPartGallery w:val="Page Numbers (Top of Page)"/>
            <w:docPartUnique/>
          </w:docPartObj>
        </w:sdtPr>
        <w:sdtContent>
          <w:p w:rsidR="008B6A8E" w:rsidRPr="008B6A8E" w:rsidRDefault="008B6A8E" w:rsidP="00EB4B49">
            <w:pPr>
              <w:spacing w:line="300" w:lineRule="exact"/>
              <w:ind w:left="-851" w:right="-760"/>
            </w:pPr>
            <w:r w:rsidRPr="008B6A8E">
              <w:rPr>
                <w:sz w:val="18"/>
                <w:szCs w:val="18"/>
              </w:rPr>
              <w:t>Bank of Israel - Israel’s foreign currency market in May 2014</w:t>
            </w:r>
            <w:r>
              <w:rPr>
                <w:sz w:val="18"/>
                <w:szCs w:val="18"/>
              </w:rPr>
              <w:tab/>
            </w:r>
            <w:r>
              <w:rPr>
                <w:sz w:val="18"/>
                <w:szCs w:val="18"/>
              </w:rPr>
              <w:tab/>
            </w:r>
            <w:r>
              <w:rPr>
                <w:sz w:val="18"/>
                <w:szCs w:val="18"/>
              </w:rPr>
              <w:tab/>
            </w:r>
            <w:r>
              <w:rPr>
                <w:sz w:val="18"/>
                <w:szCs w:val="18"/>
              </w:rPr>
              <w:tab/>
            </w:r>
            <w:r w:rsidR="00EB4B49">
              <w:rPr>
                <w:sz w:val="18"/>
                <w:szCs w:val="18"/>
              </w:rPr>
              <w:tab/>
            </w:r>
            <w:r w:rsidR="00EB4B49">
              <w:rPr>
                <w:sz w:val="18"/>
                <w:szCs w:val="18"/>
              </w:rPr>
              <w:tab/>
            </w:r>
            <w:r w:rsidR="00EB4B49">
              <w:rPr>
                <w:sz w:val="18"/>
                <w:szCs w:val="18"/>
              </w:rPr>
              <w:tab/>
            </w:r>
            <w:r w:rsidRPr="008B6A8E">
              <w:rPr>
                <w:sz w:val="18"/>
                <w:szCs w:val="18"/>
              </w:rPr>
              <w:t>Page</w:t>
            </w:r>
            <w:r w:rsidRPr="008B6A8E">
              <w:rPr>
                <w:sz w:val="18"/>
                <w:szCs w:val="18"/>
                <w:rtl/>
                <w:cs/>
                <w:lang w:val="he-IL"/>
              </w:rPr>
              <w:t xml:space="preserve"> </w:t>
            </w:r>
            <w:r w:rsidRPr="008B6A8E">
              <w:rPr>
                <w:b/>
                <w:bCs/>
                <w:sz w:val="18"/>
                <w:szCs w:val="18"/>
              </w:rPr>
              <w:fldChar w:fldCharType="begin"/>
            </w:r>
            <w:r w:rsidRPr="008B6A8E">
              <w:rPr>
                <w:b/>
                <w:bCs/>
                <w:sz w:val="18"/>
                <w:szCs w:val="18"/>
                <w:cs/>
              </w:rPr>
              <w:instrText>PAGE</w:instrText>
            </w:r>
            <w:r w:rsidRPr="008B6A8E">
              <w:rPr>
                <w:b/>
                <w:bCs/>
                <w:sz w:val="18"/>
                <w:szCs w:val="18"/>
              </w:rPr>
              <w:fldChar w:fldCharType="separate"/>
            </w:r>
            <w:r w:rsidR="005F20EB">
              <w:rPr>
                <w:b/>
                <w:bCs/>
                <w:noProof/>
                <w:sz w:val="18"/>
                <w:szCs w:val="18"/>
              </w:rPr>
              <w:t>1</w:t>
            </w:r>
            <w:r w:rsidRPr="008B6A8E">
              <w:rPr>
                <w:b/>
                <w:bCs/>
                <w:sz w:val="18"/>
                <w:szCs w:val="18"/>
              </w:rPr>
              <w:fldChar w:fldCharType="end"/>
            </w:r>
            <w:r w:rsidRPr="008B6A8E">
              <w:rPr>
                <w:sz w:val="18"/>
                <w:szCs w:val="18"/>
                <w:rtl/>
                <w:cs/>
                <w:lang w:val="he-IL"/>
              </w:rPr>
              <w:t xml:space="preserve"> </w:t>
            </w:r>
            <w:r w:rsidRPr="008B6A8E">
              <w:rPr>
                <w:sz w:val="18"/>
                <w:szCs w:val="18"/>
              </w:rPr>
              <w:t>Of</w:t>
            </w:r>
            <w:r w:rsidRPr="008B6A8E">
              <w:rPr>
                <w:sz w:val="18"/>
                <w:szCs w:val="18"/>
                <w:rtl/>
                <w:cs/>
                <w:lang w:val="he-IL"/>
              </w:rPr>
              <w:t xml:space="preserve"> </w:t>
            </w:r>
            <w:r w:rsidRPr="008B6A8E">
              <w:rPr>
                <w:b/>
                <w:bCs/>
                <w:sz w:val="18"/>
                <w:szCs w:val="18"/>
              </w:rPr>
              <w:fldChar w:fldCharType="begin"/>
            </w:r>
            <w:r w:rsidRPr="008B6A8E">
              <w:rPr>
                <w:b/>
                <w:bCs/>
                <w:sz w:val="18"/>
                <w:szCs w:val="18"/>
                <w:cs/>
              </w:rPr>
              <w:instrText>NUMPAGES</w:instrText>
            </w:r>
            <w:r w:rsidRPr="008B6A8E">
              <w:rPr>
                <w:b/>
                <w:bCs/>
                <w:sz w:val="18"/>
                <w:szCs w:val="18"/>
              </w:rPr>
              <w:fldChar w:fldCharType="separate"/>
            </w:r>
            <w:r w:rsidR="005F20EB">
              <w:rPr>
                <w:b/>
                <w:bCs/>
                <w:noProof/>
                <w:sz w:val="18"/>
                <w:szCs w:val="18"/>
              </w:rPr>
              <w:t>6</w:t>
            </w:r>
            <w:r w:rsidRPr="008B6A8E">
              <w:rPr>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E52" w:rsidRDefault="00A66E52">
      <w:r>
        <w:separator/>
      </w:r>
    </w:p>
  </w:footnote>
  <w:footnote w:type="continuationSeparator" w:id="0">
    <w:p w:rsidR="00A66E52" w:rsidRDefault="00A66E52">
      <w:r>
        <w:continuationSeparator/>
      </w:r>
    </w:p>
  </w:footnote>
  <w:footnote w:id="1">
    <w:p w:rsidR="00F90985" w:rsidRDefault="00F90985" w:rsidP="00F90985">
      <w:pPr>
        <w:pStyle w:val="a7"/>
      </w:pPr>
      <w:r>
        <w:rPr>
          <w:rStyle w:val="a9"/>
        </w:rPr>
        <w:footnoteRef/>
      </w:r>
      <w:r>
        <w:t xml:space="preserve"> This figure reflects transactions by trade date, not settlement date. Therefore, it is not necessarily identical to the data published in the foreign exchange reserves notice, which reflects transactions by settlement date.</w:t>
      </w:r>
    </w:p>
  </w:footnote>
  <w:footnote w:id="2">
    <w:p w:rsidR="00953F98" w:rsidRPr="00387068" w:rsidRDefault="00953F98" w:rsidP="00953F98">
      <w:pPr>
        <w:pStyle w:val="a7"/>
        <w:rPr>
          <w:rFonts w:asciiTheme="majorBidi" w:hAnsiTheme="majorBidi" w:cstheme="majorBidi"/>
        </w:rPr>
      </w:pPr>
      <w:r w:rsidRPr="00387068">
        <w:rPr>
          <w:rStyle w:val="a9"/>
          <w:rFonts w:asciiTheme="majorBidi" w:hAnsiTheme="majorBidi" w:cstheme="majorBidi"/>
        </w:rPr>
        <w:footnoteRef/>
      </w:r>
      <w:r w:rsidRPr="00387068">
        <w:rPr>
          <w:rFonts w:asciiTheme="majorBidi" w:hAnsiTheme="majorBidi" w:cstheme="majorBidi"/>
        </w:rPr>
        <w:t xml:space="preserve">  </w:t>
      </w:r>
      <w:r w:rsidRPr="00387068">
        <w:rPr>
          <w:rFonts w:asciiTheme="majorBidi" w:hAnsiTheme="majorBidi" w:cstheme="majorBidi"/>
          <w:sz w:val="16"/>
          <w:szCs w:val="16"/>
        </w:rPr>
        <w:t xml:space="preserve">Only one leg of the swap, i.e., the nominal value of the transaction (in accordance with the BIS definition) </w:t>
      </w:r>
    </w:p>
  </w:footnote>
  <w:footnote w:id="3">
    <w:p w:rsidR="00953F98" w:rsidRPr="00387068" w:rsidRDefault="00953F98" w:rsidP="00953F98">
      <w:pPr>
        <w:pStyle w:val="a7"/>
        <w:rPr>
          <w:rFonts w:asciiTheme="majorBidi" w:hAnsiTheme="majorBidi" w:cstheme="majorBidi"/>
        </w:rPr>
      </w:pPr>
      <w:r w:rsidRPr="00387068">
        <w:rPr>
          <w:rStyle w:val="a9"/>
          <w:rFonts w:asciiTheme="majorBidi" w:hAnsiTheme="majorBidi" w:cstheme="majorBidi"/>
        </w:rPr>
        <w:footnoteRef/>
      </w:r>
      <w:r w:rsidRPr="00387068">
        <w:rPr>
          <w:rFonts w:asciiTheme="majorBidi" w:hAnsiTheme="majorBidi" w:cstheme="majorBidi"/>
        </w:rPr>
        <w:t xml:space="preserve">  </w:t>
      </w:r>
      <w:r w:rsidRPr="00387068">
        <w:rPr>
          <w:rFonts w:asciiTheme="majorBidi" w:hAnsiTheme="majorBidi" w:cstheme="majorBidi"/>
          <w:sz w:val="16"/>
        </w:rPr>
        <w:t>The exchanged founds through Cross Currency Swap transactions considered for the volume, as one leg only in cases where the two legs offset each other.</w:t>
      </w:r>
    </w:p>
  </w:footnote>
  <w:footnote w:id="4">
    <w:p w:rsidR="00AD241E" w:rsidRPr="00387068" w:rsidRDefault="00AD241E">
      <w:pPr>
        <w:pStyle w:val="a7"/>
        <w:rPr>
          <w:rFonts w:asciiTheme="majorBidi" w:hAnsiTheme="majorBidi" w:cstheme="majorBidi"/>
          <w:sz w:val="16"/>
        </w:rPr>
      </w:pPr>
      <w:r w:rsidRPr="00387068">
        <w:rPr>
          <w:rStyle w:val="a9"/>
          <w:rFonts w:asciiTheme="majorBidi" w:hAnsiTheme="majorBidi" w:cstheme="majorBidi"/>
        </w:rPr>
        <w:footnoteRef/>
      </w:r>
      <w:r w:rsidRPr="00387068">
        <w:rPr>
          <w:rFonts w:asciiTheme="majorBidi" w:hAnsiTheme="majorBidi" w:cstheme="majorBidi"/>
        </w:rPr>
        <w:t xml:space="preserve"> </w:t>
      </w:r>
      <w:r w:rsidRPr="00387068">
        <w:rPr>
          <w:rFonts w:asciiTheme="majorBidi" w:hAnsiTheme="majorBidi" w:cstheme="majorBidi"/>
          <w:sz w:val="16"/>
        </w:rPr>
        <w:t>The national value, that includes purchases and sales of put and call options.</w:t>
      </w:r>
    </w:p>
  </w:footnote>
  <w:footnote w:id="5">
    <w:p w:rsidR="00E71DE2" w:rsidRPr="00387068" w:rsidRDefault="00E71DE2" w:rsidP="00E71DE2">
      <w:pPr>
        <w:pStyle w:val="a7"/>
        <w:rPr>
          <w:rFonts w:asciiTheme="majorBidi" w:hAnsiTheme="majorBidi" w:cstheme="majorBidi"/>
        </w:rPr>
      </w:pPr>
      <w:r w:rsidRPr="00387068">
        <w:rPr>
          <w:rStyle w:val="a9"/>
          <w:rFonts w:asciiTheme="majorBidi" w:hAnsiTheme="majorBidi" w:cstheme="majorBidi"/>
        </w:rPr>
        <w:footnoteRef/>
      </w:r>
      <w:r w:rsidRPr="00387068">
        <w:rPr>
          <w:rFonts w:asciiTheme="majorBidi" w:hAnsiTheme="majorBidi" w:cstheme="majorBidi"/>
        </w:rPr>
        <w:t xml:space="preserve"> </w:t>
      </w:r>
      <w:r w:rsidRPr="00387068">
        <w:rPr>
          <w:rFonts w:asciiTheme="majorBidi" w:hAnsiTheme="majorBidi" w:cstheme="majorBidi"/>
          <w:sz w:val="16"/>
        </w:rPr>
        <w:t xml:space="preserve">Including other entities such as portfolio managers, nonprofit organizations, national institutions, and those not include elsewhere. </w:t>
      </w:r>
    </w:p>
  </w:footnote>
  <w:footnote w:id="6">
    <w:p w:rsidR="00E71DE2" w:rsidRPr="00387068" w:rsidRDefault="00E71DE2" w:rsidP="00E71DE2">
      <w:pPr>
        <w:pStyle w:val="a7"/>
        <w:rPr>
          <w:rFonts w:asciiTheme="majorBidi" w:hAnsiTheme="majorBidi" w:cstheme="majorBidi"/>
        </w:rPr>
      </w:pPr>
      <w:r w:rsidRPr="00387068">
        <w:rPr>
          <w:rStyle w:val="a9"/>
          <w:rFonts w:asciiTheme="majorBidi" w:hAnsiTheme="majorBidi" w:cstheme="majorBidi"/>
        </w:rPr>
        <w:footnoteRef/>
      </w:r>
      <w:r w:rsidRPr="00387068">
        <w:rPr>
          <w:rFonts w:asciiTheme="majorBidi" w:hAnsiTheme="majorBidi" w:cstheme="majorBidi"/>
        </w:rPr>
        <w:t xml:space="preserve"> </w:t>
      </w:r>
      <w:proofErr w:type="gramStart"/>
      <w:r>
        <w:rPr>
          <w:rFonts w:asciiTheme="majorBidi" w:hAnsiTheme="majorBidi" w:cstheme="majorBidi"/>
          <w:sz w:val="16"/>
        </w:rPr>
        <w:t>Total interbank trade, divided in two.</w:t>
      </w:r>
      <w:proofErr w:type="gramEnd"/>
    </w:p>
  </w:footnote>
  <w:footnote w:id="7">
    <w:p w:rsidR="00E71DE2" w:rsidRDefault="00E71DE2" w:rsidP="00E71DE2">
      <w:pPr>
        <w:pStyle w:val="a7"/>
      </w:pPr>
    </w:p>
  </w:footnote>
  <w:footnote w:id="8">
    <w:p w:rsidR="00E71DE2" w:rsidRDefault="00E71DE2" w:rsidP="00E71DE2">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F0A35"/>
    <w:multiLevelType w:val="hybridMultilevel"/>
    <w:tmpl w:val="8D7EA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8647485"/>
    <w:multiLevelType w:val="hybridMultilevel"/>
    <w:tmpl w:val="E722CA60"/>
    <w:lvl w:ilvl="0" w:tplc="174ABBE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F42"/>
    <w:rsid w:val="00000AB3"/>
    <w:rsid w:val="00000EFB"/>
    <w:rsid w:val="00002334"/>
    <w:rsid w:val="0000398A"/>
    <w:rsid w:val="00004C73"/>
    <w:rsid w:val="00006136"/>
    <w:rsid w:val="00006AA4"/>
    <w:rsid w:val="0001158D"/>
    <w:rsid w:val="00013245"/>
    <w:rsid w:val="000138A7"/>
    <w:rsid w:val="000146DD"/>
    <w:rsid w:val="00014F2C"/>
    <w:rsid w:val="0002088E"/>
    <w:rsid w:val="00020A46"/>
    <w:rsid w:val="000220A4"/>
    <w:rsid w:val="00026661"/>
    <w:rsid w:val="0002710E"/>
    <w:rsid w:val="00027764"/>
    <w:rsid w:val="00027ADE"/>
    <w:rsid w:val="0003259D"/>
    <w:rsid w:val="000350E0"/>
    <w:rsid w:val="00037B40"/>
    <w:rsid w:val="00037EF9"/>
    <w:rsid w:val="0004150C"/>
    <w:rsid w:val="00041E3A"/>
    <w:rsid w:val="00042889"/>
    <w:rsid w:val="00051C2F"/>
    <w:rsid w:val="00051DB2"/>
    <w:rsid w:val="000533CE"/>
    <w:rsid w:val="00053511"/>
    <w:rsid w:val="0005465D"/>
    <w:rsid w:val="00054E76"/>
    <w:rsid w:val="00057B7E"/>
    <w:rsid w:val="00057BF8"/>
    <w:rsid w:val="00062231"/>
    <w:rsid w:val="00063FB1"/>
    <w:rsid w:val="0006512A"/>
    <w:rsid w:val="0006512C"/>
    <w:rsid w:val="00067DCF"/>
    <w:rsid w:val="00070660"/>
    <w:rsid w:val="0007270B"/>
    <w:rsid w:val="000746F4"/>
    <w:rsid w:val="00074827"/>
    <w:rsid w:val="000758F0"/>
    <w:rsid w:val="0008113A"/>
    <w:rsid w:val="000811E2"/>
    <w:rsid w:val="0008250B"/>
    <w:rsid w:val="00083896"/>
    <w:rsid w:val="000851AE"/>
    <w:rsid w:val="00087533"/>
    <w:rsid w:val="0008782D"/>
    <w:rsid w:val="00091B3C"/>
    <w:rsid w:val="00092434"/>
    <w:rsid w:val="000931CE"/>
    <w:rsid w:val="000946EC"/>
    <w:rsid w:val="00094A81"/>
    <w:rsid w:val="000A2D15"/>
    <w:rsid w:val="000A2FD4"/>
    <w:rsid w:val="000A4C17"/>
    <w:rsid w:val="000A57BA"/>
    <w:rsid w:val="000A64BC"/>
    <w:rsid w:val="000A7C0F"/>
    <w:rsid w:val="000B098A"/>
    <w:rsid w:val="000B20E4"/>
    <w:rsid w:val="000B653A"/>
    <w:rsid w:val="000B7084"/>
    <w:rsid w:val="000C0A1D"/>
    <w:rsid w:val="000C120B"/>
    <w:rsid w:val="000C29D6"/>
    <w:rsid w:val="000C2FDE"/>
    <w:rsid w:val="000C524B"/>
    <w:rsid w:val="000C53F9"/>
    <w:rsid w:val="000C61E0"/>
    <w:rsid w:val="000C6C40"/>
    <w:rsid w:val="000C7FF0"/>
    <w:rsid w:val="000D3891"/>
    <w:rsid w:val="000D3954"/>
    <w:rsid w:val="000D66CF"/>
    <w:rsid w:val="000D690C"/>
    <w:rsid w:val="000D6B68"/>
    <w:rsid w:val="000E48D3"/>
    <w:rsid w:val="000E53BA"/>
    <w:rsid w:val="000E5853"/>
    <w:rsid w:val="000E60E1"/>
    <w:rsid w:val="000F0C7D"/>
    <w:rsid w:val="000F192F"/>
    <w:rsid w:val="000F368C"/>
    <w:rsid w:val="000F368E"/>
    <w:rsid w:val="000F5565"/>
    <w:rsid w:val="000F5ACB"/>
    <w:rsid w:val="000F68FA"/>
    <w:rsid w:val="00101112"/>
    <w:rsid w:val="00101A7E"/>
    <w:rsid w:val="00102BF1"/>
    <w:rsid w:val="00102C7E"/>
    <w:rsid w:val="00103DE8"/>
    <w:rsid w:val="001054CC"/>
    <w:rsid w:val="00106262"/>
    <w:rsid w:val="00111571"/>
    <w:rsid w:val="00114919"/>
    <w:rsid w:val="00115A47"/>
    <w:rsid w:val="00116B89"/>
    <w:rsid w:val="00116DDB"/>
    <w:rsid w:val="00117A92"/>
    <w:rsid w:val="00121238"/>
    <w:rsid w:val="001218B3"/>
    <w:rsid w:val="00122E99"/>
    <w:rsid w:val="0012767B"/>
    <w:rsid w:val="0013030F"/>
    <w:rsid w:val="00130AEA"/>
    <w:rsid w:val="001318D6"/>
    <w:rsid w:val="00133AED"/>
    <w:rsid w:val="0013446A"/>
    <w:rsid w:val="001403BA"/>
    <w:rsid w:val="0014060D"/>
    <w:rsid w:val="00141EEF"/>
    <w:rsid w:val="0014205C"/>
    <w:rsid w:val="00144DB8"/>
    <w:rsid w:val="00144E81"/>
    <w:rsid w:val="00145E33"/>
    <w:rsid w:val="00147385"/>
    <w:rsid w:val="001516C6"/>
    <w:rsid w:val="001518C2"/>
    <w:rsid w:val="00152862"/>
    <w:rsid w:val="00152FCC"/>
    <w:rsid w:val="00153A43"/>
    <w:rsid w:val="00156ED9"/>
    <w:rsid w:val="0016147E"/>
    <w:rsid w:val="0016216A"/>
    <w:rsid w:val="00163058"/>
    <w:rsid w:val="001664AB"/>
    <w:rsid w:val="0016656D"/>
    <w:rsid w:val="00166FAC"/>
    <w:rsid w:val="00170D5F"/>
    <w:rsid w:val="00170EFF"/>
    <w:rsid w:val="0017160D"/>
    <w:rsid w:val="0017453A"/>
    <w:rsid w:val="00175351"/>
    <w:rsid w:val="001756DA"/>
    <w:rsid w:val="00175FCD"/>
    <w:rsid w:val="00176CA9"/>
    <w:rsid w:val="00177489"/>
    <w:rsid w:val="00180397"/>
    <w:rsid w:val="0018056B"/>
    <w:rsid w:val="00181AE4"/>
    <w:rsid w:val="00181CCA"/>
    <w:rsid w:val="001833EF"/>
    <w:rsid w:val="0018377A"/>
    <w:rsid w:val="00184A13"/>
    <w:rsid w:val="001854AD"/>
    <w:rsid w:val="001871DB"/>
    <w:rsid w:val="0018733C"/>
    <w:rsid w:val="00187CF1"/>
    <w:rsid w:val="001903DD"/>
    <w:rsid w:val="00190739"/>
    <w:rsid w:val="00190B9C"/>
    <w:rsid w:val="00191BD3"/>
    <w:rsid w:val="00192A84"/>
    <w:rsid w:val="00194E55"/>
    <w:rsid w:val="00195ACF"/>
    <w:rsid w:val="001A21D5"/>
    <w:rsid w:val="001A2E5C"/>
    <w:rsid w:val="001A3AE8"/>
    <w:rsid w:val="001A3F23"/>
    <w:rsid w:val="001A46DE"/>
    <w:rsid w:val="001A6277"/>
    <w:rsid w:val="001A7DEB"/>
    <w:rsid w:val="001B073A"/>
    <w:rsid w:val="001B15BA"/>
    <w:rsid w:val="001B290C"/>
    <w:rsid w:val="001B31E4"/>
    <w:rsid w:val="001B37AF"/>
    <w:rsid w:val="001B40B9"/>
    <w:rsid w:val="001B4BE0"/>
    <w:rsid w:val="001B66A4"/>
    <w:rsid w:val="001C295C"/>
    <w:rsid w:val="001C3D3D"/>
    <w:rsid w:val="001C68E7"/>
    <w:rsid w:val="001C68F1"/>
    <w:rsid w:val="001D0172"/>
    <w:rsid w:val="001D07EB"/>
    <w:rsid w:val="001D3A4E"/>
    <w:rsid w:val="001D711C"/>
    <w:rsid w:val="001D7A7B"/>
    <w:rsid w:val="001E0521"/>
    <w:rsid w:val="001E130A"/>
    <w:rsid w:val="001E1C24"/>
    <w:rsid w:val="001E42B3"/>
    <w:rsid w:val="001E58BC"/>
    <w:rsid w:val="001E5A13"/>
    <w:rsid w:val="001E79F6"/>
    <w:rsid w:val="001E7E9A"/>
    <w:rsid w:val="001F0B76"/>
    <w:rsid w:val="001F15A4"/>
    <w:rsid w:val="001F3065"/>
    <w:rsid w:val="001F5636"/>
    <w:rsid w:val="001F6171"/>
    <w:rsid w:val="001F75B3"/>
    <w:rsid w:val="002001B1"/>
    <w:rsid w:val="00200F52"/>
    <w:rsid w:val="002033E2"/>
    <w:rsid w:val="00206054"/>
    <w:rsid w:val="002076D4"/>
    <w:rsid w:val="00211370"/>
    <w:rsid w:val="00215AE3"/>
    <w:rsid w:val="00216FFF"/>
    <w:rsid w:val="00217660"/>
    <w:rsid w:val="00220368"/>
    <w:rsid w:val="0022225D"/>
    <w:rsid w:val="0022276A"/>
    <w:rsid w:val="0022279F"/>
    <w:rsid w:val="002227B3"/>
    <w:rsid w:val="0022288D"/>
    <w:rsid w:val="0022499D"/>
    <w:rsid w:val="00230354"/>
    <w:rsid w:val="002305C4"/>
    <w:rsid w:val="002329FE"/>
    <w:rsid w:val="0023396A"/>
    <w:rsid w:val="00234C8C"/>
    <w:rsid w:val="002353CC"/>
    <w:rsid w:val="00236152"/>
    <w:rsid w:val="00236A24"/>
    <w:rsid w:val="00236BD3"/>
    <w:rsid w:val="002423AD"/>
    <w:rsid w:val="00242861"/>
    <w:rsid w:val="00242B1E"/>
    <w:rsid w:val="00243274"/>
    <w:rsid w:val="0024330E"/>
    <w:rsid w:val="00244792"/>
    <w:rsid w:val="002450A8"/>
    <w:rsid w:val="002454BE"/>
    <w:rsid w:val="002457D1"/>
    <w:rsid w:val="002532F2"/>
    <w:rsid w:val="002541FF"/>
    <w:rsid w:val="002542FF"/>
    <w:rsid w:val="00254FB3"/>
    <w:rsid w:val="00256A15"/>
    <w:rsid w:val="00256AEA"/>
    <w:rsid w:val="00260514"/>
    <w:rsid w:val="00260981"/>
    <w:rsid w:val="00266575"/>
    <w:rsid w:val="0027158D"/>
    <w:rsid w:val="0027250B"/>
    <w:rsid w:val="00272F84"/>
    <w:rsid w:val="00273242"/>
    <w:rsid w:val="002738FF"/>
    <w:rsid w:val="00274337"/>
    <w:rsid w:val="00275454"/>
    <w:rsid w:val="0027606A"/>
    <w:rsid w:val="00277CAE"/>
    <w:rsid w:val="002814E0"/>
    <w:rsid w:val="00281C83"/>
    <w:rsid w:val="00284AB0"/>
    <w:rsid w:val="00286E3D"/>
    <w:rsid w:val="0028731D"/>
    <w:rsid w:val="0029159E"/>
    <w:rsid w:val="00291691"/>
    <w:rsid w:val="00292683"/>
    <w:rsid w:val="00293971"/>
    <w:rsid w:val="00296605"/>
    <w:rsid w:val="00297B9C"/>
    <w:rsid w:val="002A2402"/>
    <w:rsid w:val="002A4022"/>
    <w:rsid w:val="002A4767"/>
    <w:rsid w:val="002A61AA"/>
    <w:rsid w:val="002A681F"/>
    <w:rsid w:val="002A76B0"/>
    <w:rsid w:val="002B057F"/>
    <w:rsid w:val="002B0BCD"/>
    <w:rsid w:val="002B2366"/>
    <w:rsid w:val="002B6D69"/>
    <w:rsid w:val="002B7864"/>
    <w:rsid w:val="002C0598"/>
    <w:rsid w:val="002C1BC0"/>
    <w:rsid w:val="002C3020"/>
    <w:rsid w:val="002C46EF"/>
    <w:rsid w:val="002C499D"/>
    <w:rsid w:val="002C55CC"/>
    <w:rsid w:val="002C59A7"/>
    <w:rsid w:val="002C5D34"/>
    <w:rsid w:val="002D1BA9"/>
    <w:rsid w:val="002D46D7"/>
    <w:rsid w:val="002D57DC"/>
    <w:rsid w:val="002E07B6"/>
    <w:rsid w:val="002E0DF4"/>
    <w:rsid w:val="002E1E6D"/>
    <w:rsid w:val="002E563E"/>
    <w:rsid w:val="002E7147"/>
    <w:rsid w:val="002E7564"/>
    <w:rsid w:val="002E7EE0"/>
    <w:rsid w:val="002F29BC"/>
    <w:rsid w:val="002F32BF"/>
    <w:rsid w:val="002F3A10"/>
    <w:rsid w:val="002F4295"/>
    <w:rsid w:val="002F4D2C"/>
    <w:rsid w:val="002F58BA"/>
    <w:rsid w:val="002F6199"/>
    <w:rsid w:val="002F6C30"/>
    <w:rsid w:val="002F7E46"/>
    <w:rsid w:val="00300478"/>
    <w:rsid w:val="00301DF7"/>
    <w:rsid w:val="00302CFF"/>
    <w:rsid w:val="00307EE2"/>
    <w:rsid w:val="003119DE"/>
    <w:rsid w:val="00315026"/>
    <w:rsid w:val="00315059"/>
    <w:rsid w:val="00315818"/>
    <w:rsid w:val="00315CA8"/>
    <w:rsid w:val="003209AB"/>
    <w:rsid w:val="00321178"/>
    <w:rsid w:val="003224D9"/>
    <w:rsid w:val="00322E9F"/>
    <w:rsid w:val="00323535"/>
    <w:rsid w:val="0032354E"/>
    <w:rsid w:val="00325B8A"/>
    <w:rsid w:val="003262D0"/>
    <w:rsid w:val="003268FA"/>
    <w:rsid w:val="003279B4"/>
    <w:rsid w:val="0033007A"/>
    <w:rsid w:val="00332585"/>
    <w:rsid w:val="00332E9B"/>
    <w:rsid w:val="003345D9"/>
    <w:rsid w:val="003357BA"/>
    <w:rsid w:val="00340286"/>
    <w:rsid w:val="00341380"/>
    <w:rsid w:val="00342B86"/>
    <w:rsid w:val="00343838"/>
    <w:rsid w:val="00345A0F"/>
    <w:rsid w:val="0035097F"/>
    <w:rsid w:val="00351C58"/>
    <w:rsid w:val="00352AFA"/>
    <w:rsid w:val="00352B68"/>
    <w:rsid w:val="00352F9D"/>
    <w:rsid w:val="00354543"/>
    <w:rsid w:val="00356872"/>
    <w:rsid w:val="003605CF"/>
    <w:rsid w:val="00360E72"/>
    <w:rsid w:val="00362C28"/>
    <w:rsid w:val="00363281"/>
    <w:rsid w:val="00363B5C"/>
    <w:rsid w:val="00363DA0"/>
    <w:rsid w:val="00366C04"/>
    <w:rsid w:val="003715DB"/>
    <w:rsid w:val="003727E1"/>
    <w:rsid w:val="00380ACE"/>
    <w:rsid w:val="00380F9B"/>
    <w:rsid w:val="00382C4D"/>
    <w:rsid w:val="003833D4"/>
    <w:rsid w:val="00383F98"/>
    <w:rsid w:val="0038582D"/>
    <w:rsid w:val="003863FF"/>
    <w:rsid w:val="003869C7"/>
    <w:rsid w:val="00387068"/>
    <w:rsid w:val="00391562"/>
    <w:rsid w:val="00391B2A"/>
    <w:rsid w:val="00392CE6"/>
    <w:rsid w:val="0039645E"/>
    <w:rsid w:val="003A092E"/>
    <w:rsid w:val="003A0A15"/>
    <w:rsid w:val="003A56CA"/>
    <w:rsid w:val="003A57C4"/>
    <w:rsid w:val="003A6732"/>
    <w:rsid w:val="003B0164"/>
    <w:rsid w:val="003B056F"/>
    <w:rsid w:val="003B07BF"/>
    <w:rsid w:val="003B4CF3"/>
    <w:rsid w:val="003C1F6F"/>
    <w:rsid w:val="003C2280"/>
    <w:rsid w:val="003C41A5"/>
    <w:rsid w:val="003C686C"/>
    <w:rsid w:val="003D1B52"/>
    <w:rsid w:val="003D775C"/>
    <w:rsid w:val="003E21C8"/>
    <w:rsid w:val="003E25E4"/>
    <w:rsid w:val="003E2E75"/>
    <w:rsid w:val="003E3831"/>
    <w:rsid w:val="003E41B5"/>
    <w:rsid w:val="003E4422"/>
    <w:rsid w:val="003E4F38"/>
    <w:rsid w:val="003E67EA"/>
    <w:rsid w:val="003E7574"/>
    <w:rsid w:val="003F220A"/>
    <w:rsid w:val="003F265D"/>
    <w:rsid w:val="003F2CC9"/>
    <w:rsid w:val="003F4890"/>
    <w:rsid w:val="00401BC6"/>
    <w:rsid w:val="00403EE8"/>
    <w:rsid w:val="004066B5"/>
    <w:rsid w:val="0040766A"/>
    <w:rsid w:val="00414E4E"/>
    <w:rsid w:val="0041539D"/>
    <w:rsid w:val="004167AC"/>
    <w:rsid w:val="00417444"/>
    <w:rsid w:val="004176BB"/>
    <w:rsid w:val="00424EB9"/>
    <w:rsid w:val="00426A46"/>
    <w:rsid w:val="00430865"/>
    <w:rsid w:val="00430B87"/>
    <w:rsid w:val="00431644"/>
    <w:rsid w:val="004316E3"/>
    <w:rsid w:val="00434F9D"/>
    <w:rsid w:val="004405FF"/>
    <w:rsid w:val="00441510"/>
    <w:rsid w:val="00442415"/>
    <w:rsid w:val="00442B35"/>
    <w:rsid w:val="004442E3"/>
    <w:rsid w:val="004455B8"/>
    <w:rsid w:val="0044592F"/>
    <w:rsid w:val="00445D6D"/>
    <w:rsid w:val="004466F2"/>
    <w:rsid w:val="00447C4F"/>
    <w:rsid w:val="00450441"/>
    <w:rsid w:val="00452810"/>
    <w:rsid w:val="00455D31"/>
    <w:rsid w:val="00456A0A"/>
    <w:rsid w:val="00456D6B"/>
    <w:rsid w:val="00456FD5"/>
    <w:rsid w:val="004611E7"/>
    <w:rsid w:val="0046191C"/>
    <w:rsid w:val="00462584"/>
    <w:rsid w:val="00466463"/>
    <w:rsid w:val="00467547"/>
    <w:rsid w:val="004700B4"/>
    <w:rsid w:val="00470324"/>
    <w:rsid w:val="004704DF"/>
    <w:rsid w:val="00473E54"/>
    <w:rsid w:val="00476974"/>
    <w:rsid w:val="004774EA"/>
    <w:rsid w:val="00480DFF"/>
    <w:rsid w:val="00482E65"/>
    <w:rsid w:val="00483E25"/>
    <w:rsid w:val="00483F91"/>
    <w:rsid w:val="0048561A"/>
    <w:rsid w:val="00485B26"/>
    <w:rsid w:val="00486E37"/>
    <w:rsid w:val="0049085D"/>
    <w:rsid w:val="00490A2B"/>
    <w:rsid w:val="0049383F"/>
    <w:rsid w:val="00493B9F"/>
    <w:rsid w:val="00494099"/>
    <w:rsid w:val="004943B9"/>
    <w:rsid w:val="00495E48"/>
    <w:rsid w:val="004A0DEC"/>
    <w:rsid w:val="004A5017"/>
    <w:rsid w:val="004A753D"/>
    <w:rsid w:val="004A7A11"/>
    <w:rsid w:val="004B0516"/>
    <w:rsid w:val="004B0D4B"/>
    <w:rsid w:val="004B18FA"/>
    <w:rsid w:val="004B2B6E"/>
    <w:rsid w:val="004B2E97"/>
    <w:rsid w:val="004B3915"/>
    <w:rsid w:val="004B399A"/>
    <w:rsid w:val="004B6D99"/>
    <w:rsid w:val="004C03FF"/>
    <w:rsid w:val="004C1E41"/>
    <w:rsid w:val="004C2D34"/>
    <w:rsid w:val="004C2DF5"/>
    <w:rsid w:val="004C6559"/>
    <w:rsid w:val="004C790D"/>
    <w:rsid w:val="004D0269"/>
    <w:rsid w:val="004D0DBD"/>
    <w:rsid w:val="004D16B6"/>
    <w:rsid w:val="004D17F4"/>
    <w:rsid w:val="004D211D"/>
    <w:rsid w:val="004D43F0"/>
    <w:rsid w:val="004E07D5"/>
    <w:rsid w:val="004E1CA1"/>
    <w:rsid w:val="004E3563"/>
    <w:rsid w:val="004E456B"/>
    <w:rsid w:val="004E5B9E"/>
    <w:rsid w:val="004E6718"/>
    <w:rsid w:val="004E734B"/>
    <w:rsid w:val="004E7595"/>
    <w:rsid w:val="004E7ACF"/>
    <w:rsid w:val="004E7D05"/>
    <w:rsid w:val="004F0BA9"/>
    <w:rsid w:val="004F0BE9"/>
    <w:rsid w:val="004F1251"/>
    <w:rsid w:val="004F12A4"/>
    <w:rsid w:val="004F1624"/>
    <w:rsid w:val="004F4A57"/>
    <w:rsid w:val="004F5B05"/>
    <w:rsid w:val="004F61C5"/>
    <w:rsid w:val="004F70B5"/>
    <w:rsid w:val="005001D9"/>
    <w:rsid w:val="00501319"/>
    <w:rsid w:val="005075A3"/>
    <w:rsid w:val="005079A8"/>
    <w:rsid w:val="005114BA"/>
    <w:rsid w:val="005155FF"/>
    <w:rsid w:val="00515D2F"/>
    <w:rsid w:val="005173CE"/>
    <w:rsid w:val="00520508"/>
    <w:rsid w:val="00521840"/>
    <w:rsid w:val="00523285"/>
    <w:rsid w:val="00526366"/>
    <w:rsid w:val="0052664B"/>
    <w:rsid w:val="005273A3"/>
    <w:rsid w:val="005274AA"/>
    <w:rsid w:val="00527861"/>
    <w:rsid w:val="005308D8"/>
    <w:rsid w:val="00530BBB"/>
    <w:rsid w:val="00532125"/>
    <w:rsid w:val="00533B00"/>
    <w:rsid w:val="0053525E"/>
    <w:rsid w:val="00535521"/>
    <w:rsid w:val="0053565F"/>
    <w:rsid w:val="00535833"/>
    <w:rsid w:val="00535ED0"/>
    <w:rsid w:val="00536990"/>
    <w:rsid w:val="0053777A"/>
    <w:rsid w:val="00540381"/>
    <w:rsid w:val="00541616"/>
    <w:rsid w:val="0054316E"/>
    <w:rsid w:val="00543886"/>
    <w:rsid w:val="005440A8"/>
    <w:rsid w:val="00544130"/>
    <w:rsid w:val="005453B0"/>
    <w:rsid w:val="005526CF"/>
    <w:rsid w:val="0055368E"/>
    <w:rsid w:val="005542D2"/>
    <w:rsid w:val="005546D5"/>
    <w:rsid w:val="00554BE2"/>
    <w:rsid w:val="0055518B"/>
    <w:rsid w:val="00561870"/>
    <w:rsid w:val="00562E90"/>
    <w:rsid w:val="00564914"/>
    <w:rsid w:val="0056574C"/>
    <w:rsid w:val="00565BBF"/>
    <w:rsid w:val="0057049C"/>
    <w:rsid w:val="00571A5B"/>
    <w:rsid w:val="00573592"/>
    <w:rsid w:val="005754F4"/>
    <w:rsid w:val="0057648B"/>
    <w:rsid w:val="005769FF"/>
    <w:rsid w:val="00576C72"/>
    <w:rsid w:val="005771F4"/>
    <w:rsid w:val="00580823"/>
    <w:rsid w:val="00581427"/>
    <w:rsid w:val="0058327C"/>
    <w:rsid w:val="00583FFA"/>
    <w:rsid w:val="00584D37"/>
    <w:rsid w:val="00585CD8"/>
    <w:rsid w:val="0058602A"/>
    <w:rsid w:val="00586B92"/>
    <w:rsid w:val="00587440"/>
    <w:rsid w:val="0059056D"/>
    <w:rsid w:val="00594859"/>
    <w:rsid w:val="00595DF6"/>
    <w:rsid w:val="00597987"/>
    <w:rsid w:val="005A00C8"/>
    <w:rsid w:val="005A0DC6"/>
    <w:rsid w:val="005A12B2"/>
    <w:rsid w:val="005A30EF"/>
    <w:rsid w:val="005A3CD3"/>
    <w:rsid w:val="005A4E2C"/>
    <w:rsid w:val="005A5D5D"/>
    <w:rsid w:val="005B0431"/>
    <w:rsid w:val="005B3D51"/>
    <w:rsid w:val="005B3F2C"/>
    <w:rsid w:val="005B4653"/>
    <w:rsid w:val="005C1216"/>
    <w:rsid w:val="005C38D6"/>
    <w:rsid w:val="005C4D6E"/>
    <w:rsid w:val="005C544C"/>
    <w:rsid w:val="005C5849"/>
    <w:rsid w:val="005C6045"/>
    <w:rsid w:val="005D38F0"/>
    <w:rsid w:val="005D5752"/>
    <w:rsid w:val="005D5E9D"/>
    <w:rsid w:val="005E2856"/>
    <w:rsid w:val="005E2FCD"/>
    <w:rsid w:val="005E3312"/>
    <w:rsid w:val="005E3A8F"/>
    <w:rsid w:val="005E3F10"/>
    <w:rsid w:val="005E5016"/>
    <w:rsid w:val="005F07D1"/>
    <w:rsid w:val="005F0B14"/>
    <w:rsid w:val="005F1C34"/>
    <w:rsid w:val="005F20EB"/>
    <w:rsid w:val="005F221A"/>
    <w:rsid w:val="005F33DC"/>
    <w:rsid w:val="005F3D39"/>
    <w:rsid w:val="005F443F"/>
    <w:rsid w:val="005F4588"/>
    <w:rsid w:val="005F50CE"/>
    <w:rsid w:val="005F565B"/>
    <w:rsid w:val="005F627B"/>
    <w:rsid w:val="005F63E7"/>
    <w:rsid w:val="006001AB"/>
    <w:rsid w:val="00600B02"/>
    <w:rsid w:val="00601212"/>
    <w:rsid w:val="006013C1"/>
    <w:rsid w:val="006015E1"/>
    <w:rsid w:val="006017AD"/>
    <w:rsid w:val="00602D8F"/>
    <w:rsid w:val="00603D43"/>
    <w:rsid w:val="0060418B"/>
    <w:rsid w:val="0060581F"/>
    <w:rsid w:val="00606B1B"/>
    <w:rsid w:val="00607281"/>
    <w:rsid w:val="00607625"/>
    <w:rsid w:val="00607767"/>
    <w:rsid w:val="00615825"/>
    <w:rsid w:val="006158C2"/>
    <w:rsid w:val="00616D2C"/>
    <w:rsid w:val="00617EE7"/>
    <w:rsid w:val="00620FDE"/>
    <w:rsid w:val="00621F21"/>
    <w:rsid w:val="006239C9"/>
    <w:rsid w:val="00623C47"/>
    <w:rsid w:val="0062453B"/>
    <w:rsid w:val="006252B2"/>
    <w:rsid w:val="006258D0"/>
    <w:rsid w:val="00626084"/>
    <w:rsid w:val="006265EC"/>
    <w:rsid w:val="00627110"/>
    <w:rsid w:val="00627910"/>
    <w:rsid w:val="00633A0A"/>
    <w:rsid w:val="00633B35"/>
    <w:rsid w:val="00636D43"/>
    <w:rsid w:val="00637A54"/>
    <w:rsid w:val="006403D1"/>
    <w:rsid w:val="0064133C"/>
    <w:rsid w:val="006425B9"/>
    <w:rsid w:val="00643063"/>
    <w:rsid w:val="00646B1B"/>
    <w:rsid w:val="006525E7"/>
    <w:rsid w:val="006551C1"/>
    <w:rsid w:val="006568F2"/>
    <w:rsid w:val="00661244"/>
    <w:rsid w:val="00662234"/>
    <w:rsid w:val="00664C9A"/>
    <w:rsid w:val="006651E7"/>
    <w:rsid w:val="006659F7"/>
    <w:rsid w:val="006661AF"/>
    <w:rsid w:val="00671057"/>
    <w:rsid w:val="00671EDA"/>
    <w:rsid w:val="00672B15"/>
    <w:rsid w:val="00672D38"/>
    <w:rsid w:val="00675AB5"/>
    <w:rsid w:val="00676505"/>
    <w:rsid w:val="00677B63"/>
    <w:rsid w:val="006832EF"/>
    <w:rsid w:val="006846B3"/>
    <w:rsid w:val="00687FE6"/>
    <w:rsid w:val="0069477C"/>
    <w:rsid w:val="00694EF3"/>
    <w:rsid w:val="006A0734"/>
    <w:rsid w:val="006A4AE4"/>
    <w:rsid w:val="006A4DA0"/>
    <w:rsid w:val="006A5900"/>
    <w:rsid w:val="006B19D0"/>
    <w:rsid w:val="006B54ED"/>
    <w:rsid w:val="006B5BAA"/>
    <w:rsid w:val="006B753D"/>
    <w:rsid w:val="006C0054"/>
    <w:rsid w:val="006C18AE"/>
    <w:rsid w:val="006C1D82"/>
    <w:rsid w:val="006C4D92"/>
    <w:rsid w:val="006C51A4"/>
    <w:rsid w:val="006C5819"/>
    <w:rsid w:val="006C5968"/>
    <w:rsid w:val="006C6ABA"/>
    <w:rsid w:val="006C72B9"/>
    <w:rsid w:val="006D03C7"/>
    <w:rsid w:val="006D0983"/>
    <w:rsid w:val="006D0F05"/>
    <w:rsid w:val="006D19FA"/>
    <w:rsid w:val="006D1FDB"/>
    <w:rsid w:val="006D5691"/>
    <w:rsid w:val="006D661E"/>
    <w:rsid w:val="006D6DBD"/>
    <w:rsid w:val="006E11D0"/>
    <w:rsid w:val="006E252C"/>
    <w:rsid w:val="006E287D"/>
    <w:rsid w:val="006E494D"/>
    <w:rsid w:val="006E6B70"/>
    <w:rsid w:val="006E720C"/>
    <w:rsid w:val="006E7315"/>
    <w:rsid w:val="006F0CA3"/>
    <w:rsid w:val="006F123E"/>
    <w:rsid w:val="006F2582"/>
    <w:rsid w:val="006F408C"/>
    <w:rsid w:val="006F6B77"/>
    <w:rsid w:val="006F6DA7"/>
    <w:rsid w:val="006F7711"/>
    <w:rsid w:val="007004C6"/>
    <w:rsid w:val="00700880"/>
    <w:rsid w:val="00700B1C"/>
    <w:rsid w:val="007011A5"/>
    <w:rsid w:val="00702A6F"/>
    <w:rsid w:val="00703763"/>
    <w:rsid w:val="00703B01"/>
    <w:rsid w:val="00703B02"/>
    <w:rsid w:val="0070426F"/>
    <w:rsid w:val="00705465"/>
    <w:rsid w:val="00705FDA"/>
    <w:rsid w:val="007063C0"/>
    <w:rsid w:val="00710F15"/>
    <w:rsid w:val="00711000"/>
    <w:rsid w:val="007131EC"/>
    <w:rsid w:val="007146B3"/>
    <w:rsid w:val="00715CEF"/>
    <w:rsid w:val="007175A4"/>
    <w:rsid w:val="007208FE"/>
    <w:rsid w:val="00721F68"/>
    <w:rsid w:val="007241E8"/>
    <w:rsid w:val="007346BC"/>
    <w:rsid w:val="00734E43"/>
    <w:rsid w:val="00735131"/>
    <w:rsid w:val="0073535B"/>
    <w:rsid w:val="00735630"/>
    <w:rsid w:val="007402BA"/>
    <w:rsid w:val="00740CFF"/>
    <w:rsid w:val="007410A4"/>
    <w:rsid w:val="007436D2"/>
    <w:rsid w:val="0074459A"/>
    <w:rsid w:val="0075027F"/>
    <w:rsid w:val="00751518"/>
    <w:rsid w:val="00753ECC"/>
    <w:rsid w:val="00754753"/>
    <w:rsid w:val="007556B6"/>
    <w:rsid w:val="0075626E"/>
    <w:rsid w:val="00757378"/>
    <w:rsid w:val="007602B8"/>
    <w:rsid w:val="0076099F"/>
    <w:rsid w:val="0076240F"/>
    <w:rsid w:val="007625D6"/>
    <w:rsid w:val="00762C1B"/>
    <w:rsid w:val="00763D85"/>
    <w:rsid w:val="00766092"/>
    <w:rsid w:val="00766EFB"/>
    <w:rsid w:val="00773434"/>
    <w:rsid w:val="0077362F"/>
    <w:rsid w:val="00774452"/>
    <w:rsid w:val="00776782"/>
    <w:rsid w:val="0077707C"/>
    <w:rsid w:val="007776B9"/>
    <w:rsid w:val="00777CC8"/>
    <w:rsid w:val="00780074"/>
    <w:rsid w:val="00781A81"/>
    <w:rsid w:val="00781FF5"/>
    <w:rsid w:val="007820CA"/>
    <w:rsid w:val="00785787"/>
    <w:rsid w:val="00785BC6"/>
    <w:rsid w:val="00786B55"/>
    <w:rsid w:val="007906EA"/>
    <w:rsid w:val="00790DA7"/>
    <w:rsid w:val="00792C0E"/>
    <w:rsid w:val="007930FD"/>
    <w:rsid w:val="00794D94"/>
    <w:rsid w:val="0079530A"/>
    <w:rsid w:val="00797A41"/>
    <w:rsid w:val="007A01DE"/>
    <w:rsid w:val="007A04C9"/>
    <w:rsid w:val="007A4375"/>
    <w:rsid w:val="007A4F52"/>
    <w:rsid w:val="007A5938"/>
    <w:rsid w:val="007A5CC2"/>
    <w:rsid w:val="007A5EBA"/>
    <w:rsid w:val="007A603A"/>
    <w:rsid w:val="007A6C77"/>
    <w:rsid w:val="007A7C8C"/>
    <w:rsid w:val="007B09CC"/>
    <w:rsid w:val="007B3E02"/>
    <w:rsid w:val="007B659C"/>
    <w:rsid w:val="007B6A8C"/>
    <w:rsid w:val="007C6CAB"/>
    <w:rsid w:val="007C6E11"/>
    <w:rsid w:val="007D0F04"/>
    <w:rsid w:val="007D33F7"/>
    <w:rsid w:val="007D7523"/>
    <w:rsid w:val="007D78E2"/>
    <w:rsid w:val="007D7CD2"/>
    <w:rsid w:val="007E0B40"/>
    <w:rsid w:val="007E35F4"/>
    <w:rsid w:val="007E3B26"/>
    <w:rsid w:val="007E4466"/>
    <w:rsid w:val="007E4D2D"/>
    <w:rsid w:val="007E7576"/>
    <w:rsid w:val="007E7CB9"/>
    <w:rsid w:val="007F2C9C"/>
    <w:rsid w:val="007F5849"/>
    <w:rsid w:val="007F72BB"/>
    <w:rsid w:val="007F7680"/>
    <w:rsid w:val="008004C2"/>
    <w:rsid w:val="008008A5"/>
    <w:rsid w:val="0080299C"/>
    <w:rsid w:val="00802A86"/>
    <w:rsid w:val="00803E17"/>
    <w:rsid w:val="00803E52"/>
    <w:rsid w:val="00804434"/>
    <w:rsid w:val="00805D24"/>
    <w:rsid w:val="008063AF"/>
    <w:rsid w:val="00806C19"/>
    <w:rsid w:val="00811423"/>
    <w:rsid w:val="00813DF1"/>
    <w:rsid w:val="008146F5"/>
    <w:rsid w:val="00814B6F"/>
    <w:rsid w:val="00815059"/>
    <w:rsid w:val="00815360"/>
    <w:rsid w:val="008169E3"/>
    <w:rsid w:val="00820421"/>
    <w:rsid w:val="00820446"/>
    <w:rsid w:val="008250F8"/>
    <w:rsid w:val="00826479"/>
    <w:rsid w:val="00830619"/>
    <w:rsid w:val="00831BBA"/>
    <w:rsid w:val="00833378"/>
    <w:rsid w:val="008340E3"/>
    <w:rsid w:val="008349D2"/>
    <w:rsid w:val="00834D4C"/>
    <w:rsid w:val="00837937"/>
    <w:rsid w:val="00837D1C"/>
    <w:rsid w:val="0084038F"/>
    <w:rsid w:val="008406E7"/>
    <w:rsid w:val="00840E1C"/>
    <w:rsid w:val="0084275E"/>
    <w:rsid w:val="008434F9"/>
    <w:rsid w:val="00843ACB"/>
    <w:rsid w:val="008449D4"/>
    <w:rsid w:val="00844A0F"/>
    <w:rsid w:val="00850A1B"/>
    <w:rsid w:val="0085211E"/>
    <w:rsid w:val="00854535"/>
    <w:rsid w:val="00856EA4"/>
    <w:rsid w:val="0086083F"/>
    <w:rsid w:val="00860AA9"/>
    <w:rsid w:val="00861157"/>
    <w:rsid w:val="00861159"/>
    <w:rsid w:val="00861871"/>
    <w:rsid w:val="00861A07"/>
    <w:rsid w:val="00867927"/>
    <w:rsid w:val="0087076D"/>
    <w:rsid w:val="008715DA"/>
    <w:rsid w:val="00871FCA"/>
    <w:rsid w:val="0087521C"/>
    <w:rsid w:val="008757EE"/>
    <w:rsid w:val="008761F1"/>
    <w:rsid w:val="00877FB4"/>
    <w:rsid w:val="00881561"/>
    <w:rsid w:val="00885752"/>
    <w:rsid w:val="00885AC3"/>
    <w:rsid w:val="00886A9D"/>
    <w:rsid w:val="00887CAF"/>
    <w:rsid w:val="00890F8F"/>
    <w:rsid w:val="008928C5"/>
    <w:rsid w:val="0089483A"/>
    <w:rsid w:val="0089487A"/>
    <w:rsid w:val="00895A86"/>
    <w:rsid w:val="00896D17"/>
    <w:rsid w:val="00896FB0"/>
    <w:rsid w:val="0089794D"/>
    <w:rsid w:val="008A1790"/>
    <w:rsid w:val="008A220E"/>
    <w:rsid w:val="008A30E6"/>
    <w:rsid w:val="008A499B"/>
    <w:rsid w:val="008A59BA"/>
    <w:rsid w:val="008A63D2"/>
    <w:rsid w:val="008B0F5A"/>
    <w:rsid w:val="008B10D5"/>
    <w:rsid w:val="008B1632"/>
    <w:rsid w:val="008B1EA0"/>
    <w:rsid w:val="008B3B4A"/>
    <w:rsid w:val="008B42B6"/>
    <w:rsid w:val="008B4B7F"/>
    <w:rsid w:val="008B5F1A"/>
    <w:rsid w:val="008B6A8E"/>
    <w:rsid w:val="008C09B1"/>
    <w:rsid w:val="008C192C"/>
    <w:rsid w:val="008C4D74"/>
    <w:rsid w:val="008C5208"/>
    <w:rsid w:val="008C5F50"/>
    <w:rsid w:val="008C6EEB"/>
    <w:rsid w:val="008C7CCE"/>
    <w:rsid w:val="008D0513"/>
    <w:rsid w:val="008D0784"/>
    <w:rsid w:val="008D1E35"/>
    <w:rsid w:val="008D28B5"/>
    <w:rsid w:val="008D2ACB"/>
    <w:rsid w:val="008D3A78"/>
    <w:rsid w:val="008D53B1"/>
    <w:rsid w:val="008D608F"/>
    <w:rsid w:val="008D6F13"/>
    <w:rsid w:val="008E51BF"/>
    <w:rsid w:val="008E6EAD"/>
    <w:rsid w:val="008E7509"/>
    <w:rsid w:val="008F2FB6"/>
    <w:rsid w:val="008F3D58"/>
    <w:rsid w:val="008F58B5"/>
    <w:rsid w:val="008F5C46"/>
    <w:rsid w:val="008F5C52"/>
    <w:rsid w:val="00900637"/>
    <w:rsid w:val="009013A7"/>
    <w:rsid w:val="009042BC"/>
    <w:rsid w:val="00904851"/>
    <w:rsid w:val="00906E15"/>
    <w:rsid w:val="00907918"/>
    <w:rsid w:val="00911006"/>
    <w:rsid w:val="009113E0"/>
    <w:rsid w:val="00911C01"/>
    <w:rsid w:val="00912F28"/>
    <w:rsid w:val="00914096"/>
    <w:rsid w:val="00914266"/>
    <w:rsid w:val="00915AC2"/>
    <w:rsid w:val="00917E80"/>
    <w:rsid w:val="009214E4"/>
    <w:rsid w:val="00921AC9"/>
    <w:rsid w:val="009260FD"/>
    <w:rsid w:val="00926234"/>
    <w:rsid w:val="00926C41"/>
    <w:rsid w:val="00927A61"/>
    <w:rsid w:val="00930B63"/>
    <w:rsid w:val="00930CBA"/>
    <w:rsid w:val="009330CF"/>
    <w:rsid w:val="009332F5"/>
    <w:rsid w:val="009334CC"/>
    <w:rsid w:val="00941765"/>
    <w:rsid w:val="00942EA3"/>
    <w:rsid w:val="00944086"/>
    <w:rsid w:val="00944524"/>
    <w:rsid w:val="00945178"/>
    <w:rsid w:val="00947400"/>
    <w:rsid w:val="00947475"/>
    <w:rsid w:val="00947978"/>
    <w:rsid w:val="00947B21"/>
    <w:rsid w:val="00953F98"/>
    <w:rsid w:val="00954214"/>
    <w:rsid w:val="00954E96"/>
    <w:rsid w:val="009554DE"/>
    <w:rsid w:val="009557A4"/>
    <w:rsid w:val="009569F8"/>
    <w:rsid w:val="00957758"/>
    <w:rsid w:val="009617F2"/>
    <w:rsid w:val="0096247C"/>
    <w:rsid w:val="00962AE1"/>
    <w:rsid w:val="00963377"/>
    <w:rsid w:val="009635CD"/>
    <w:rsid w:val="00963FF0"/>
    <w:rsid w:val="0096503A"/>
    <w:rsid w:val="00966504"/>
    <w:rsid w:val="00967489"/>
    <w:rsid w:val="00970B69"/>
    <w:rsid w:val="0097180E"/>
    <w:rsid w:val="00972C70"/>
    <w:rsid w:val="0097326F"/>
    <w:rsid w:val="009747C4"/>
    <w:rsid w:val="00974A0A"/>
    <w:rsid w:val="009757F3"/>
    <w:rsid w:val="00975FAC"/>
    <w:rsid w:val="00980EA8"/>
    <w:rsid w:val="009829DD"/>
    <w:rsid w:val="0098316A"/>
    <w:rsid w:val="00985B15"/>
    <w:rsid w:val="00987E42"/>
    <w:rsid w:val="00991582"/>
    <w:rsid w:val="0099406C"/>
    <w:rsid w:val="0099620A"/>
    <w:rsid w:val="009A0EEE"/>
    <w:rsid w:val="009A158B"/>
    <w:rsid w:val="009A15FD"/>
    <w:rsid w:val="009A36F7"/>
    <w:rsid w:val="009A3C65"/>
    <w:rsid w:val="009B0A4C"/>
    <w:rsid w:val="009B1FB1"/>
    <w:rsid w:val="009B6A68"/>
    <w:rsid w:val="009B6E7F"/>
    <w:rsid w:val="009C1511"/>
    <w:rsid w:val="009C1E79"/>
    <w:rsid w:val="009C42D8"/>
    <w:rsid w:val="009C5608"/>
    <w:rsid w:val="009C5E7E"/>
    <w:rsid w:val="009C6110"/>
    <w:rsid w:val="009C6D9F"/>
    <w:rsid w:val="009C7577"/>
    <w:rsid w:val="009C7EC9"/>
    <w:rsid w:val="009D302C"/>
    <w:rsid w:val="009D3A50"/>
    <w:rsid w:val="009D3B27"/>
    <w:rsid w:val="009D3D56"/>
    <w:rsid w:val="009D4416"/>
    <w:rsid w:val="009D5552"/>
    <w:rsid w:val="009D7D5F"/>
    <w:rsid w:val="009E0359"/>
    <w:rsid w:val="009E1761"/>
    <w:rsid w:val="009E59CE"/>
    <w:rsid w:val="009E60F3"/>
    <w:rsid w:val="009F1E0E"/>
    <w:rsid w:val="009F258D"/>
    <w:rsid w:val="009F2FE1"/>
    <w:rsid w:val="009F4B01"/>
    <w:rsid w:val="009F5B39"/>
    <w:rsid w:val="00A01155"/>
    <w:rsid w:val="00A02E7F"/>
    <w:rsid w:val="00A0310C"/>
    <w:rsid w:val="00A074C5"/>
    <w:rsid w:val="00A07D4E"/>
    <w:rsid w:val="00A07E02"/>
    <w:rsid w:val="00A110C4"/>
    <w:rsid w:val="00A113B7"/>
    <w:rsid w:val="00A1190F"/>
    <w:rsid w:val="00A13F53"/>
    <w:rsid w:val="00A149C3"/>
    <w:rsid w:val="00A154D9"/>
    <w:rsid w:val="00A157D4"/>
    <w:rsid w:val="00A15B67"/>
    <w:rsid w:val="00A174E3"/>
    <w:rsid w:val="00A20317"/>
    <w:rsid w:val="00A204F6"/>
    <w:rsid w:val="00A2054A"/>
    <w:rsid w:val="00A206FF"/>
    <w:rsid w:val="00A211DA"/>
    <w:rsid w:val="00A230FE"/>
    <w:rsid w:val="00A23D13"/>
    <w:rsid w:val="00A2468C"/>
    <w:rsid w:val="00A2646E"/>
    <w:rsid w:val="00A27B03"/>
    <w:rsid w:val="00A33FAC"/>
    <w:rsid w:val="00A34626"/>
    <w:rsid w:val="00A34CAC"/>
    <w:rsid w:val="00A34D67"/>
    <w:rsid w:val="00A3514E"/>
    <w:rsid w:val="00A358BC"/>
    <w:rsid w:val="00A36A15"/>
    <w:rsid w:val="00A36B25"/>
    <w:rsid w:val="00A37782"/>
    <w:rsid w:val="00A44089"/>
    <w:rsid w:val="00A465C4"/>
    <w:rsid w:val="00A514F6"/>
    <w:rsid w:val="00A5457B"/>
    <w:rsid w:val="00A55762"/>
    <w:rsid w:val="00A55901"/>
    <w:rsid w:val="00A55E4B"/>
    <w:rsid w:val="00A561B9"/>
    <w:rsid w:val="00A57F76"/>
    <w:rsid w:val="00A62C61"/>
    <w:rsid w:val="00A65D8F"/>
    <w:rsid w:val="00A66E52"/>
    <w:rsid w:val="00A6749D"/>
    <w:rsid w:val="00A70314"/>
    <w:rsid w:val="00A71A8F"/>
    <w:rsid w:val="00A71BD8"/>
    <w:rsid w:val="00A726E0"/>
    <w:rsid w:val="00A7409F"/>
    <w:rsid w:val="00A74455"/>
    <w:rsid w:val="00A74555"/>
    <w:rsid w:val="00A74627"/>
    <w:rsid w:val="00A74BD7"/>
    <w:rsid w:val="00A75493"/>
    <w:rsid w:val="00A77D86"/>
    <w:rsid w:val="00A8234F"/>
    <w:rsid w:val="00A83A2D"/>
    <w:rsid w:val="00A84C26"/>
    <w:rsid w:val="00A8537D"/>
    <w:rsid w:val="00A8665A"/>
    <w:rsid w:val="00A86AFE"/>
    <w:rsid w:val="00A87784"/>
    <w:rsid w:val="00A91069"/>
    <w:rsid w:val="00A9213F"/>
    <w:rsid w:val="00A92602"/>
    <w:rsid w:val="00A95775"/>
    <w:rsid w:val="00A9596B"/>
    <w:rsid w:val="00A96919"/>
    <w:rsid w:val="00A977B5"/>
    <w:rsid w:val="00A97CB4"/>
    <w:rsid w:val="00AA0DF3"/>
    <w:rsid w:val="00AA4BA2"/>
    <w:rsid w:val="00AA5B00"/>
    <w:rsid w:val="00AA6C4F"/>
    <w:rsid w:val="00AA711E"/>
    <w:rsid w:val="00AB0504"/>
    <w:rsid w:val="00AB1225"/>
    <w:rsid w:val="00AB4664"/>
    <w:rsid w:val="00AB4A25"/>
    <w:rsid w:val="00AB7B57"/>
    <w:rsid w:val="00AC1E31"/>
    <w:rsid w:val="00AC2DAB"/>
    <w:rsid w:val="00AC455B"/>
    <w:rsid w:val="00AC55A9"/>
    <w:rsid w:val="00AC6D61"/>
    <w:rsid w:val="00AC7A50"/>
    <w:rsid w:val="00AD0208"/>
    <w:rsid w:val="00AD2053"/>
    <w:rsid w:val="00AD241E"/>
    <w:rsid w:val="00AD52FA"/>
    <w:rsid w:val="00AD5AAC"/>
    <w:rsid w:val="00AD70E6"/>
    <w:rsid w:val="00AD73B4"/>
    <w:rsid w:val="00AE1E4E"/>
    <w:rsid w:val="00AE35BD"/>
    <w:rsid w:val="00AE3666"/>
    <w:rsid w:val="00AE3F29"/>
    <w:rsid w:val="00AE46B8"/>
    <w:rsid w:val="00AE5D2A"/>
    <w:rsid w:val="00AE7379"/>
    <w:rsid w:val="00AE7B34"/>
    <w:rsid w:val="00AE7FFD"/>
    <w:rsid w:val="00AF0C8E"/>
    <w:rsid w:val="00AF4212"/>
    <w:rsid w:val="00AF4DEB"/>
    <w:rsid w:val="00AF5CB4"/>
    <w:rsid w:val="00AF6910"/>
    <w:rsid w:val="00AF7203"/>
    <w:rsid w:val="00AF7740"/>
    <w:rsid w:val="00AF777F"/>
    <w:rsid w:val="00B013A1"/>
    <w:rsid w:val="00B01AF5"/>
    <w:rsid w:val="00B01B1B"/>
    <w:rsid w:val="00B03714"/>
    <w:rsid w:val="00B04A6F"/>
    <w:rsid w:val="00B04D9E"/>
    <w:rsid w:val="00B050A8"/>
    <w:rsid w:val="00B062BE"/>
    <w:rsid w:val="00B110DB"/>
    <w:rsid w:val="00B132C6"/>
    <w:rsid w:val="00B15BA3"/>
    <w:rsid w:val="00B1681C"/>
    <w:rsid w:val="00B176EC"/>
    <w:rsid w:val="00B1781F"/>
    <w:rsid w:val="00B20763"/>
    <w:rsid w:val="00B22130"/>
    <w:rsid w:val="00B2359F"/>
    <w:rsid w:val="00B2678B"/>
    <w:rsid w:val="00B27800"/>
    <w:rsid w:val="00B31F41"/>
    <w:rsid w:val="00B34938"/>
    <w:rsid w:val="00B37BB7"/>
    <w:rsid w:val="00B40C01"/>
    <w:rsid w:val="00B42007"/>
    <w:rsid w:val="00B44F04"/>
    <w:rsid w:val="00B46E99"/>
    <w:rsid w:val="00B50917"/>
    <w:rsid w:val="00B515BA"/>
    <w:rsid w:val="00B51D26"/>
    <w:rsid w:val="00B53CD6"/>
    <w:rsid w:val="00B54052"/>
    <w:rsid w:val="00B54856"/>
    <w:rsid w:val="00B54C64"/>
    <w:rsid w:val="00B563E8"/>
    <w:rsid w:val="00B5741E"/>
    <w:rsid w:val="00B60D31"/>
    <w:rsid w:val="00B61176"/>
    <w:rsid w:val="00B63689"/>
    <w:rsid w:val="00B6417B"/>
    <w:rsid w:val="00B64A91"/>
    <w:rsid w:val="00B65A60"/>
    <w:rsid w:val="00B67153"/>
    <w:rsid w:val="00B6718D"/>
    <w:rsid w:val="00B67988"/>
    <w:rsid w:val="00B705B7"/>
    <w:rsid w:val="00B70C40"/>
    <w:rsid w:val="00B7466E"/>
    <w:rsid w:val="00B7738A"/>
    <w:rsid w:val="00B778B7"/>
    <w:rsid w:val="00B77A88"/>
    <w:rsid w:val="00B77E13"/>
    <w:rsid w:val="00B8106C"/>
    <w:rsid w:val="00B82413"/>
    <w:rsid w:val="00B824A6"/>
    <w:rsid w:val="00B84827"/>
    <w:rsid w:val="00B84FB0"/>
    <w:rsid w:val="00B87AF4"/>
    <w:rsid w:val="00B9158D"/>
    <w:rsid w:val="00B9325A"/>
    <w:rsid w:val="00B94393"/>
    <w:rsid w:val="00B9563F"/>
    <w:rsid w:val="00B963E5"/>
    <w:rsid w:val="00B97514"/>
    <w:rsid w:val="00B97BBA"/>
    <w:rsid w:val="00BA01C5"/>
    <w:rsid w:val="00BA0C1F"/>
    <w:rsid w:val="00BA16D1"/>
    <w:rsid w:val="00BA3577"/>
    <w:rsid w:val="00BA4827"/>
    <w:rsid w:val="00BA4D30"/>
    <w:rsid w:val="00BA62F7"/>
    <w:rsid w:val="00BA752B"/>
    <w:rsid w:val="00BA76B2"/>
    <w:rsid w:val="00BA7BE1"/>
    <w:rsid w:val="00BA7D1A"/>
    <w:rsid w:val="00BB1A30"/>
    <w:rsid w:val="00BB2972"/>
    <w:rsid w:val="00BB3203"/>
    <w:rsid w:val="00BB7389"/>
    <w:rsid w:val="00BC1BFF"/>
    <w:rsid w:val="00BC1E41"/>
    <w:rsid w:val="00BC2264"/>
    <w:rsid w:val="00BC6FDB"/>
    <w:rsid w:val="00BD0032"/>
    <w:rsid w:val="00BD16D6"/>
    <w:rsid w:val="00BD35EC"/>
    <w:rsid w:val="00BD4106"/>
    <w:rsid w:val="00BD43BA"/>
    <w:rsid w:val="00BD6BCD"/>
    <w:rsid w:val="00BD6EEC"/>
    <w:rsid w:val="00BE0219"/>
    <w:rsid w:val="00BE062E"/>
    <w:rsid w:val="00BE1354"/>
    <w:rsid w:val="00BE3DA4"/>
    <w:rsid w:val="00BE5A02"/>
    <w:rsid w:val="00BF0421"/>
    <w:rsid w:val="00BF1A73"/>
    <w:rsid w:val="00BF1E57"/>
    <w:rsid w:val="00BF2477"/>
    <w:rsid w:val="00BF252E"/>
    <w:rsid w:val="00BF2E9A"/>
    <w:rsid w:val="00BF3417"/>
    <w:rsid w:val="00BF3BCC"/>
    <w:rsid w:val="00BF41B6"/>
    <w:rsid w:val="00BF4C8E"/>
    <w:rsid w:val="00BF4E47"/>
    <w:rsid w:val="00BF4FFA"/>
    <w:rsid w:val="00BF582C"/>
    <w:rsid w:val="00BF71A9"/>
    <w:rsid w:val="00C00139"/>
    <w:rsid w:val="00C00162"/>
    <w:rsid w:val="00C006C4"/>
    <w:rsid w:val="00C01324"/>
    <w:rsid w:val="00C03382"/>
    <w:rsid w:val="00C038B8"/>
    <w:rsid w:val="00C03F5B"/>
    <w:rsid w:val="00C04C46"/>
    <w:rsid w:val="00C05132"/>
    <w:rsid w:val="00C063E1"/>
    <w:rsid w:val="00C10276"/>
    <w:rsid w:val="00C12262"/>
    <w:rsid w:val="00C123CE"/>
    <w:rsid w:val="00C14BDC"/>
    <w:rsid w:val="00C14C33"/>
    <w:rsid w:val="00C15BC4"/>
    <w:rsid w:val="00C1797A"/>
    <w:rsid w:val="00C20035"/>
    <w:rsid w:val="00C20A3C"/>
    <w:rsid w:val="00C22C92"/>
    <w:rsid w:val="00C25177"/>
    <w:rsid w:val="00C32D7E"/>
    <w:rsid w:val="00C41C9D"/>
    <w:rsid w:val="00C44EE6"/>
    <w:rsid w:val="00C467E5"/>
    <w:rsid w:val="00C52923"/>
    <w:rsid w:val="00C571F9"/>
    <w:rsid w:val="00C57673"/>
    <w:rsid w:val="00C61AAF"/>
    <w:rsid w:val="00C64B3A"/>
    <w:rsid w:val="00C6771C"/>
    <w:rsid w:val="00C71B28"/>
    <w:rsid w:val="00C72690"/>
    <w:rsid w:val="00C72969"/>
    <w:rsid w:val="00C73FD1"/>
    <w:rsid w:val="00C7415F"/>
    <w:rsid w:val="00C74FCC"/>
    <w:rsid w:val="00C75723"/>
    <w:rsid w:val="00C75A92"/>
    <w:rsid w:val="00C76793"/>
    <w:rsid w:val="00C801A9"/>
    <w:rsid w:val="00C802CD"/>
    <w:rsid w:val="00C84CAC"/>
    <w:rsid w:val="00C85C08"/>
    <w:rsid w:val="00C8757E"/>
    <w:rsid w:val="00C87D0C"/>
    <w:rsid w:val="00C91C8A"/>
    <w:rsid w:val="00C92A5E"/>
    <w:rsid w:val="00C93FDC"/>
    <w:rsid w:val="00C94D5B"/>
    <w:rsid w:val="00C9526F"/>
    <w:rsid w:val="00C9687C"/>
    <w:rsid w:val="00C96AC1"/>
    <w:rsid w:val="00C970C8"/>
    <w:rsid w:val="00CA0BF7"/>
    <w:rsid w:val="00CA0CD6"/>
    <w:rsid w:val="00CA3275"/>
    <w:rsid w:val="00CA4010"/>
    <w:rsid w:val="00CA5B81"/>
    <w:rsid w:val="00CA64AC"/>
    <w:rsid w:val="00CB0500"/>
    <w:rsid w:val="00CB29B6"/>
    <w:rsid w:val="00CB4EFC"/>
    <w:rsid w:val="00CB60AF"/>
    <w:rsid w:val="00CB60E3"/>
    <w:rsid w:val="00CB61CE"/>
    <w:rsid w:val="00CB6241"/>
    <w:rsid w:val="00CB7EBB"/>
    <w:rsid w:val="00CC31FD"/>
    <w:rsid w:val="00CC3C6B"/>
    <w:rsid w:val="00CC47FB"/>
    <w:rsid w:val="00CC522A"/>
    <w:rsid w:val="00CC7C2A"/>
    <w:rsid w:val="00CD29E3"/>
    <w:rsid w:val="00CD51B8"/>
    <w:rsid w:val="00CE2BE2"/>
    <w:rsid w:val="00CE33FD"/>
    <w:rsid w:val="00CE445D"/>
    <w:rsid w:val="00CE7A29"/>
    <w:rsid w:val="00CF0346"/>
    <w:rsid w:val="00CF291C"/>
    <w:rsid w:val="00CF2A8F"/>
    <w:rsid w:val="00CF46DD"/>
    <w:rsid w:val="00CF516B"/>
    <w:rsid w:val="00CF6029"/>
    <w:rsid w:val="00CF754E"/>
    <w:rsid w:val="00D0157E"/>
    <w:rsid w:val="00D01630"/>
    <w:rsid w:val="00D01A8B"/>
    <w:rsid w:val="00D0765E"/>
    <w:rsid w:val="00D07AEC"/>
    <w:rsid w:val="00D07EB3"/>
    <w:rsid w:val="00D10064"/>
    <w:rsid w:val="00D10181"/>
    <w:rsid w:val="00D10443"/>
    <w:rsid w:val="00D108F7"/>
    <w:rsid w:val="00D1143F"/>
    <w:rsid w:val="00D1145A"/>
    <w:rsid w:val="00D11EC8"/>
    <w:rsid w:val="00D13C22"/>
    <w:rsid w:val="00D22071"/>
    <w:rsid w:val="00D22F20"/>
    <w:rsid w:val="00D30607"/>
    <w:rsid w:val="00D31676"/>
    <w:rsid w:val="00D322F7"/>
    <w:rsid w:val="00D326D9"/>
    <w:rsid w:val="00D329BA"/>
    <w:rsid w:val="00D32D06"/>
    <w:rsid w:val="00D35F1C"/>
    <w:rsid w:val="00D37346"/>
    <w:rsid w:val="00D377F7"/>
    <w:rsid w:val="00D4045F"/>
    <w:rsid w:val="00D416B9"/>
    <w:rsid w:val="00D5503B"/>
    <w:rsid w:val="00D56727"/>
    <w:rsid w:val="00D571D9"/>
    <w:rsid w:val="00D60A13"/>
    <w:rsid w:val="00D6228B"/>
    <w:rsid w:val="00D62DA0"/>
    <w:rsid w:val="00D65A08"/>
    <w:rsid w:val="00D66518"/>
    <w:rsid w:val="00D7050B"/>
    <w:rsid w:val="00D7161D"/>
    <w:rsid w:val="00D72AEA"/>
    <w:rsid w:val="00D73F6C"/>
    <w:rsid w:val="00D746D7"/>
    <w:rsid w:val="00D74C97"/>
    <w:rsid w:val="00D74CF8"/>
    <w:rsid w:val="00D76209"/>
    <w:rsid w:val="00D80739"/>
    <w:rsid w:val="00D855BC"/>
    <w:rsid w:val="00D87FFB"/>
    <w:rsid w:val="00D92420"/>
    <w:rsid w:val="00D932BE"/>
    <w:rsid w:val="00D95D37"/>
    <w:rsid w:val="00D961D2"/>
    <w:rsid w:val="00D978D5"/>
    <w:rsid w:val="00D97A71"/>
    <w:rsid w:val="00DA2F54"/>
    <w:rsid w:val="00DA3594"/>
    <w:rsid w:val="00DA4B87"/>
    <w:rsid w:val="00DA4CB2"/>
    <w:rsid w:val="00DA608D"/>
    <w:rsid w:val="00DA6322"/>
    <w:rsid w:val="00DA6BA4"/>
    <w:rsid w:val="00DA736D"/>
    <w:rsid w:val="00DB0516"/>
    <w:rsid w:val="00DB1259"/>
    <w:rsid w:val="00DB1720"/>
    <w:rsid w:val="00DB1D3C"/>
    <w:rsid w:val="00DB1DE2"/>
    <w:rsid w:val="00DB2D3A"/>
    <w:rsid w:val="00DB4A0B"/>
    <w:rsid w:val="00DB4BF8"/>
    <w:rsid w:val="00DB4CED"/>
    <w:rsid w:val="00DB58CD"/>
    <w:rsid w:val="00DB5B61"/>
    <w:rsid w:val="00DB62E5"/>
    <w:rsid w:val="00DC1A85"/>
    <w:rsid w:val="00DC4043"/>
    <w:rsid w:val="00DC4649"/>
    <w:rsid w:val="00DC5E9D"/>
    <w:rsid w:val="00DD6A9E"/>
    <w:rsid w:val="00DD6FF8"/>
    <w:rsid w:val="00DD73B2"/>
    <w:rsid w:val="00DE0006"/>
    <w:rsid w:val="00DE1E55"/>
    <w:rsid w:val="00DE3388"/>
    <w:rsid w:val="00DE3A98"/>
    <w:rsid w:val="00DE4162"/>
    <w:rsid w:val="00DE47DD"/>
    <w:rsid w:val="00DE5303"/>
    <w:rsid w:val="00DE5E68"/>
    <w:rsid w:val="00DF0797"/>
    <w:rsid w:val="00DF13CC"/>
    <w:rsid w:val="00DF2C76"/>
    <w:rsid w:val="00DF309B"/>
    <w:rsid w:val="00DF4097"/>
    <w:rsid w:val="00DF49A5"/>
    <w:rsid w:val="00DF7306"/>
    <w:rsid w:val="00E0007E"/>
    <w:rsid w:val="00E009A4"/>
    <w:rsid w:val="00E017A8"/>
    <w:rsid w:val="00E02576"/>
    <w:rsid w:val="00E031A8"/>
    <w:rsid w:val="00E042D7"/>
    <w:rsid w:val="00E0441C"/>
    <w:rsid w:val="00E04B01"/>
    <w:rsid w:val="00E068EE"/>
    <w:rsid w:val="00E06982"/>
    <w:rsid w:val="00E07A84"/>
    <w:rsid w:val="00E12C67"/>
    <w:rsid w:val="00E14B35"/>
    <w:rsid w:val="00E15596"/>
    <w:rsid w:val="00E16415"/>
    <w:rsid w:val="00E177A2"/>
    <w:rsid w:val="00E2058B"/>
    <w:rsid w:val="00E21048"/>
    <w:rsid w:val="00E22B06"/>
    <w:rsid w:val="00E26DB5"/>
    <w:rsid w:val="00E278F0"/>
    <w:rsid w:val="00E3033F"/>
    <w:rsid w:val="00E33D97"/>
    <w:rsid w:val="00E33F02"/>
    <w:rsid w:val="00E34FEA"/>
    <w:rsid w:val="00E3528F"/>
    <w:rsid w:val="00E37032"/>
    <w:rsid w:val="00E41D03"/>
    <w:rsid w:val="00E42A9E"/>
    <w:rsid w:val="00E43025"/>
    <w:rsid w:val="00E46D7F"/>
    <w:rsid w:val="00E475B4"/>
    <w:rsid w:val="00E47F24"/>
    <w:rsid w:val="00E51097"/>
    <w:rsid w:val="00E521E9"/>
    <w:rsid w:val="00E530AE"/>
    <w:rsid w:val="00E53DA1"/>
    <w:rsid w:val="00E542E8"/>
    <w:rsid w:val="00E5624F"/>
    <w:rsid w:val="00E56C54"/>
    <w:rsid w:val="00E57CA3"/>
    <w:rsid w:val="00E60853"/>
    <w:rsid w:val="00E60D6F"/>
    <w:rsid w:val="00E6135B"/>
    <w:rsid w:val="00E6370F"/>
    <w:rsid w:val="00E64B0E"/>
    <w:rsid w:val="00E66CE5"/>
    <w:rsid w:val="00E66DD4"/>
    <w:rsid w:val="00E6715C"/>
    <w:rsid w:val="00E71DE2"/>
    <w:rsid w:val="00E72EAA"/>
    <w:rsid w:val="00E7309B"/>
    <w:rsid w:val="00E73F42"/>
    <w:rsid w:val="00E742E5"/>
    <w:rsid w:val="00E750C8"/>
    <w:rsid w:val="00E756AD"/>
    <w:rsid w:val="00E76AA7"/>
    <w:rsid w:val="00E775EC"/>
    <w:rsid w:val="00E80E10"/>
    <w:rsid w:val="00E814E5"/>
    <w:rsid w:val="00E843FD"/>
    <w:rsid w:val="00E85304"/>
    <w:rsid w:val="00E8622D"/>
    <w:rsid w:val="00E8681A"/>
    <w:rsid w:val="00E87410"/>
    <w:rsid w:val="00E8754F"/>
    <w:rsid w:val="00E87FDE"/>
    <w:rsid w:val="00E91780"/>
    <w:rsid w:val="00E919EF"/>
    <w:rsid w:val="00E92657"/>
    <w:rsid w:val="00E9472A"/>
    <w:rsid w:val="00E95FE9"/>
    <w:rsid w:val="00E96847"/>
    <w:rsid w:val="00E97889"/>
    <w:rsid w:val="00EA1936"/>
    <w:rsid w:val="00EA2042"/>
    <w:rsid w:val="00EA2641"/>
    <w:rsid w:val="00EA2BCF"/>
    <w:rsid w:val="00EA2C28"/>
    <w:rsid w:val="00EA5164"/>
    <w:rsid w:val="00EB1A0F"/>
    <w:rsid w:val="00EB34A8"/>
    <w:rsid w:val="00EB4B49"/>
    <w:rsid w:val="00EB5BB9"/>
    <w:rsid w:val="00EB5E23"/>
    <w:rsid w:val="00EC2846"/>
    <w:rsid w:val="00EC2FF5"/>
    <w:rsid w:val="00EC3209"/>
    <w:rsid w:val="00EC3AB7"/>
    <w:rsid w:val="00EC5A39"/>
    <w:rsid w:val="00EC5E35"/>
    <w:rsid w:val="00EC6A12"/>
    <w:rsid w:val="00EC6F9F"/>
    <w:rsid w:val="00ED18A8"/>
    <w:rsid w:val="00ED2FF5"/>
    <w:rsid w:val="00ED61FA"/>
    <w:rsid w:val="00EE1A92"/>
    <w:rsid w:val="00EE22FA"/>
    <w:rsid w:val="00EE243E"/>
    <w:rsid w:val="00EE2A2D"/>
    <w:rsid w:val="00EE323C"/>
    <w:rsid w:val="00EE401E"/>
    <w:rsid w:val="00EE55AB"/>
    <w:rsid w:val="00EE57C2"/>
    <w:rsid w:val="00EE63CE"/>
    <w:rsid w:val="00EE7956"/>
    <w:rsid w:val="00EF0C34"/>
    <w:rsid w:val="00EF125C"/>
    <w:rsid w:val="00EF304E"/>
    <w:rsid w:val="00EF3A3D"/>
    <w:rsid w:val="00EF53C7"/>
    <w:rsid w:val="00EF601F"/>
    <w:rsid w:val="00EF663B"/>
    <w:rsid w:val="00EF6857"/>
    <w:rsid w:val="00EF6CB4"/>
    <w:rsid w:val="00EF74FB"/>
    <w:rsid w:val="00F00D8F"/>
    <w:rsid w:val="00F036C6"/>
    <w:rsid w:val="00F047AA"/>
    <w:rsid w:val="00F06435"/>
    <w:rsid w:val="00F072C7"/>
    <w:rsid w:val="00F078B5"/>
    <w:rsid w:val="00F07924"/>
    <w:rsid w:val="00F11390"/>
    <w:rsid w:val="00F128D2"/>
    <w:rsid w:val="00F129BD"/>
    <w:rsid w:val="00F12A0C"/>
    <w:rsid w:val="00F14632"/>
    <w:rsid w:val="00F16AD4"/>
    <w:rsid w:val="00F17275"/>
    <w:rsid w:val="00F20EB7"/>
    <w:rsid w:val="00F21A1D"/>
    <w:rsid w:val="00F21BF2"/>
    <w:rsid w:val="00F227C4"/>
    <w:rsid w:val="00F228E8"/>
    <w:rsid w:val="00F22AD8"/>
    <w:rsid w:val="00F2501B"/>
    <w:rsid w:val="00F2504D"/>
    <w:rsid w:val="00F250A2"/>
    <w:rsid w:val="00F25CA0"/>
    <w:rsid w:val="00F26078"/>
    <w:rsid w:val="00F3155F"/>
    <w:rsid w:val="00F31687"/>
    <w:rsid w:val="00F323A8"/>
    <w:rsid w:val="00F36DFF"/>
    <w:rsid w:val="00F40135"/>
    <w:rsid w:val="00F4051F"/>
    <w:rsid w:val="00F4205E"/>
    <w:rsid w:val="00F4237D"/>
    <w:rsid w:val="00F44CAE"/>
    <w:rsid w:val="00F44FAB"/>
    <w:rsid w:val="00F456F8"/>
    <w:rsid w:val="00F45EB0"/>
    <w:rsid w:val="00F4775F"/>
    <w:rsid w:val="00F47CA8"/>
    <w:rsid w:val="00F47CAC"/>
    <w:rsid w:val="00F5220A"/>
    <w:rsid w:val="00F55994"/>
    <w:rsid w:val="00F55EFC"/>
    <w:rsid w:val="00F612DD"/>
    <w:rsid w:val="00F63764"/>
    <w:rsid w:val="00F63DC6"/>
    <w:rsid w:val="00F7162F"/>
    <w:rsid w:val="00F7364F"/>
    <w:rsid w:val="00F74976"/>
    <w:rsid w:val="00F76DB9"/>
    <w:rsid w:val="00F77BBA"/>
    <w:rsid w:val="00F82C22"/>
    <w:rsid w:val="00F83B52"/>
    <w:rsid w:val="00F8567D"/>
    <w:rsid w:val="00F85BE5"/>
    <w:rsid w:val="00F86003"/>
    <w:rsid w:val="00F86061"/>
    <w:rsid w:val="00F90041"/>
    <w:rsid w:val="00F90985"/>
    <w:rsid w:val="00F91A9B"/>
    <w:rsid w:val="00F931E9"/>
    <w:rsid w:val="00F9624F"/>
    <w:rsid w:val="00F96880"/>
    <w:rsid w:val="00F97B7B"/>
    <w:rsid w:val="00FA0830"/>
    <w:rsid w:val="00FA1642"/>
    <w:rsid w:val="00FA2E41"/>
    <w:rsid w:val="00FA447A"/>
    <w:rsid w:val="00FA4DDF"/>
    <w:rsid w:val="00FA516A"/>
    <w:rsid w:val="00FA5A34"/>
    <w:rsid w:val="00FA5B92"/>
    <w:rsid w:val="00FA5CFF"/>
    <w:rsid w:val="00FA646F"/>
    <w:rsid w:val="00FA7919"/>
    <w:rsid w:val="00FA79DB"/>
    <w:rsid w:val="00FB067E"/>
    <w:rsid w:val="00FB06CC"/>
    <w:rsid w:val="00FB0DA8"/>
    <w:rsid w:val="00FB1144"/>
    <w:rsid w:val="00FB1C9D"/>
    <w:rsid w:val="00FB24EB"/>
    <w:rsid w:val="00FB44BF"/>
    <w:rsid w:val="00FB4930"/>
    <w:rsid w:val="00FB5D4C"/>
    <w:rsid w:val="00FB6ACA"/>
    <w:rsid w:val="00FB7F3B"/>
    <w:rsid w:val="00FC3CED"/>
    <w:rsid w:val="00FC4A64"/>
    <w:rsid w:val="00FC6B5F"/>
    <w:rsid w:val="00FD0F49"/>
    <w:rsid w:val="00FD1A5F"/>
    <w:rsid w:val="00FD3B6E"/>
    <w:rsid w:val="00FD3CFB"/>
    <w:rsid w:val="00FD45A3"/>
    <w:rsid w:val="00FD5AE9"/>
    <w:rsid w:val="00FD762B"/>
    <w:rsid w:val="00FE115D"/>
    <w:rsid w:val="00FE12C0"/>
    <w:rsid w:val="00FE44E3"/>
    <w:rsid w:val="00FE4F38"/>
    <w:rsid w:val="00FE6DD1"/>
    <w:rsid w:val="00FF1B20"/>
    <w:rsid w:val="00FF2E3B"/>
    <w:rsid w:val="00FF3D91"/>
    <w:rsid w:val="00FF69F3"/>
    <w:rsid w:val="00FF79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3F4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73F42"/>
    <w:pPr>
      <w:tabs>
        <w:tab w:val="center" w:pos="4153"/>
        <w:tab w:val="right" w:pos="8306"/>
      </w:tabs>
    </w:pPr>
  </w:style>
  <w:style w:type="paragraph" w:styleId="a4">
    <w:name w:val="footer"/>
    <w:basedOn w:val="a"/>
    <w:link w:val="a5"/>
    <w:uiPriority w:val="99"/>
    <w:rsid w:val="00E73F42"/>
    <w:pPr>
      <w:tabs>
        <w:tab w:val="center" w:pos="4153"/>
        <w:tab w:val="right" w:pos="8306"/>
      </w:tabs>
    </w:pPr>
  </w:style>
  <w:style w:type="paragraph" w:customStyle="1" w:styleId="regpar">
    <w:name w:val="regpar"/>
    <w:basedOn w:val="a"/>
    <w:rsid w:val="00E73F42"/>
    <w:pPr>
      <w:spacing w:line="300" w:lineRule="exact"/>
      <w:ind w:firstLine="240"/>
      <w:jc w:val="both"/>
    </w:pPr>
    <w:rPr>
      <w:rFonts w:ascii="Times" w:hAnsi="Times" w:cs="Times"/>
    </w:rPr>
  </w:style>
  <w:style w:type="character" w:styleId="Hyperlink">
    <w:name w:val="Hyperlink"/>
    <w:basedOn w:val="a0"/>
    <w:rsid w:val="00E73F42"/>
    <w:rPr>
      <w:color w:val="0000FF"/>
      <w:u w:val="single"/>
    </w:rPr>
  </w:style>
  <w:style w:type="paragraph" w:styleId="a6">
    <w:name w:val="Balloon Text"/>
    <w:basedOn w:val="a"/>
    <w:semiHidden/>
    <w:rsid w:val="00AE35BD"/>
    <w:rPr>
      <w:rFonts w:ascii="Tahoma" w:hAnsi="Tahoma" w:cs="Tahoma"/>
      <w:sz w:val="16"/>
      <w:szCs w:val="16"/>
    </w:rPr>
  </w:style>
  <w:style w:type="paragraph" w:styleId="a7">
    <w:name w:val="footnote text"/>
    <w:basedOn w:val="a"/>
    <w:link w:val="a8"/>
    <w:rsid w:val="00DC4649"/>
    <w:rPr>
      <w:sz w:val="20"/>
      <w:szCs w:val="20"/>
    </w:rPr>
  </w:style>
  <w:style w:type="character" w:customStyle="1" w:styleId="a8">
    <w:name w:val="טקסט הערת שוליים תו"/>
    <w:basedOn w:val="a0"/>
    <w:link w:val="a7"/>
    <w:rsid w:val="00DC4649"/>
  </w:style>
  <w:style w:type="character" w:styleId="a9">
    <w:name w:val="footnote reference"/>
    <w:basedOn w:val="a0"/>
    <w:rsid w:val="00DC4649"/>
    <w:rPr>
      <w:vertAlign w:val="superscript"/>
    </w:rPr>
  </w:style>
  <w:style w:type="character" w:customStyle="1" w:styleId="a5">
    <w:name w:val="כותרת תחתונה תו"/>
    <w:basedOn w:val="a0"/>
    <w:link w:val="a4"/>
    <w:uiPriority w:val="99"/>
    <w:rsid w:val="008B6A8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3F4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73F42"/>
    <w:pPr>
      <w:tabs>
        <w:tab w:val="center" w:pos="4153"/>
        <w:tab w:val="right" w:pos="8306"/>
      </w:tabs>
    </w:pPr>
  </w:style>
  <w:style w:type="paragraph" w:styleId="a4">
    <w:name w:val="footer"/>
    <w:basedOn w:val="a"/>
    <w:link w:val="a5"/>
    <w:uiPriority w:val="99"/>
    <w:rsid w:val="00E73F42"/>
    <w:pPr>
      <w:tabs>
        <w:tab w:val="center" w:pos="4153"/>
        <w:tab w:val="right" w:pos="8306"/>
      </w:tabs>
    </w:pPr>
  </w:style>
  <w:style w:type="paragraph" w:customStyle="1" w:styleId="regpar">
    <w:name w:val="regpar"/>
    <w:basedOn w:val="a"/>
    <w:rsid w:val="00E73F42"/>
    <w:pPr>
      <w:spacing w:line="300" w:lineRule="exact"/>
      <w:ind w:firstLine="240"/>
      <w:jc w:val="both"/>
    </w:pPr>
    <w:rPr>
      <w:rFonts w:ascii="Times" w:hAnsi="Times" w:cs="Times"/>
    </w:rPr>
  </w:style>
  <w:style w:type="character" w:styleId="Hyperlink">
    <w:name w:val="Hyperlink"/>
    <w:basedOn w:val="a0"/>
    <w:rsid w:val="00E73F42"/>
    <w:rPr>
      <w:color w:val="0000FF"/>
      <w:u w:val="single"/>
    </w:rPr>
  </w:style>
  <w:style w:type="paragraph" w:styleId="a6">
    <w:name w:val="Balloon Text"/>
    <w:basedOn w:val="a"/>
    <w:semiHidden/>
    <w:rsid w:val="00AE35BD"/>
    <w:rPr>
      <w:rFonts w:ascii="Tahoma" w:hAnsi="Tahoma" w:cs="Tahoma"/>
      <w:sz w:val="16"/>
      <w:szCs w:val="16"/>
    </w:rPr>
  </w:style>
  <w:style w:type="paragraph" w:styleId="a7">
    <w:name w:val="footnote text"/>
    <w:basedOn w:val="a"/>
    <w:link w:val="a8"/>
    <w:rsid w:val="00DC4649"/>
    <w:rPr>
      <w:sz w:val="20"/>
      <w:szCs w:val="20"/>
    </w:rPr>
  </w:style>
  <w:style w:type="character" w:customStyle="1" w:styleId="a8">
    <w:name w:val="טקסט הערת שוליים תו"/>
    <w:basedOn w:val="a0"/>
    <w:link w:val="a7"/>
    <w:rsid w:val="00DC4649"/>
  </w:style>
  <w:style w:type="character" w:styleId="a9">
    <w:name w:val="footnote reference"/>
    <w:basedOn w:val="a0"/>
    <w:rsid w:val="00DC4649"/>
    <w:rPr>
      <w:vertAlign w:val="superscript"/>
    </w:rPr>
  </w:style>
  <w:style w:type="character" w:customStyle="1" w:styleId="a5">
    <w:name w:val="כותרת תחתונה תו"/>
    <w:basedOn w:val="a0"/>
    <w:link w:val="a4"/>
    <w:uiPriority w:val="99"/>
    <w:rsid w:val="008B6A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559600">
      <w:bodyDiv w:val="1"/>
      <w:marLeft w:val="0"/>
      <w:marRight w:val="0"/>
      <w:marTop w:val="0"/>
      <w:marBottom w:val="0"/>
      <w:divBdr>
        <w:top w:val="none" w:sz="0" w:space="0" w:color="auto"/>
        <w:left w:val="none" w:sz="0" w:space="0" w:color="auto"/>
        <w:bottom w:val="none" w:sz="0" w:space="0" w:color="auto"/>
        <w:right w:val="none" w:sz="0" w:space="0" w:color="auto"/>
      </w:divBdr>
    </w:div>
    <w:div w:id="379406220">
      <w:bodyDiv w:val="1"/>
      <w:marLeft w:val="0"/>
      <w:marRight w:val="0"/>
      <w:marTop w:val="0"/>
      <w:marBottom w:val="0"/>
      <w:divBdr>
        <w:top w:val="none" w:sz="0" w:space="0" w:color="auto"/>
        <w:left w:val="none" w:sz="0" w:space="0" w:color="auto"/>
        <w:bottom w:val="none" w:sz="0" w:space="0" w:color="auto"/>
        <w:right w:val="none" w:sz="0" w:space="0" w:color="auto"/>
      </w:divBdr>
    </w:div>
    <w:div w:id="1012336939">
      <w:bodyDiv w:val="1"/>
      <w:marLeft w:val="0"/>
      <w:marRight w:val="0"/>
      <w:marTop w:val="0"/>
      <w:marBottom w:val="0"/>
      <w:divBdr>
        <w:top w:val="none" w:sz="0" w:space="0" w:color="auto"/>
        <w:left w:val="none" w:sz="0" w:space="0" w:color="auto"/>
        <w:bottom w:val="none" w:sz="0" w:space="0" w:color="auto"/>
        <w:right w:val="none" w:sz="0" w:space="0" w:color="auto"/>
      </w:divBdr>
    </w:div>
    <w:div w:id="1247543412">
      <w:bodyDiv w:val="1"/>
      <w:marLeft w:val="0"/>
      <w:marRight w:val="0"/>
      <w:marTop w:val="0"/>
      <w:marBottom w:val="0"/>
      <w:divBdr>
        <w:top w:val="none" w:sz="0" w:space="0" w:color="auto"/>
        <w:left w:val="none" w:sz="0" w:space="0" w:color="auto"/>
        <w:bottom w:val="none" w:sz="0" w:space="0" w:color="auto"/>
        <w:right w:val="none" w:sz="0" w:space="0" w:color="auto"/>
      </w:divBdr>
    </w:div>
    <w:div w:id="173712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dc66967819e61477bbb22baefbd46658">
  <xsd:schema xmlns:xsd="http://www.w3.org/2001/XMLSchema" xmlns:xs="http://www.w3.org/2001/XMLSchema" xmlns:p="http://schemas.microsoft.com/office/2006/metadata/properties" xmlns:ns1="http://schemas.microsoft.com/sharepoint/v3" targetNamespace="http://schemas.microsoft.com/office/2006/metadata/properties" ma:root="true" ma:fieldsID="ea2d015b092b9b034dac7bb82bea7adc"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A1A7F-BA72-476F-B769-A1698582BA13}"/>
</file>

<file path=customXml/itemProps2.xml><?xml version="1.0" encoding="utf-8"?>
<ds:datastoreItem xmlns:ds="http://schemas.openxmlformats.org/officeDocument/2006/customXml" ds:itemID="{5AC666CB-92D7-417A-A6F7-A36A2A89C7C1}"/>
</file>

<file path=customXml/itemProps3.xml><?xml version="1.0" encoding="utf-8"?>
<ds:datastoreItem xmlns:ds="http://schemas.openxmlformats.org/officeDocument/2006/customXml" ds:itemID="{A48AA3F0-483C-4FD5-9B5F-6651EFD5C00D}"/>
</file>

<file path=customXml/itemProps4.xml><?xml version="1.0" encoding="utf-8"?>
<ds:datastoreItem xmlns:ds="http://schemas.openxmlformats.org/officeDocument/2006/customXml" ds:itemID="{A37AC48E-F6CC-40A9-8A32-0821FE72D48A}"/>
</file>

<file path=docProps/app.xml><?xml version="1.0" encoding="utf-8"?>
<Properties xmlns="http://schemas.openxmlformats.org/officeDocument/2006/extended-properties" xmlns:vt="http://schemas.openxmlformats.org/officeDocument/2006/docPropsVTypes">
  <Template>Normal.dotm</Template>
  <TotalTime>0</TotalTime>
  <Pages>6</Pages>
  <Words>753</Words>
  <Characters>4128</Characters>
  <Application>Microsoft Office Word</Application>
  <DocSecurity>0</DocSecurity>
  <Lines>34</Lines>
  <Paragraphs>9</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4872</CharactersWithSpaces>
  <SharedDoc>false</SharedDoc>
  <HLinks>
    <vt:vector size="6" baseType="variant">
      <vt:variant>
        <vt:i4>5898332</vt:i4>
      </vt:variant>
      <vt:variant>
        <vt:i4>0</vt:i4>
      </vt:variant>
      <vt:variant>
        <vt:i4>0</vt:i4>
      </vt:variant>
      <vt:variant>
        <vt:i4>5</vt:i4>
      </vt:variant>
      <vt:variant>
        <vt:lpwstr>http://www.bankisrael.gov.il/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2014-06-08T08:25:00Z</dcterms:created>
  <dcterms:modified xsi:type="dcterms:W3CDTF">2014-06-08T08:25:00Z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