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921A2" w:rsidRPr="00DB1CBC" w:rsidTr="002E5159">
        <w:trPr>
          <w:jc w:val="center"/>
        </w:trPr>
        <w:tc>
          <w:tcPr>
            <w:tcW w:w="2840" w:type="dxa"/>
            <w:vAlign w:val="center"/>
          </w:tcPr>
          <w:p w:rsidR="00D921A2" w:rsidRDefault="00D921A2" w:rsidP="009709E0">
            <w:pPr>
              <w:spacing w:before="240"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709E0">
            <w:pPr>
              <w:spacing w:before="240" w:line="360" w:lineRule="auto"/>
              <w:ind w:right="-101"/>
              <w:jc w:val="both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96" w:type="dxa"/>
          </w:tcPr>
          <w:p w:rsidR="00D921A2" w:rsidRDefault="00AE5FAE" w:rsidP="009709E0">
            <w:pPr>
              <w:spacing w:before="240"/>
              <w:jc w:val="both"/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017EE8D0" wp14:editId="6FD14129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vAlign w:val="center"/>
          </w:tcPr>
          <w:p w:rsidR="00D921A2" w:rsidRPr="000B3287" w:rsidRDefault="00D921A2" w:rsidP="0062095D">
            <w:pPr>
              <w:spacing w:before="240" w:line="480" w:lineRule="auto"/>
              <w:jc w:val="right"/>
            </w:pPr>
            <w:r w:rsidRPr="000B3287">
              <w:rPr>
                <w:rFonts w:hint="eastAsia"/>
                <w:rtl/>
              </w:rPr>
              <w:t>‏</w:t>
            </w:r>
            <w:r w:rsidRPr="000B3287">
              <w:rPr>
                <w:rFonts w:hint="cs"/>
                <w:rtl/>
              </w:rPr>
              <w:t>ירושלים</w:t>
            </w:r>
            <w:r w:rsidR="002F0DC3" w:rsidRPr="000B3287">
              <w:rPr>
                <w:rFonts w:hint="cs"/>
                <w:rtl/>
              </w:rPr>
              <w:t xml:space="preserve">, </w:t>
            </w:r>
            <w:r w:rsidR="006C1E0C">
              <w:rPr>
                <w:rFonts w:hint="cs"/>
                <w:rtl/>
              </w:rPr>
              <w:t>כ</w:t>
            </w:r>
            <w:r w:rsidR="00D96916">
              <w:rPr>
                <w:rFonts w:hint="cs"/>
                <w:rtl/>
              </w:rPr>
              <w:t>"</w:t>
            </w:r>
            <w:r w:rsidR="00F1101F">
              <w:rPr>
                <w:rFonts w:hint="cs"/>
                <w:rtl/>
              </w:rPr>
              <w:t>ה</w:t>
            </w:r>
            <w:r w:rsidR="00797E9F" w:rsidRPr="000B3287">
              <w:rPr>
                <w:rFonts w:hint="cs"/>
                <w:rtl/>
              </w:rPr>
              <w:t xml:space="preserve"> </w:t>
            </w:r>
            <w:r w:rsidR="006C1E0C">
              <w:rPr>
                <w:rFonts w:hint="cs"/>
                <w:rtl/>
              </w:rPr>
              <w:t>ב</w:t>
            </w:r>
            <w:r w:rsidR="00F1101F">
              <w:rPr>
                <w:rFonts w:hint="cs"/>
                <w:rtl/>
              </w:rPr>
              <w:t>אלול</w:t>
            </w:r>
            <w:r w:rsidR="00D43807" w:rsidRPr="000B3287">
              <w:rPr>
                <w:rFonts w:hint="cs"/>
                <w:rtl/>
              </w:rPr>
              <w:t xml:space="preserve"> </w:t>
            </w:r>
            <w:proofErr w:type="spellStart"/>
            <w:r w:rsidRPr="000B3287">
              <w:rPr>
                <w:rFonts w:hint="cs"/>
                <w:rtl/>
              </w:rPr>
              <w:t>ה</w:t>
            </w:r>
            <w:r w:rsidRPr="000B3287">
              <w:rPr>
                <w:rtl/>
              </w:rPr>
              <w:t>תשע"</w:t>
            </w:r>
            <w:r w:rsidR="00F26049">
              <w:rPr>
                <w:rFonts w:hint="cs"/>
                <w:rtl/>
              </w:rPr>
              <w:t>ט</w:t>
            </w:r>
            <w:proofErr w:type="spellEnd"/>
          </w:p>
          <w:p w:rsidR="00D921A2" w:rsidRPr="000B3287" w:rsidRDefault="006C1E0C" w:rsidP="0062095D">
            <w:pPr>
              <w:spacing w:before="240" w:line="480" w:lineRule="auto"/>
              <w:jc w:val="right"/>
            </w:pPr>
            <w:r>
              <w:rPr>
                <w:rFonts w:hint="cs"/>
                <w:rtl/>
              </w:rPr>
              <w:t>25</w:t>
            </w:r>
            <w:r w:rsidR="008411FF" w:rsidRPr="000B3287">
              <w:rPr>
                <w:rFonts w:hint="cs"/>
                <w:rtl/>
              </w:rPr>
              <w:t xml:space="preserve"> </w:t>
            </w:r>
            <w:r w:rsidR="00CE2D8C">
              <w:rPr>
                <w:rFonts w:hint="cs"/>
                <w:rtl/>
              </w:rPr>
              <w:t>ב</w:t>
            </w:r>
            <w:r w:rsidR="00F1101F">
              <w:rPr>
                <w:rFonts w:hint="cs"/>
                <w:rtl/>
              </w:rPr>
              <w:t>ספטמבר</w:t>
            </w:r>
            <w:r w:rsidR="00444713" w:rsidRPr="000B3287">
              <w:rPr>
                <w:rFonts w:hint="cs"/>
                <w:rtl/>
              </w:rPr>
              <w:t xml:space="preserve"> </w:t>
            </w:r>
            <w:r w:rsidR="00CE2D8C">
              <w:rPr>
                <w:rFonts w:hint="cs"/>
                <w:rtl/>
              </w:rPr>
              <w:t>2019</w:t>
            </w:r>
            <w:r w:rsidR="00444713" w:rsidRPr="000B3287">
              <w:rPr>
                <w:rFonts w:hint="cs"/>
                <w:rtl/>
              </w:rPr>
              <w:t xml:space="preserve"> </w:t>
            </w:r>
          </w:p>
        </w:tc>
      </w:tr>
    </w:tbl>
    <w:p w:rsidR="00D921A2" w:rsidRDefault="00D921A2" w:rsidP="009709E0">
      <w:pPr>
        <w:spacing w:before="240" w:line="360" w:lineRule="auto"/>
        <w:ind w:right="-101"/>
        <w:jc w:val="both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083F4B" w:rsidRDefault="0063181E" w:rsidP="0062095D">
      <w:pPr>
        <w:pStyle w:val="af2"/>
        <w:spacing w:before="240" w:after="240"/>
        <w:rPr>
          <w:rFonts w:ascii="David" w:hAnsi="David" w:hint="cs"/>
          <w:b/>
          <w:bCs/>
          <w:rtl/>
        </w:rPr>
      </w:pPr>
      <w:r w:rsidRPr="0062095D">
        <w:rPr>
          <w:rFonts w:ascii="David" w:hAnsi="David"/>
          <w:b/>
          <w:bCs/>
          <w:rtl/>
        </w:rPr>
        <w:t>ערב ראש השנה</w:t>
      </w:r>
      <w:r w:rsidR="003B09D1" w:rsidRPr="0062095D">
        <w:rPr>
          <w:rFonts w:ascii="David" w:hAnsi="David"/>
          <w:b/>
          <w:bCs/>
          <w:rtl/>
        </w:rPr>
        <w:t xml:space="preserve"> </w:t>
      </w:r>
      <w:proofErr w:type="spellStart"/>
      <w:r w:rsidR="003B09D1" w:rsidRPr="0062095D">
        <w:rPr>
          <w:rFonts w:ascii="David" w:hAnsi="David"/>
          <w:b/>
          <w:bCs/>
          <w:rtl/>
        </w:rPr>
        <w:t>תש"ף</w:t>
      </w:r>
      <w:proofErr w:type="spellEnd"/>
      <w:r w:rsidRPr="0062095D">
        <w:rPr>
          <w:rFonts w:ascii="David" w:hAnsi="David"/>
          <w:b/>
          <w:bCs/>
          <w:rtl/>
        </w:rPr>
        <w:t>, בנק ישראל מפרסם כי הציבור הישראלי (</w:t>
      </w:r>
      <w:r w:rsidR="00AB5FB9" w:rsidRPr="0062095D">
        <w:rPr>
          <w:rFonts w:ascii="David" w:hAnsi="David"/>
          <w:b/>
          <w:bCs/>
          <w:rtl/>
        </w:rPr>
        <w:t>משקי הבית והמגזר העסקי</w:t>
      </w:r>
      <w:r w:rsidRPr="0062095D">
        <w:rPr>
          <w:rFonts w:ascii="David" w:hAnsi="David"/>
          <w:b/>
          <w:bCs/>
          <w:rtl/>
        </w:rPr>
        <w:t xml:space="preserve">) </w:t>
      </w:r>
      <w:r w:rsidR="0062095D">
        <w:rPr>
          <w:rFonts w:ascii="David" w:hAnsi="David"/>
          <w:b/>
          <w:bCs/>
          <w:rtl/>
        </w:rPr>
        <w:br/>
      </w:r>
      <w:r w:rsidRPr="0062095D">
        <w:rPr>
          <w:rFonts w:ascii="David" w:hAnsi="David"/>
          <w:b/>
          <w:bCs/>
          <w:rtl/>
        </w:rPr>
        <w:t>מחזיק בכ-3.9 טריליוני ש"ח בנכסים פיננסיים</w:t>
      </w:r>
      <w:r w:rsidR="003B09D1" w:rsidRPr="0062095D">
        <w:rPr>
          <w:rFonts w:ascii="David" w:hAnsi="David"/>
          <w:b/>
          <w:bCs/>
          <w:rtl/>
        </w:rPr>
        <w:t xml:space="preserve">. </w:t>
      </w:r>
    </w:p>
    <w:p w:rsidR="00E724A2" w:rsidRPr="00083F4B" w:rsidRDefault="003B09D1" w:rsidP="00083F4B">
      <w:pPr>
        <w:pStyle w:val="af2"/>
        <w:spacing w:before="240" w:after="240"/>
        <w:rPr>
          <w:rFonts w:ascii="David" w:hAnsi="David"/>
          <w:rtl/>
        </w:rPr>
      </w:pPr>
      <w:r w:rsidRPr="00083F4B">
        <w:rPr>
          <w:rFonts w:ascii="David" w:hAnsi="David"/>
          <w:rtl/>
        </w:rPr>
        <w:t>זאת עפ"י ניתוח הנתונים העדכניים לסוף ה</w:t>
      </w:r>
      <w:r w:rsidR="003B437B" w:rsidRPr="00083F4B">
        <w:rPr>
          <w:rFonts w:ascii="David" w:hAnsi="David"/>
          <w:rtl/>
        </w:rPr>
        <w:t xml:space="preserve">רביע </w:t>
      </w:r>
      <w:r w:rsidR="00CE2D8C" w:rsidRPr="00083F4B">
        <w:rPr>
          <w:rFonts w:ascii="David" w:hAnsi="David"/>
          <w:rtl/>
        </w:rPr>
        <w:t>ה</w:t>
      </w:r>
      <w:r w:rsidR="00F1101F" w:rsidRPr="00083F4B">
        <w:rPr>
          <w:rFonts w:ascii="David" w:hAnsi="David"/>
          <w:rtl/>
        </w:rPr>
        <w:t>שני</w:t>
      </w:r>
      <w:r w:rsidR="009530C6" w:rsidRPr="00083F4B">
        <w:rPr>
          <w:rFonts w:ascii="David" w:hAnsi="David"/>
          <w:rtl/>
        </w:rPr>
        <w:t xml:space="preserve"> </w:t>
      </w:r>
      <w:r w:rsidR="009F3982" w:rsidRPr="00083F4B">
        <w:rPr>
          <w:rFonts w:ascii="David" w:hAnsi="David"/>
          <w:rtl/>
        </w:rPr>
        <w:t xml:space="preserve">של </w:t>
      </w:r>
      <w:r w:rsidR="009530C6" w:rsidRPr="00083F4B">
        <w:rPr>
          <w:rFonts w:ascii="David" w:hAnsi="David"/>
          <w:rtl/>
        </w:rPr>
        <w:t xml:space="preserve">שנת </w:t>
      </w:r>
      <w:r w:rsidR="00767D86" w:rsidRPr="00083F4B">
        <w:rPr>
          <w:rFonts w:ascii="David" w:hAnsi="David"/>
          <w:rtl/>
        </w:rPr>
        <w:t>201</w:t>
      </w:r>
      <w:r w:rsidR="006C1E0C" w:rsidRPr="00083F4B">
        <w:rPr>
          <w:rFonts w:ascii="David" w:hAnsi="David"/>
          <w:rtl/>
        </w:rPr>
        <w:t>9</w:t>
      </w:r>
      <w:r w:rsidRPr="00083F4B">
        <w:rPr>
          <w:rFonts w:ascii="David" w:hAnsi="David"/>
          <w:rtl/>
        </w:rPr>
        <w:t>:</w:t>
      </w:r>
    </w:p>
    <w:p w:rsidR="00091F3F" w:rsidRPr="009264FD" w:rsidRDefault="00F502DF" w:rsidP="00217340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9264FD">
        <w:rPr>
          <w:b/>
          <w:bCs/>
          <w:rtl/>
        </w:rPr>
        <w:t xml:space="preserve">ברביע </w:t>
      </w:r>
      <w:r w:rsidR="00767D86" w:rsidRPr="009264FD">
        <w:rPr>
          <w:rFonts w:hint="cs"/>
          <w:b/>
          <w:bCs/>
          <w:rtl/>
        </w:rPr>
        <w:t>ה</w:t>
      </w:r>
      <w:r w:rsidR="00217340">
        <w:rPr>
          <w:rFonts w:hint="cs"/>
          <w:b/>
          <w:bCs/>
          <w:rtl/>
        </w:rPr>
        <w:t>שני</w:t>
      </w:r>
      <w:r w:rsidRPr="009264FD">
        <w:rPr>
          <w:b/>
          <w:bCs/>
          <w:rtl/>
        </w:rPr>
        <w:t xml:space="preserve"> של שנת 201</w:t>
      </w:r>
      <w:r w:rsidR="006C1E0C">
        <w:rPr>
          <w:rFonts w:hint="cs"/>
          <w:b/>
          <w:bCs/>
          <w:rtl/>
        </w:rPr>
        <w:t>9</w:t>
      </w:r>
      <w:r w:rsidRPr="009264FD">
        <w:rPr>
          <w:b/>
          <w:bCs/>
          <w:rtl/>
        </w:rPr>
        <w:t xml:space="preserve"> </w:t>
      </w:r>
      <w:r w:rsidR="006C1E0C">
        <w:rPr>
          <w:rFonts w:hint="cs"/>
          <w:b/>
          <w:bCs/>
          <w:rtl/>
        </w:rPr>
        <w:t>עלת</w:t>
      </w:r>
      <w:r w:rsidR="003F7C50">
        <w:rPr>
          <w:rFonts w:hint="cs"/>
          <w:b/>
          <w:bCs/>
          <w:rtl/>
        </w:rPr>
        <w:t>ה</w:t>
      </w:r>
      <w:r w:rsidRPr="009264FD">
        <w:rPr>
          <w:b/>
          <w:bCs/>
          <w:rtl/>
        </w:rPr>
        <w:t xml:space="preserve"> </w:t>
      </w:r>
      <w:r w:rsidR="003F7C50">
        <w:rPr>
          <w:rFonts w:hint="cs"/>
          <w:b/>
          <w:bCs/>
          <w:rtl/>
        </w:rPr>
        <w:t>יתרת</w:t>
      </w:r>
      <w:r w:rsidR="00EC18EA" w:rsidRPr="009264FD">
        <w:rPr>
          <w:rFonts w:hint="cs"/>
          <w:b/>
          <w:bCs/>
          <w:rtl/>
        </w:rPr>
        <w:t xml:space="preserve"> תיק הנכסים</w:t>
      </w:r>
      <w:r w:rsidR="00235FBA" w:rsidRPr="009264FD">
        <w:rPr>
          <w:rFonts w:hint="cs"/>
          <w:b/>
          <w:bCs/>
          <w:rtl/>
        </w:rPr>
        <w:t xml:space="preserve"> הפיננסיים של הציבור</w:t>
      </w:r>
      <w:r w:rsidR="00EC18EA" w:rsidRPr="009264FD">
        <w:rPr>
          <w:rFonts w:hint="cs"/>
          <w:b/>
          <w:bCs/>
          <w:rtl/>
        </w:rPr>
        <w:t xml:space="preserve"> בכ-</w:t>
      </w:r>
      <w:r w:rsidR="004F31D6">
        <w:rPr>
          <w:rFonts w:hint="cs"/>
          <w:b/>
          <w:bCs/>
          <w:rtl/>
        </w:rPr>
        <w:t>96</w:t>
      </w:r>
      <w:r w:rsidR="00EC18EA" w:rsidRPr="009264FD">
        <w:rPr>
          <w:rFonts w:hint="cs"/>
          <w:b/>
          <w:bCs/>
          <w:rtl/>
        </w:rPr>
        <w:t xml:space="preserve"> מיליארדי ש</w:t>
      </w:r>
      <w:r w:rsidR="00EC18EA" w:rsidRPr="009264FD">
        <w:rPr>
          <w:b/>
          <w:bCs/>
          <w:rtl/>
        </w:rPr>
        <w:t>"</w:t>
      </w:r>
      <w:r w:rsidR="00EC18EA" w:rsidRPr="009264FD">
        <w:rPr>
          <w:rFonts w:hint="cs"/>
          <w:b/>
          <w:bCs/>
          <w:rtl/>
        </w:rPr>
        <w:t>ח (</w:t>
      </w:r>
      <w:r w:rsidR="00E32E8A" w:rsidRPr="009264FD">
        <w:rPr>
          <w:b/>
          <w:bCs/>
        </w:rPr>
        <w:t>%</w:t>
      </w:r>
      <w:r w:rsidR="004F31D6">
        <w:rPr>
          <w:rFonts w:hint="cs"/>
          <w:b/>
          <w:bCs/>
          <w:rtl/>
        </w:rPr>
        <w:t>2</w:t>
      </w:r>
      <w:r w:rsidR="006D6B90" w:rsidRPr="009264FD">
        <w:rPr>
          <w:rFonts w:hint="cs"/>
          <w:b/>
          <w:bCs/>
          <w:rtl/>
        </w:rPr>
        <w:t>.</w:t>
      </w:r>
      <w:r w:rsidR="004F31D6">
        <w:rPr>
          <w:rFonts w:hint="cs"/>
          <w:b/>
          <w:bCs/>
          <w:rtl/>
        </w:rPr>
        <w:t>5</w:t>
      </w:r>
      <w:r w:rsidR="006D6B90" w:rsidRPr="009264FD">
        <w:rPr>
          <w:rFonts w:hint="cs"/>
          <w:b/>
          <w:bCs/>
          <w:rtl/>
        </w:rPr>
        <w:t>) ועמד</w:t>
      </w:r>
      <w:r w:rsidR="003F7C50">
        <w:rPr>
          <w:rFonts w:hint="cs"/>
          <w:b/>
          <w:bCs/>
          <w:rtl/>
        </w:rPr>
        <w:t>ה</w:t>
      </w:r>
      <w:r w:rsidR="006D6B90" w:rsidRPr="009264FD">
        <w:rPr>
          <w:rFonts w:hint="cs"/>
          <w:b/>
          <w:bCs/>
          <w:rtl/>
        </w:rPr>
        <w:t xml:space="preserve"> בסופו על כ-3.</w:t>
      </w:r>
      <w:r w:rsidR="004F31D6">
        <w:rPr>
          <w:rFonts w:hint="cs"/>
          <w:b/>
          <w:bCs/>
          <w:rtl/>
        </w:rPr>
        <w:t>9</w:t>
      </w:r>
      <w:r w:rsidR="00DD612E">
        <w:rPr>
          <w:rFonts w:hint="cs"/>
          <w:b/>
          <w:bCs/>
          <w:rtl/>
        </w:rPr>
        <w:t xml:space="preserve"> טריליוני </w:t>
      </w:r>
      <w:r w:rsidR="00EC18EA" w:rsidRPr="009264FD">
        <w:rPr>
          <w:rFonts w:hint="cs"/>
          <w:b/>
          <w:bCs/>
          <w:rtl/>
        </w:rPr>
        <w:t>ש</w:t>
      </w:r>
      <w:r w:rsidR="00EC18EA" w:rsidRPr="009264FD">
        <w:rPr>
          <w:b/>
          <w:bCs/>
          <w:rtl/>
        </w:rPr>
        <w:t>"</w:t>
      </w:r>
      <w:r w:rsidR="00EC18EA" w:rsidRPr="009264FD">
        <w:rPr>
          <w:rFonts w:hint="cs"/>
          <w:b/>
          <w:bCs/>
          <w:rtl/>
        </w:rPr>
        <w:t>ח.</w:t>
      </w:r>
      <w:bookmarkStart w:id="0" w:name="_GoBack"/>
      <w:bookmarkEnd w:id="0"/>
    </w:p>
    <w:p w:rsidR="00C31AD4" w:rsidRDefault="00C31AD4" w:rsidP="004F31D6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C31AD4">
        <w:rPr>
          <w:rFonts w:hint="cs"/>
          <w:b/>
          <w:bCs/>
          <w:rtl/>
        </w:rPr>
        <w:t>בלטו העליות ביתר</w:t>
      </w:r>
      <w:r>
        <w:rPr>
          <w:rFonts w:hint="cs"/>
          <w:b/>
          <w:bCs/>
          <w:rtl/>
        </w:rPr>
        <w:t>ו</w:t>
      </w:r>
      <w:r w:rsidRPr="00C31AD4">
        <w:rPr>
          <w:rFonts w:hint="cs"/>
          <w:b/>
          <w:bCs/>
          <w:rtl/>
        </w:rPr>
        <w:t xml:space="preserve">ת החזקת הציבור במניות </w:t>
      </w:r>
      <w:r w:rsidR="004F31D6">
        <w:rPr>
          <w:rFonts w:hint="cs"/>
          <w:b/>
          <w:bCs/>
          <w:rtl/>
        </w:rPr>
        <w:t>ובאג"ח בארץ לעומת ירידות בה</w:t>
      </w:r>
      <w:r w:rsidR="008479E2">
        <w:rPr>
          <w:rFonts w:hint="cs"/>
          <w:b/>
          <w:bCs/>
          <w:rtl/>
        </w:rPr>
        <w:t>חזק</w:t>
      </w:r>
      <w:r w:rsidR="004F31D6">
        <w:rPr>
          <w:rFonts w:hint="cs"/>
          <w:b/>
          <w:bCs/>
          <w:rtl/>
        </w:rPr>
        <w:t>ת הציבור במכשירים אלו בחו"ל.</w:t>
      </w:r>
    </w:p>
    <w:p w:rsidR="0034683B" w:rsidRPr="0034683B" w:rsidRDefault="00FF1E74" w:rsidP="0034683B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34683B">
        <w:rPr>
          <w:rFonts w:hint="cs"/>
          <w:b/>
          <w:bCs/>
          <w:rtl/>
        </w:rPr>
        <w:t>יתרת התיק המנוהל בידי המשקיעים המוסדיים עלתה ברביע ה</w:t>
      </w:r>
      <w:r w:rsidR="008479E2" w:rsidRPr="0034683B">
        <w:rPr>
          <w:rFonts w:hint="cs"/>
          <w:b/>
          <w:bCs/>
          <w:rtl/>
        </w:rPr>
        <w:t>שני</w:t>
      </w:r>
      <w:r w:rsidRPr="0034683B">
        <w:rPr>
          <w:rFonts w:hint="cs"/>
          <w:b/>
          <w:bCs/>
          <w:rtl/>
        </w:rPr>
        <w:t xml:space="preserve"> של שנת 2019 </w:t>
      </w:r>
      <w:r w:rsidR="0034683B" w:rsidRPr="0034683B">
        <w:rPr>
          <w:b/>
          <w:bCs/>
          <w:rtl/>
        </w:rPr>
        <w:t>בכ-57 מיליארדי ש"ח (3.3%) לרמה של כ-1.78 טריליונים</w:t>
      </w:r>
      <w:r w:rsidR="0034683B" w:rsidRPr="0034683B">
        <w:rPr>
          <w:rFonts w:hint="cs"/>
          <w:b/>
          <w:bCs/>
          <w:rtl/>
        </w:rPr>
        <w:t>.</w:t>
      </w:r>
    </w:p>
    <w:p w:rsidR="00CB18EF" w:rsidRPr="0034683B" w:rsidRDefault="00CB18EF" w:rsidP="0034683B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34683B">
        <w:rPr>
          <w:rFonts w:hint="cs"/>
          <w:b/>
          <w:bCs/>
          <w:rtl/>
        </w:rPr>
        <w:t>שיעורי החשיפה של ה</w:t>
      </w:r>
      <w:r w:rsidR="00060438" w:rsidRPr="0034683B">
        <w:rPr>
          <w:rFonts w:hint="cs"/>
          <w:b/>
          <w:bCs/>
          <w:rtl/>
        </w:rPr>
        <w:t>גופים ה</w:t>
      </w:r>
      <w:r w:rsidRPr="0034683B">
        <w:rPr>
          <w:rFonts w:hint="cs"/>
          <w:b/>
          <w:bCs/>
          <w:rtl/>
        </w:rPr>
        <w:t xml:space="preserve">מוסדיים לנכסים זרים </w:t>
      </w:r>
      <w:r w:rsidR="0034683B" w:rsidRPr="0034683B">
        <w:rPr>
          <w:rFonts w:hint="cs"/>
          <w:b/>
          <w:bCs/>
          <w:rtl/>
        </w:rPr>
        <w:t>ירד</w:t>
      </w:r>
      <w:r w:rsidR="00060438" w:rsidRPr="0034683B">
        <w:rPr>
          <w:rFonts w:hint="cs"/>
          <w:b/>
          <w:bCs/>
          <w:rtl/>
        </w:rPr>
        <w:t xml:space="preserve"> בכ-</w:t>
      </w:r>
      <w:r w:rsidR="0034683B" w:rsidRPr="0034683B">
        <w:rPr>
          <w:rFonts w:hint="cs"/>
          <w:b/>
          <w:bCs/>
          <w:rtl/>
        </w:rPr>
        <w:t>0.6</w:t>
      </w:r>
      <w:r w:rsidR="00060438" w:rsidRPr="0034683B">
        <w:rPr>
          <w:rFonts w:hint="cs"/>
          <w:b/>
          <w:bCs/>
          <w:rtl/>
        </w:rPr>
        <w:t xml:space="preserve"> נקודת אחוז </w:t>
      </w:r>
      <w:r w:rsidR="00FF1E74" w:rsidRPr="0034683B">
        <w:rPr>
          <w:rFonts w:hint="cs"/>
          <w:b/>
          <w:bCs/>
          <w:rtl/>
        </w:rPr>
        <w:t>ובמקביל</w:t>
      </w:r>
      <w:r w:rsidR="00060438" w:rsidRPr="0034683B">
        <w:rPr>
          <w:rFonts w:hint="cs"/>
          <w:b/>
          <w:bCs/>
          <w:rtl/>
        </w:rPr>
        <w:t xml:space="preserve">, שיעור החשיפה </w:t>
      </w:r>
      <w:r w:rsidRPr="0034683B">
        <w:rPr>
          <w:rFonts w:hint="cs"/>
          <w:b/>
          <w:bCs/>
          <w:rtl/>
        </w:rPr>
        <w:t xml:space="preserve">למט"ח </w:t>
      </w:r>
      <w:r w:rsidR="0034683B" w:rsidRPr="0034683B">
        <w:rPr>
          <w:rFonts w:hint="cs"/>
          <w:b/>
          <w:bCs/>
          <w:rtl/>
        </w:rPr>
        <w:t>ירד</w:t>
      </w:r>
      <w:r w:rsidR="00060438" w:rsidRPr="0034683B">
        <w:rPr>
          <w:rFonts w:hint="cs"/>
          <w:b/>
          <w:bCs/>
          <w:rtl/>
        </w:rPr>
        <w:t xml:space="preserve"> </w:t>
      </w:r>
      <w:r w:rsidR="00FF1E74" w:rsidRPr="0034683B">
        <w:rPr>
          <w:rFonts w:hint="cs"/>
          <w:b/>
          <w:bCs/>
          <w:rtl/>
        </w:rPr>
        <w:t xml:space="preserve">גם כן </w:t>
      </w:r>
      <w:r w:rsidR="00060438" w:rsidRPr="0034683B">
        <w:rPr>
          <w:rFonts w:hint="cs"/>
          <w:b/>
          <w:bCs/>
          <w:rtl/>
        </w:rPr>
        <w:t>בכ-</w:t>
      </w:r>
      <w:r w:rsidR="0034683B" w:rsidRPr="0034683B">
        <w:rPr>
          <w:rFonts w:hint="cs"/>
          <w:b/>
          <w:bCs/>
          <w:rtl/>
        </w:rPr>
        <w:t>0.5</w:t>
      </w:r>
      <w:r w:rsidR="00060438" w:rsidRPr="0034683B">
        <w:rPr>
          <w:rFonts w:hint="cs"/>
          <w:b/>
          <w:bCs/>
          <w:rtl/>
        </w:rPr>
        <w:t xml:space="preserve"> נקודת אחוז.</w:t>
      </w:r>
    </w:p>
    <w:p w:rsidR="00D96916" w:rsidRPr="00C31AD4" w:rsidRDefault="00D96916" w:rsidP="00D522B4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  <w:rtl/>
        </w:rPr>
      </w:pPr>
      <w:r w:rsidRPr="00C31AD4">
        <w:rPr>
          <w:b/>
          <w:bCs/>
          <w:rtl/>
        </w:rPr>
        <w:t>היקף התיק המנוהל באמצעות קרנות נאמנות</w:t>
      </w:r>
      <w:r w:rsidR="000226B0">
        <w:rPr>
          <w:rFonts w:hint="cs"/>
          <w:b/>
          <w:bCs/>
          <w:rtl/>
        </w:rPr>
        <w:t xml:space="preserve"> </w:t>
      </w:r>
      <w:r w:rsidRPr="00C31AD4">
        <w:rPr>
          <w:b/>
          <w:bCs/>
          <w:rtl/>
        </w:rPr>
        <w:t xml:space="preserve">בארץ </w:t>
      </w:r>
      <w:r w:rsidR="00C31AD4" w:rsidRPr="00C31AD4">
        <w:rPr>
          <w:rFonts w:hint="cs"/>
          <w:b/>
          <w:bCs/>
          <w:rtl/>
        </w:rPr>
        <w:t>עלה</w:t>
      </w:r>
      <w:r w:rsidRPr="00C31AD4">
        <w:rPr>
          <w:b/>
          <w:bCs/>
          <w:rtl/>
        </w:rPr>
        <w:t xml:space="preserve"> ברביע ה</w:t>
      </w:r>
      <w:r w:rsidR="008479E2">
        <w:rPr>
          <w:rFonts w:hint="cs"/>
          <w:b/>
          <w:bCs/>
          <w:rtl/>
        </w:rPr>
        <w:t>שני</w:t>
      </w:r>
      <w:r w:rsidRPr="00C31AD4">
        <w:rPr>
          <w:b/>
          <w:bCs/>
          <w:rtl/>
        </w:rPr>
        <w:t xml:space="preserve"> של </w:t>
      </w:r>
      <w:r w:rsidRPr="00D522B4">
        <w:rPr>
          <w:b/>
          <w:bCs/>
          <w:rtl/>
        </w:rPr>
        <w:t>השנה בכ-</w:t>
      </w:r>
      <w:r w:rsidR="00D522B4" w:rsidRPr="00D522B4">
        <w:rPr>
          <w:rFonts w:hint="cs"/>
          <w:b/>
          <w:bCs/>
          <w:rtl/>
        </w:rPr>
        <w:t>10.2</w:t>
      </w:r>
      <w:r w:rsidR="00D522B4">
        <w:rPr>
          <w:rFonts w:hint="cs"/>
          <w:b/>
          <w:bCs/>
          <w:rtl/>
        </w:rPr>
        <w:t xml:space="preserve"> </w:t>
      </w:r>
      <w:r w:rsidRPr="00C31AD4">
        <w:rPr>
          <w:b/>
          <w:bCs/>
          <w:rtl/>
        </w:rPr>
        <w:t xml:space="preserve">מיליארדי </w:t>
      </w:r>
      <w:r w:rsidRPr="00C31AD4">
        <w:rPr>
          <w:rFonts w:hint="cs"/>
          <w:b/>
          <w:bCs/>
          <w:rtl/>
        </w:rPr>
        <w:t>ש"ח.</w:t>
      </w:r>
    </w:p>
    <w:p w:rsidR="00A35E6E" w:rsidRPr="000026DB" w:rsidRDefault="00A35E6E" w:rsidP="000026DB">
      <w:pPr>
        <w:spacing w:before="240" w:line="360" w:lineRule="auto"/>
        <w:ind w:left="360"/>
        <w:jc w:val="both"/>
        <w:rPr>
          <w:b/>
          <w:bCs/>
          <w:rtl/>
        </w:rPr>
      </w:pPr>
    </w:p>
    <w:p w:rsidR="008D130A" w:rsidRPr="00C739C4" w:rsidRDefault="002A7E7B" w:rsidP="009709E0">
      <w:pPr>
        <w:pStyle w:val="af"/>
        <w:numPr>
          <w:ilvl w:val="0"/>
          <w:numId w:val="18"/>
        </w:numPr>
        <w:spacing w:before="240" w:line="360" w:lineRule="auto"/>
        <w:jc w:val="both"/>
        <w:rPr>
          <w:b/>
          <w:bCs/>
          <w:rtl/>
        </w:rPr>
      </w:pPr>
      <w:r w:rsidRPr="002E5159">
        <w:rPr>
          <w:rStyle w:val="10"/>
          <w:rFonts w:hint="cs"/>
          <w:rtl/>
        </w:rPr>
        <w:t>סך תיק הנכסים</w:t>
      </w:r>
      <w:r w:rsidR="008A5A5C">
        <w:rPr>
          <w:rStyle w:val="10"/>
          <w:rFonts w:hint="cs"/>
          <w:rtl/>
        </w:rPr>
        <w:t xml:space="preserve"> הפיננסים של הציבור</w:t>
      </w:r>
    </w:p>
    <w:p w:rsidR="00A35E6E" w:rsidRPr="000026DB" w:rsidRDefault="0027468F" w:rsidP="00D522B4">
      <w:pPr>
        <w:spacing w:line="360" w:lineRule="auto"/>
        <w:jc w:val="both"/>
        <w:rPr>
          <w:rtl/>
        </w:rPr>
      </w:pPr>
      <w:r w:rsidRPr="00614FCA">
        <w:rPr>
          <w:rFonts w:hint="cs"/>
          <w:rtl/>
        </w:rPr>
        <w:t>מהחטיבה למידע ולסטטיסטיקה</w:t>
      </w:r>
      <w:r w:rsidR="000755F0">
        <w:rPr>
          <w:rFonts w:hint="cs"/>
          <w:rtl/>
        </w:rPr>
        <w:t xml:space="preserve"> בבנק ישראל</w:t>
      </w:r>
      <w:r w:rsidRPr="00614FCA">
        <w:rPr>
          <w:rFonts w:hint="cs"/>
          <w:rtl/>
        </w:rPr>
        <w:t xml:space="preserve"> נמסר</w:t>
      </w:r>
      <w:r w:rsidR="003E5DA9">
        <w:rPr>
          <w:rFonts w:hint="cs"/>
          <w:rtl/>
        </w:rPr>
        <w:t>,</w:t>
      </w:r>
      <w:r w:rsidRPr="00614FCA">
        <w:rPr>
          <w:rFonts w:hint="cs"/>
          <w:rtl/>
        </w:rPr>
        <w:t xml:space="preserve"> כי </w:t>
      </w:r>
      <w:r w:rsidR="008F4C5E">
        <w:rPr>
          <w:rFonts w:hint="cs"/>
          <w:b/>
          <w:bCs/>
          <w:rtl/>
        </w:rPr>
        <w:t xml:space="preserve">ברביע </w:t>
      </w:r>
      <w:r w:rsidR="001C18C5">
        <w:rPr>
          <w:rFonts w:hint="cs"/>
          <w:b/>
          <w:bCs/>
          <w:rtl/>
        </w:rPr>
        <w:t>ה</w:t>
      </w:r>
      <w:r w:rsidR="004F31D6">
        <w:rPr>
          <w:rFonts w:hint="cs"/>
          <w:b/>
          <w:bCs/>
          <w:rtl/>
        </w:rPr>
        <w:t>שני</w:t>
      </w:r>
      <w:r w:rsidR="008F4C5E">
        <w:rPr>
          <w:rFonts w:hint="cs"/>
          <w:b/>
          <w:bCs/>
          <w:rtl/>
        </w:rPr>
        <w:t xml:space="preserve"> של שנת</w:t>
      </w:r>
      <w:r w:rsidR="001E2E5B">
        <w:rPr>
          <w:rFonts w:hint="cs"/>
          <w:b/>
          <w:bCs/>
          <w:rtl/>
        </w:rPr>
        <w:t xml:space="preserve"> </w:t>
      </w:r>
      <w:r w:rsidR="001C18C5">
        <w:rPr>
          <w:rFonts w:hint="cs"/>
          <w:b/>
          <w:bCs/>
          <w:rtl/>
        </w:rPr>
        <w:t>201</w:t>
      </w:r>
      <w:r w:rsidR="00480908">
        <w:rPr>
          <w:rFonts w:hint="cs"/>
          <w:b/>
          <w:bCs/>
          <w:rtl/>
        </w:rPr>
        <w:t>9</w:t>
      </w:r>
      <w:r w:rsidR="0049743C" w:rsidRPr="009F776D">
        <w:rPr>
          <w:rFonts w:hint="cs"/>
          <w:b/>
          <w:bCs/>
          <w:color w:val="FF0000"/>
          <w:rtl/>
        </w:rPr>
        <w:t xml:space="preserve"> </w:t>
      </w:r>
      <w:r w:rsidR="00480908">
        <w:rPr>
          <w:rFonts w:hint="cs"/>
          <w:rtl/>
        </w:rPr>
        <w:t>עלתה</w:t>
      </w:r>
      <w:r w:rsidR="003C6456" w:rsidRPr="0024359D">
        <w:rPr>
          <w:rFonts w:hint="cs"/>
          <w:b/>
          <w:bCs/>
          <w:rtl/>
        </w:rPr>
        <w:t xml:space="preserve"> </w:t>
      </w:r>
      <w:r w:rsidR="003F7C50">
        <w:rPr>
          <w:rFonts w:hint="cs"/>
          <w:rtl/>
        </w:rPr>
        <w:t>יתרת</w:t>
      </w:r>
      <w:r w:rsidR="0049743C" w:rsidRPr="00C75BF9">
        <w:rPr>
          <w:rFonts w:hint="cs"/>
          <w:rtl/>
        </w:rPr>
        <w:t xml:space="preserve"> תיק הנכסים</w:t>
      </w:r>
      <w:r w:rsidR="00235FBA">
        <w:rPr>
          <w:rFonts w:hint="cs"/>
          <w:rtl/>
        </w:rPr>
        <w:t xml:space="preserve"> הפיננסיים של הציבור</w:t>
      </w:r>
      <w:r w:rsidR="0049743C" w:rsidRPr="00C75BF9">
        <w:rPr>
          <w:rFonts w:hint="cs"/>
          <w:rtl/>
        </w:rPr>
        <w:t xml:space="preserve"> </w:t>
      </w:r>
      <w:r w:rsidR="00463177">
        <w:rPr>
          <w:rFonts w:hint="cs"/>
          <w:rtl/>
        </w:rPr>
        <w:t>בכ-</w:t>
      </w:r>
      <w:r w:rsidR="004F31D6">
        <w:rPr>
          <w:rFonts w:hint="cs"/>
          <w:rtl/>
        </w:rPr>
        <w:t>96</w:t>
      </w:r>
      <w:r w:rsidR="00463177">
        <w:rPr>
          <w:rFonts w:hint="cs"/>
          <w:rtl/>
        </w:rPr>
        <w:t xml:space="preserve"> </w:t>
      </w:r>
      <w:r w:rsidR="00C95059">
        <w:rPr>
          <w:rFonts w:hint="cs"/>
          <w:rtl/>
        </w:rPr>
        <w:t xml:space="preserve">מיליארדי </w:t>
      </w:r>
      <w:r w:rsidR="00125A88">
        <w:rPr>
          <w:rFonts w:hint="cs"/>
          <w:rtl/>
        </w:rPr>
        <w:t>ש"ח</w:t>
      </w:r>
      <w:r w:rsidR="00F502DF">
        <w:rPr>
          <w:rFonts w:hint="cs"/>
          <w:rtl/>
        </w:rPr>
        <w:t xml:space="preserve"> </w:t>
      </w:r>
      <w:r w:rsidR="00DD612E" w:rsidRPr="00DD612E">
        <w:rPr>
          <w:rFonts w:hint="cs"/>
          <w:rtl/>
        </w:rPr>
        <w:t>(</w:t>
      </w:r>
      <w:r w:rsidR="004F31D6">
        <w:rPr>
          <w:rFonts w:hint="cs"/>
          <w:rtl/>
        </w:rPr>
        <w:t>2</w:t>
      </w:r>
      <w:r w:rsidR="0063699B">
        <w:rPr>
          <w:rFonts w:hint="cs"/>
          <w:rtl/>
        </w:rPr>
        <w:t>.</w:t>
      </w:r>
      <w:r w:rsidR="004F31D6">
        <w:rPr>
          <w:rFonts w:hint="cs"/>
          <w:rtl/>
        </w:rPr>
        <w:t>5</w:t>
      </w:r>
      <w:r w:rsidR="0063699B">
        <w:rPr>
          <w:rFonts w:hint="cs"/>
          <w:rtl/>
        </w:rPr>
        <w:t>%</w:t>
      </w:r>
      <w:r w:rsidR="00DD612E" w:rsidRPr="00DD612E">
        <w:rPr>
          <w:rFonts w:hint="cs"/>
          <w:rtl/>
        </w:rPr>
        <w:t>)</w:t>
      </w:r>
      <w:r w:rsidR="001C18C5">
        <w:rPr>
          <w:rFonts w:hint="cs"/>
          <w:rtl/>
        </w:rPr>
        <w:t>, לרמה של</w:t>
      </w:r>
      <w:r w:rsidR="0049743C">
        <w:rPr>
          <w:rFonts w:hint="cs"/>
          <w:rtl/>
        </w:rPr>
        <w:t xml:space="preserve"> כ-</w:t>
      </w:r>
      <w:r w:rsidR="0063699B">
        <w:rPr>
          <w:rFonts w:hint="cs"/>
          <w:rtl/>
        </w:rPr>
        <w:t>3.</w:t>
      </w:r>
      <w:r w:rsidR="004F31D6">
        <w:rPr>
          <w:rFonts w:hint="cs"/>
          <w:rtl/>
        </w:rPr>
        <w:t>9</w:t>
      </w:r>
      <w:r w:rsidR="0049743C">
        <w:rPr>
          <w:rFonts w:hint="cs"/>
          <w:rtl/>
        </w:rPr>
        <w:t xml:space="preserve"> טריליוני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313272" w:rsidRPr="008147A5">
        <w:rPr>
          <w:rFonts w:hint="cs"/>
          <w:rtl/>
        </w:rPr>
        <w:t xml:space="preserve"> </w:t>
      </w:r>
      <w:r w:rsidR="008147A5" w:rsidRPr="008147A5">
        <w:rPr>
          <w:rFonts w:hint="cs"/>
          <w:rtl/>
        </w:rPr>
        <w:t>(תרשים 1).</w:t>
      </w:r>
      <w:r w:rsidR="00975AF9">
        <w:rPr>
          <w:rFonts w:hint="cs"/>
          <w:rtl/>
        </w:rPr>
        <w:t xml:space="preserve"> </w:t>
      </w:r>
      <w:r w:rsidR="00C90138" w:rsidRPr="00830F9A">
        <w:rPr>
          <w:rFonts w:hint="cs"/>
          <w:rtl/>
        </w:rPr>
        <w:t xml:space="preserve">משקל תיק הנכסים הפיננסיים של הציבור ביחס לתוצר </w:t>
      </w:r>
      <w:r w:rsidR="00480908">
        <w:rPr>
          <w:rFonts w:hint="cs"/>
          <w:rtl/>
        </w:rPr>
        <w:t>עלה</w:t>
      </w:r>
      <w:r w:rsidR="00BE7B9A">
        <w:rPr>
          <w:rFonts w:hint="cs"/>
          <w:rtl/>
        </w:rPr>
        <w:t xml:space="preserve"> </w:t>
      </w:r>
      <w:r w:rsidR="000D49A8">
        <w:rPr>
          <w:rFonts w:hint="cs"/>
          <w:rtl/>
        </w:rPr>
        <w:t>בכ-</w:t>
      </w:r>
      <w:r w:rsidR="004F31D6">
        <w:rPr>
          <w:rFonts w:hint="cs"/>
          <w:rtl/>
        </w:rPr>
        <w:t>3.8</w:t>
      </w:r>
      <w:r w:rsidR="000D49A8">
        <w:rPr>
          <w:rFonts w:hint="cs"/>
          <w:rtl/>
        </w:rPr>
        <w:t xml:space="preserve"> נקודות אחוז ועמד בסוף הרביע</w:t>
      </w:r>
      <w:r w:rsidR="00975AF9" w:rsidRPr="00830F9A">
        <w:rPr>
          <w:rFonts w:hint="cs"/>
          <w:rtl/>
        </w:rPr>
        <w:t xml:space="preserve"> על</w:t>
      </w:r>
      <w:r w:rsidR="00C90138" w:rsidRPr="00830F9A">
        <w:rPr>
          <w:rFonts w:hint="cs"/>
          <w:rtl/>
        </w:rPr>
        <w:t xml:space="preserve"> </w:t>
      </w:r>
      <w:r w:rsidR="00830F9A" w:rsidRPr="00830F9A">
        <w:rPr>
          <w:rFonts w:hint="cs"/>
          <w:rtl/>
        </w:rPr>
        <w:t>2</w:t>
      </w:r>
      <w:r w:rsidR="00480908">
        <w:rPr>
          <w:rFonts w:hint="cs"/>
          <w:rtl/>
        </w:rPr>
        <w:t>8</w:t>
      </w:r>
      <w:r w:rsidR="004F31D6">
        <w:rPr>
          <w:rFonts w:hint="cs"/>
          <w:rtl/>
        </w:rPr>
        <w:t>5</w:t>
      </w:r>
      <w:r w:rsidR="00CE2D8C">
        <w:rPr>
          <w:rFonts w:hint="cs"/>
          <w:rtl/>
        </w:rPr>
        <w:t>.</w:t>
      </w:r>
      <w:r w:rsidR="004F31D6">
        <w:rPr>
          <w:rFonts w:hint="cs"/>
          <w:rtl/>
        </w:rPr>
        <w:t>8</w:t>
      </w:r>
      <w:r w:rsidR="00D522B4">
        <w:rPr>
          <w:rFonts w:hint="cs"/>
          <w:rtl/>
        </w:rPr>
        <w:t xml:space="preserve">%. </w:t>
      </w:r>
      <w:r w:rsidR="000026DB">
        <w:rPr>
          <w:rFonts w:hint="cs"/>
          <w:rtl/>
        </w:rPr>
        <w:t>עלייה</w:t>
      </w:r>
      <w:r w:rsidR="000026DB" w:rsidRPr="00DE3CCE">
        <w:rPr>
          <w:rFonts w:hint="cs"/>
          <w:rtl/>
        </w:rPr>
        <w:t xml:space="preserve"> זו נבעה</w:t>
      </w:r>
      <w:r w:rsidR="000026DB">
        <w:rPr>
          <w:rFonts w:hint="cs"/>
          <w:rtl/>
        </w:rPr>
        <w:t xml:space="preserve"> מקצב עלייה גבוה יותר של תיק הנכסים מאשר קצב</w:t>
      </w:r>
      <w:r w:rsidR="000026DB" w:rsidRPr="003C60AC">
        <w:rPr>
          <w:rFonts w:hint="cs"/>
          <w:rtl/>
        </w:rPr>
        <w:t xml:space="preserve"> </w:t>
      </w:r>
      <w:r w:rsidR="000026DB">
        <w:rPr>
          <w:rFonts w:hint="cs"/>
          <w:rtl/>
        </w:rPr>
        <w:t>עליית</w:t>
      </w:r>
      <w:r w:rsidR="000026DB" w:rsidRPr="003C60AC">
        <w:rPr>
          <w:rFonts w:hint="cs"/>
          <w:rtl/>
        </w:rPr>
        <w:t xml:space="preserve"> </w:t>
      </w:r>
      <w:proofErr w:type="spellStart"/>
      <w:r w:rsidR="000026DB">
        <w:rPr>
          <w:rFonts w:hint="cs"/>
          <w:rtl/>
        </w:rPr>
        <w:t>התמ"ג</w:t>
      </w:r>
      <w:proofErr w:type="spellEnd"/>
      <w:r w:rsidR="000026DB">
        <w:rPr>
          <w:rFonts w:hint="cs"/>
          <w:rtl/>
        </w:rPr>
        <w:t xml:space="preserve"> (1.2% במחירים שוטפים).</w:t>
      </w:r>
    </w:p>
    <w:p w:rsidR="00A35E6E" w:rsidRDefault="00D251F1" w:rsidP="00A35E6E">
      <w:pPr>
        <w:spacing w:before="240" w:line="360" w:lineRule="auto"/>
        <w:ind w:left="360"/>
        <w:jc w:val="both"/>
        <w:rPr>
          <w:rtl/>
        </w:rPr>
      </w:pPr>
      <w:r>
        <w:rPr>
          <w:noProof/>
          <w:lang w:eastAsia="en-US"/>
        </w:rPr>
        <w:lastRenderedPageBreak/>
        <w:drawing>
          <wp:inline distT="0" distB="0" distL="0" distR="0" wp14:anchorId="71E6C065" wp14:editId="34F40A5C">
            <wp:extent cx="6105042" cy="2442950"/>
            <wp:effectExtent l="0" t="0" r="0" b="0"/>
            <wp:docPr id="6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8961" cy="245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907" w:rsidRDefault="00D10907" w:rsidP="00A35E6E">
      <w:pPr>
        <w:spacing w:before="240" w:line="360" w:lineRule="auto"/>
        <w:ind w:left="360"/>
        <w:jc w:val="both"/>
        <w:rPr>
          <w:rtl/>
        </w:rPr>
      </w:pPr>
    </w:p>
    <w:p w:rsidR="00D10907" w:rsidRPr="00DD612E" w:rsidRDefault="00D10907" w:rsidP="00A35E6E">
      <w:pPr>
        <w:spacing w:before="240" w:line="360" w:lineRule="auto"/>
        <w:ind w:left="360"/>
        <w:jc w:val="both"/>
        <w:rPr>
          <w:rtl/>
        </w:rPr>
      </w:pPr>
    </w:p>
    <w:p w:rsidR="00A27ECC" w:rsidRDefault="00A27ECC" w:rsidP="00A27ECC">
      <w:pPr>
        <w:pStyle w:val="af"/>
        <w:numPr>
          <w:ilvl w:val="0"/>
          <w:numId w:val="18"/>
        </w:numPr>
        <w:spacing w:before="240" w:line="360" w:lineRule="auto"/>
        <w:jc w:val="both"/>
        <w:rPr>
          <w:b/>
          <w:bCs/>
        </w:rPr>
      </w:pPr>
      <w:r w:rsidRPr="00070610">
        <w:rPr>
          <w:rStyle w:val="10"/>
          <w:rFonts w:hint="cs"/>
          <w:rtl/>
        </w:rPr>
        <w:t xml:space="preserve">ניתוח </w:t>
      </w:r>
      <w:r w:rsidRPr="00F26049">
        <w:rPr>
          <w:rStyle w:val="10"/>
          <w:rFonts w:hint="cs"/>
          <w:rtl/>
        </w:rPr>
        <w:t>השינויים בכלל התיק</w:t>
      </w:r>
    </w:p>
    <w:p w:rsidR="00A27ECC" w:rsidRDefault="00A27ECC" w:rsidP="00A27ECC">
      <w:pPr>
        <w:pStyle w:val="af"/>
        <w:spacing w:before="240" w:line="360" w:lineRule="auto"/>
        <w:ind w:left="360"/>
        <w:jc w:val="both"/>
        <w:rPr>
          <w:rtl/>
        </w:rPr>
      </w:pPr>
      <w:r w:rsidRPr="00CE2D8C">
        <w:rPr>
          <w:rFonts w:hint="cs"/>
          <w:rtl/>
        </w:rPr>
        <w:t>במהלך הרביע ה</w:t>
      </w:r>
      <w:r>
        <w:rPr>
          <w:rFonts w:hint="cs"/>
          <w:rtl/>
        </w:rPr>
        <w:t>שני</w:t>
      </w:r>
      <w:r w:rsidRPr="00CE2D8C">
        <w:rPr>
          <w:rFonts w:hint="cs"/>
          <w:rtl/>
        </w:rPr>
        <w:t xml:space="preserve"> </w:t>
      </w:r>
      <w:r>
        <w:rPr>
          <w:rFonts w:hint="cs"/>
          <w:rtl/>
        </w:rPr>
        <w:t>עלו</w:t>
      </w:r>
      <w:r w:rsidRPr="00CE2D8C">
        <w:rPr>
          <w:rFonts w:hint="cs"/>
          <w:rtl/>
        </w:rPr>
        <w:t xml:space="preserve"> </w:t>
      </w:r>
      <w:r>
        <w:rPr>
          <w:rFonts w:hint="cs"/>
          <w:rtl/>
        </w:rPr>
        <w:t>היתרות</w:t>
      </w:r>
      <w:r w:rsidRPr="00CE2D8C">
        <w:rPr>
          <w:rFonts w:hint="cs"/>
          <w:rtl/>
        </w:rPr>
        <w:t xml:space="preserve"> </w:t>
      </w:r>
      <w:r>
        <w:rPr>
          <w:rFonts w:hint="cs"/>
          <w:rtl/>
        </w:rPr>
        <w:t>של החזקת הציבור במניות בארץ (7.2%), באג"ח הממשלתיות (3.1%) ובאג"ח החברות (2.3%)</w:t>
      </w:r>
      <w:r w:rsidRPr="00CE2D8C">
        <w:rPr>
          <w:rFonts w:hint="cs"/>
          <w:rtl/>
        </w:rPr>
        <w:t xml:space="preserve">. </w:t>
      </w:r>
      <w:r>
        <w:rPr>
          <w:rFonts w:hint="cs"/>
          <w:rtl/>
        </w:rPr>
        <w:t>זאת, לעומת ירידות ביתרת השקעות של הציבור בחו"ל (1.1%</w:t>
      </w:r>
      <w:r>
        <w:t>-</w:t>
      </w:r>
      <w:r>
        <w:rPr>
          <w:rFonts w:hint="cs"/>
          <w:rtl/>
        </w:rPr>
        <w:t>).</w:t>
      </w:r>
    </w:p>
    <w:p w:rsidR="009233DD" w:rsidRDefault="004F31D6" w:rsidP="009233DD">
      <w:pPr>
        <w:spacing w:before="240" w:line="360" w:lineRule="auto"/>
        <w:ind w:left="360"/>
        <w:jc w:val="center"/>
      </w:pPr>
      <w:r>
        <w:rPr>
          <w:noProof/>
          <w:lang w:eastAsia="en-US"/>
        </w:rPr>
        <w:drawing>
          <wp:inline distT="0" distB="0" distL="0" distR="0" wp14:anchorId="0A05DF2E" wp14:editId="01CD209C">
            <wp:extent cx="5506322" cy="2203897"/>
            <wp:effectExtent l="0" t="0" r="0" b="6350"/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11745" cy="220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D76" w:rsidRPr="005C4616" w:rsidRDefault="00F510AA" w:rsidP="005C4616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5C4616">
        <w:rPr>
          <w:rFonts w:hint="cs"/>
          <w:rtl/>
        </w:rPr>
        <w:t xml:space="preserve">יתרת </w:t>
      </w:r>
      <w:proofErr w:type="spellStart"/>
      <w:r w:rsidRPr="005C4616">
        <w:rPr>
          <w:rFonts w:hint="cs"/>
          <w:rtl/>
        </w:rPr>
        <w:t>ההחזקות</w:t>
      </w:r>
      <w:proofErr w:type="spellEnd"/>
      <w:r w:rsidR="006E0D76" w:rsidRPr="005C4616">
        <w:rPr>
          <w:rFonts w:hint="cs"/>
          <w:rtl/>
        </w:rPr>
        <w:t xml:space="preserve"> </w:t>
      </w:r>
      <w:r w:rsidRPr="005C4616">
        <w:rPr>
          <w:rFonts w:hint="cs"/>
          <w:b/>
          <w:bCs/>
          <w:rtl/>
        </w:rPr>
        <w:t>ב</w:t>
      </w:r>
      <w:r w:rsidR="006E0D76" w:rsidRPr="005C4616">
        <w:rPr>
          <w:rFonts w:hint="cs"/>
          <w:b/>
          <w:bCs/>
          <w:rtl/>
        </w:rPr>
        <w:t>מניות בארץ</w:t>
      </w:r>
      <w:r w:rsidR="006E0D76" w:rsidRPr="005C4616">
        <w:rPr>
          <w:rFonts w:hint="cs"/>
          <w:rtl/>
        </w:rPr>
        <w:t xml:space="preserve"> על</w:t>
      </w:r>
      <w:r w:rsidR="00AB6EE0" w:rsidRPr="005C4616">
        <w:rPr>
          <w:rFonts w:hint="cs"/>
          <w:rtl/>
        </w:rPr>
        <w:t>ת</w:t>
      </w:r>
      <w:r w:rsidR="006E0D76" w:rsidRPr="005C4616">
        <w:rPr>
          <w:rFonts w:hint="cs"/>
          <w:rtl/>
        </w:rPr>
        <w:t>ה בכ-</w:t>
      </w:r>
      <w:r w:rsidR="00DB5A8B" w:rsidRPr="005C4616">
        <w:rPr>
          <w:rFonts w:hint="cs"/>
          <w:rtl/>
        </w:rPr>
        <w:t>41</w:t>
      </w:r>
      <w:r w:rsidR="006E0D76" w:rsidRPr="005C4616">
        <w:rPr>
          <w:rFonts w:hint="cs"/>
          <w:rtl/>
        </w:rPr>
        <w:t xml:space="preserve"> </w:t>
      </w:r>
      <w:r w:rsidR="00CE2D8C" w:rsidRPr="005C4616">
        <w:rPr>
          <w:rFonts w:hint="cs"/>
          <w:rtl/>
        </w:rPr>
        <w:t>מיליארדי ש"ח</w:t>
      </w:r>
      <w:r w:rsidR="006E0D76" w:rsidRPr="005C4616">
        <w:rPr>
          <w:rFonts w:hint="cs"/>
          <w:rtl/>
        </w:rPr>
        <w:t xml:space="preserve"> (</w:t>
      </w:r>
      <w:r w:rsidR="00DB5A8B" w:rsidRPr="005C4616">
        <w:rPr>
          <w:rFonts w:hint="cs"/>
          <w:rtl/>
        </w:rPr>
        <w:t>7</w:t>
      </w:r>
      <w:r w:rsidR="00D10907" w:rsidRPr="005C4616">
        <w:rPr>
          <w:rFonts w:hint="cs"/>
          <w:rtl/>
        </w:rPr>
        <w:t>.</w:t>
      </w:r>
      <w:r w:rsidR="00DB5A8B" w:rsidRPr="005C4616">
        <w:rPr>
          <w:rFonts w:hint="cs"/>
          <w:rtl/>
        </w:rPr>
        <w:t>2</w:t>
      </w:r>
      <w:r w:rsidR="006E0D76" w:rsidRPr="005C4616">
        <w:rPr>
          <w:rFonts w:hint="cs"/>
          <w:rtl/>
        </w:rPr>
        <w:t>%)</w:t>
      </w:r>
      <w:r w:rsidR="00CE2D8C" w:rsidRPr="005C4616">
        <w:rPr>
          <w:rFonts w:hint="cs"/>
          <w:rtl/>
        </w:rPr>
        <w:t>,</w:t>
      </w:r>
      <w:r w:rsidR="00011ADC" w:rsidRPr="005C4616">
        <w:rPr>
          <w:rFonts w:hint="cs"/>
          <w:rtl/>
        </w:rPr>
        <w:t xml:space="preserve"> זאת כתוצאה מעליית מחירים ומהשקעות נטו, </w:t>
      </w:r>
      <w:r w:rsidR="00DB5A8B" w:rsidRPr="005C4616">
        <w:rPr>
          <w:rFonts w:hint="cs"/>
          <w:rtl/>
        </w:rPr>
        <w:t>בהמשך למגמה שאפיינה את הרבעון הראשון של השנה.</w:t>
      </w:r>
    </w:p>
    <w:p w:rsidR="002B3369" w:rsidRPr="00D522B4" w:rsidRDefault="00A03104" w:rsidP="005C4616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D522B4">
        <w:rPr>
          <w:rFonts w:hint="cs"/>
          <w:rtl/>
        </w:rPr>
        <w:t xml:space="preserve">יתרת </w:t>
      </w:r>
      <w:proofErr w:type="spellStart"/>
      <w:r w:rsidRPr="00D522B4">
        <w:rPr>
          <w:rFonts w:hint="cs"/>
          <w:b/>
          <w:bCs/>
          <w:rtl/>
        </w:rPr>
        <w:t>האג"ח</w:t>
      </w:r>
      <w:proofErr w:type="spellEnd"/>
      <w:r w:rsidRPr="00D522B4">
        <w:rPr>
          <w:rFonts w:hint="cs"/>
          <w:b/>
          <w:bCs/>
          <w:rtl/>
        </w:rPr>
        <w:t xml:space="preserve"> הממשלתיות</w:t>
      </w:r>
      <w:r w:rsidRPr="00D522B4">
        <w:rPr>
          <w:rFonts w:hint="cs"/>
          <w:rtl/>
        </w:rPr>
        <w:t xml:space="preserve"> (סחירות ולא-סחירות) </w:t>
      </w:r>
      <w:proofErr w:type="spellStart"/>
      <w:r w:rsidRPr="00D522B4">
        <w:rPr>
          <w:rFonts w:hint="cs"/>
          <w:b/>
          <w:bCs/>
          <w:rtl/>
        </w:rPr>
        <w:t>והמק"ם</w:t>
      </w:r>
      <w:proofErr w:type="spellEnd"/>
      <w:r w:rsidRPr="00D522B4">
        <w:rPr>
          <w:rFonts w:hint="cs"/>
          <w:rtl/>
        </w:rPr>
        <w:t xml:space="preserve"> </w:t>
      </w:r>
      <w:r w:rsidR="000526A0" w:rsidRPr="00D522B4">
        <w:rPr>
          <w:rFonts w:hint="cs"/>
          <w:rtl/>
        </w:rPr>
        <w:t>עלתה</w:t>
      </w:r>
      <w:r w:rsidRPr="00D522B4">
        <w:rPr>
          <w:rFonts w:hint="cs"/>
          <w:rtl/>
        </w:rPr>
        <w:t xml:space="preserve"> ב</w:t>
      </w:r>
      <w:r w:rsidR="000526A0" w:rsidRPr="00D522B4">
        <w:rPr>
          <w:rFonts w:hint="cs"/>
          <w:rtl/>
        </w:rPr>
        <w:t>כ</w:t>
      </w:r>
      <w:r w:rsidRPr="00D522B4">
        <w:rPr>
          <w:rFonts w:hint="cs"/>
          <w:rtl/>
        </w:rPr>
        <w:t>-</w:t>
      </w:r>
      <w:r w:rsidR="00DB5A8B" w:rsidRPr="00D522B4">
        <w:rPr>
          <w:rFonts w:hint="cs"/>
          <w:rtl/>
        </w:rPr>
        <w:t>27</w:t>
      </w:r>
      <w:r w:rsidRPr="00D522B4">
        <w:rPr>
          <w:rFonts w:hint="cs"/>
          <w:rtl/>
        </w:rPr>
        <w:t xml:space="preserve"> מיליארדי ש</w:t>
      </w:r>
      <w:r w:rsidRPr="00D522B4">
        <w:rPr>
          <w:rtl/>
        </w:rPr>
        <w:t>"</w:t>
      </w:r>
      <w:r w:rsidRPr="00D522B4">
        <w:rPr>
          <w:rFonts w:hint="cs"/>
          <w:rtl/>
        </w:rPr>
        <w:t>ח (</w:t>
      </w:r>
      <w:r w:rsidR="000526A0" w:rsidRPr="00D522B4">
        <w:rPr>
          <w:rFonts w:hint="cs"/>
          <w:rtl/>
        </w:rPr>
        <w:t>3</w:t>
      </w:r>
      <w:r w:rsidRPr="00D522B4">
        <w:rPr>
          <w:rFonts w:hint="cs"/>
          <w:rtl/>
        </w:rPr>
        <w:t>.</w:t>
      </w:r>
      <w:r w:rsidR="00DB5A8B" w:rsidRPr="00D522B4">
        <w:rPr>
          <w:rFonts w:hint="cs"/>
          <w:rtl/>
        </w:rPr>
        <w:t>1</w:t>
      </w:r>
      <w:r w:rsidRPr="00D522B4">
        <w:rPr>
          <w:rFonts w:hint="cs"/>
          <w:rtl/>
        </w:rPr>
        <w:t xml:space="preserve">%). </w:t>
      </w:r>
    </w:p>
    <w:p w:rsidR="002B3369" w:rsidRPr="00D522B4" w:rsidRDefault="002F6207" w:rsidP="005C4616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D522B4">
        <w:rPr>
          <w:rFonts w:hint="cs"/>
          <w:b/>
          <w:bCs/>
          <w:rtl/>
        </w:rPr>
        <w:t xml:space="preserve">יתרת </w:t>
      </w:r>
      <w:proofErr w:type="spellStart"/>
      <w:r w:rsidRPr="00D522B4">
        <w:rPr>
          <w:rFonts w:hint="cs"/>
          <w:b/>
          <w:bCs/>
          <w:rtl/>
        </w:rPr>
        <w:t>האג"ח</w:t>
      </w:r>
      <w:proofErr w:type="spellEnd"/>
      <w:r w:rsidRPr="00D522B4">
        <w:rPr>
          <w:rFonts w:hint="cs"/>
          <w:b/>
          <w:bCs/>
          <w:rtl/>
        </w:rPr>
        <w:t xml:space="preserve"> החברות הסחירות בארץ </w:t>
      </w:r>
      <w:r w:rsidR="00A03104" w:rsidRPr="00D522B4">
        <w:rPr>
          <w:rFonts w:hint="cs"/>
          <w:rtl/>
        </w:rPr>
        <w:t>עלתה</w:t>
      </w:r>
      <w:r w:rsidRPr="00D522B4">
        <w:rPr>
          <w:rFonts w:hint="cs"/>
          <w:rtl/>
        </w:rPr>
        <w:t xml:space="preserve"> ב</w:t>
      </w:r>
      <w:r w:rsidR="00A511FC" w:rsidRPr="00D522B4">
        <w:rPr>
          <w:rFonts w:hint="cs"/>
          <w:rtl/>
        </w:rPr>
        <w:t>כ</w:t>
      </w:r>
      <w:r w:rsidRPr="00D522B4">
        <w:rPr>
          <w:rFonts w:hint="cs"/>
          <w:rtl/>
        </w:rPr>
        <w:t>-</w:t>
      </w:r>
      <w:r w:rsidR="00DB5A8B" w:rsidRPr="00D522B4">
        <w:rPr>
          <w:rFonts w:hint="cs"/>
          <w:rtl/>
        </w:rPr>
        <w:t>8</w:t>
      </w:r>
      <w:r w:rsidRPr="00D522B4">
        <w:rPr>
          <w:rFonts w:hint="cs"/>
          <w:rtl/>
        </w:rPr>
        <w:t xml:space="preserve"> מיליארדי ש"ח (2.</w:t>
      </w:r>
      <w:r w:rsidR="00DB5A8B" w:rsidRPr="00D522B4">
        <w:rPr>
          <w:rFonts w:hint="cs"/>
          <w:rtl/>
        </w:rPr>
        <w:t>3</w:t>
      </w:r>
      <w:r w:rsidRPr="00D522B4">
        <w:rPr>
          <w:rFonts w:hint="cs"/>
          <w:rtl/>
        </w:rPr>
        <w:t>%) ועמדה בסוף הרביע על כ-3</w:t>
      </w:r>
      <w:r w:rsidR="00DB5A8B" w:rsidRPr="00D522B4">
        <w:rPr>
          <w:rFonts w:hint="cs"/>
          <w:rtl/>
        </w:rPr>
        <w:t>53</w:t>
      </w:r>
      <w:r w:rsidR="00E1512C" w:rsidRPr="00D522B4">
        <w:rPr>
          <w:rFonts w:hint="cs"/>
          <w:rtl/>
        </w:rPr>
        <w:t xml:space="preserve"> מיליארדים, </w:t>
      </w:r>
      <w:r w:rsidRPr="00D522B4">
        <w:rPr>
          <w:rFonts w:hint="cs"/>
          <w:rtl/>
        </w:rPr>
        <w:t>זאת כתוצאה מ</w:t>
      </w:r>
      <w:r w:rsidR="00E1512C" w:rsidRPr="00D522B4">
        <w:rPr>
          <w:rFonts w:hint="cs"/>
          <w:rtl/>
        </w:rPr>
        <w:t>עלי</w:t>
      </w:r>
      <w:r w:rsidR="00D11430" w:rsidRPr="00D522B4">
        <w:rPr>
          <w:rFonts w:hint="cs"/>
          <w:rtl/>
        </w:rPr>
        <w:t xml:space="preserve">ות </w:t>
      </w:r>
      <w:r w:rsidR="00E1512C" w:rsidRPr="00D522B4">
        <w:rPr>
          <w:rFonts w:hint="cs"/>
          <w:rtl/>
        </w:rPr>
        <w:t xml:space="preserve">מחירים </w:t>
      </w:r>
      <w:r w:rsidR="00011ADC" w:rsidRPr="00D522B4">
        <w:rPr>
          <w:rFonts w:hint="cs"/>
          <w:rtl/>
        </w:rPr>
        <w:t>במקביל</w:t>
      </w:r>
      <w:r w:rsidR="00E1512C" w:rsidRPr="00D522B4">
        <w:rPr>
          <w:rFonts w:hint="cs"/>
          <w:rtl/>
        </w:rPr>
        <w:t xml:space="preserve"> </w:t>
      </w:r>
      <w:r w:rsidR="00011ADC" w:rsidRPr="00D522B4">
        <w:rPr>
          <w:rFonts w:hint="cs"/>
          <w:rtl/>
        </w:rPr>
        <w:t>להשקעות נטו.</w:t>
      </w:r>
    </w:p>
    <w:p w:rsidR="000430C8" w:rsidRPr="00EE0EA9" w:rsidRDefault="00E1512C" w:rsidP="009233DD">
      <w:pPr>
        <w:spacing w:before="240" w:line="360" w:lineRule="auto"/>
        <w:ind w:left="401"/>
        <w:jc w:val="center"/>
        <w:rPr>
          <w:rtl/>
        </w:rPr>
      </w:pPr>
      <w:r w:rsidRPr="00596201">
        <w:rPr>
          <w:rFonts w:hint="cs"/>
          <w:rtl/>
        </w:rPr>
        <w:lastRenderedPageBreak/>
        <w:t xml:space="preserve"> </w:t>
      </w:r>
      <w:r w:rsidR="00EE0EA9">
        <w:rPr>
          <w:noProof/>
          <w:lang w:eastAsia="en-US"/>
        </w:rPr>
        <w:drawing>
          <wp:inline distT="0" distB="0" distL="0" distR="0" wp14:anchorId="44DC362C" wp14:editId="46F90808">
            <wp:extent cx="5601857" cy="2909583"/>
            <wp:effectExtent l="0" t="0" r="0" b="5080"/>
            <wp:docPr id="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8895" cy="291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F73" w:rsidRPr="00594308" w:rsidRDefault="009F64A1" w:rsidP="008A563D">
      <w:pPr>
        <w:spacing w:before="240" w:line="360" w:lineRule="auto"/>
        <w:ind w:left="360"/>
        <w:jc w:val="both"/>
        <w:rPr>
          <w:rtl/>
        </w:rPr>
      </w:pPr>
      <w:r>
        <w:rPr>
          <w:rFonts w:hint="cs"/>
          <w:rtl/>
        </w:rPr>
        <w:t>יתרת ההשקעות בחו"ל</w:t>
      </w:r>
      <w:r w:rsidR="00247F73" w:rsidRPr="00594308">
        <w:rPr>
          <w:rFonts w:hint="cs"/>
          <w:rtl/>
        </w:rPr>
        <w:t xml:space="preserve"> </w:t>
      </w:r>
      <w:r w:rsidR="008A563D">
        <w:rPr>
          <w:rFonts w:hint="cs"/>
          <w:rtl/>
        </w:rPr>
        <w:t>ירד</w:t>
      </w:r>
      <w:r w:rsidR="00801E60">
        <w:rPr>
          <w:rFonts w:hint="cs"/>
          <w:rtl/>
        </w:rPr>
        <w:t>ה</w:t>
      </w:r>
      <w:r w:rsidR="00FD6210">
        <w:rPr>
          <w:rFonts w:hint="cs"/>
          <w:rtl/>
        </w:rPr>
        <w:t xml:space="preserve"> </w:t>
      </w:r>
      <w:r w:rsidR="00F510AA">
        <w:rPr>
          <w:rFonts w:hint="cs"/>
          <w:rtl/>
        </w:rPr>
        <w:t xml:space="preserve">במהלך הרביע </w:t>
      </w:r>
      <w:r w:rsidR="00247F73" w:rsidRPr="00594308">
        <w:rPr>
          <w:rFonts w:hint="cs"/>
          <w:rtl/>
        </w:rPr>
        <w:t>ב</w:t>
      </w:r>
      <w:r w:rsidR="00801E60">
        <w:rPr>
          <w:rFonts w:hint="cs"/>
          <w:rtl/>
        </w:rPr>
        <w:t>כ</w:t>
      </w:r>
      <w:r w:rsidR="00247F73" w:rsidRPr="00594308">
        <w:rPr>
          <w:rFonts w:hint="cs"/>
          <w:rtl/>
        </w:rPr>
        <w:t>-</w:t>
      </w:r>
      <w:r w:rsidR="008A563D">
        <w:rPr>
          <w:rFonts w:hint="cs"/>
          <w:rtl/>
        </w:rPr>
        <w:t>6</w:t>
      </w:r>
      <w:r w:rsidR="00247F73" w:rsidRPr="00594308">
        <w:rPr>
          <w:rFonts w:hint="cs"/>
          <w:rtl/>
        </w:rPr>
        <w:t xml:space="preserve"> מיליארדי ש</w:t>
      </w:r>
      <w:r w:rsidR="00247F73" w:rsidRPr="00594308">
        <w:rPr>
          <w:rtl/>
        </w:rPr>
        <w:t>"</w:t>
      </w:r>
      <w:r w:rsidR="00247F73" w:rsidRPr="00594308">
        <w:rPr>
          <w:rFonts w:hint="cs"/>
          <w:rtl/>
        </w:rPr>
        <w:t xml:space="preserve">ח </w:t>
      </w:r>
      <w:r w:rsidR="008A563D">
        <w:rPr>
          <w:rFonts w:hint="cs"/>
          <w:rtl/>
        </w:rPr>
        <w:t>(1.1%</w:t>
      </w:r>
      <w:r w:rsidR="008A563D">
        <w:t>-</w:t>
      </w:r>
      <w:r w:rsidR="008A563D">
        <w:rPr>
          <w:rFonts w:hint="cs"/>
          <w:rtl/>
        </w:rPr>
        <w:t>)</w:t>
      </w:r>
      <w:r w:rsidR="00247F73" w:rsidRPr="00594308">
        <w:rPr>
          <w:rFonts w:hint="cs"/>
          <w:rtl/>
        </w:rPr>
        <w:t xml:space="preserve"> ועמד</w:t>
      </w:r>
      <w:r>
        <w:rPr>
          <w:rFonts w:hint="cs"/>
          <w:rtl/>
        </w:rPr>
        <w:t>ה</w:t>
      </w:r>
      <w:r w:rsidR="00247F73" w:rsidRPr="00594308">
        <w:rPr>
          <w:rFonts w:hint="cs"/>
          <w:rtl/>
        </w:rPr>
        <w:t xml:space="preserve"> </w:t>
      </w:r>
      <w:r w:rsidR="00F510AA">
        <w:rPr>
          <w:rFonts w:hint="cs"/>
          <w:rtl/>
        </w:rPr>
        <w:t>בסופו</w:t>
      </w:r>
      <w:r w:rsidR="00247F73" w:rsidRPr="00594308">
        <w:rPr>
          <w:rFonts w:hint="cs"/>
          <w:rtl/>
        </w:rPr>
        <w:t xml:space="preserve"> על כ-5</w:t>
      </w:r>
      <w:r w:rsidR="008A563D">
        <w:rPr>
          <w:rFonts w:hint="cs"/>
          <w:rtl/>
        </w:rPr>
        <w:t>39</w:t>
      </w:r>
      <w:r w:rsidR="00247F73" w:rsidRPr="00594308">
        <w:rPr>
          <w:rFonts w:hint="cs"/>
          <w:rtl/>
        </w:rPr>
        <w:t xml:space="preserve"> מיליארדי ש"ח - המהווים </w:t>
      </w:r>
      <w:r w:rsidR="00FD6210">
        <w:rPr>
          <w:rFonts w:hint="cs"/>
          <w:rtl/>
        </w:rPr>
        <w:t>1</w:t>
      </w:r>
      <w:r w:rsidR="00AB6EE0">
        <w:rPr>
          <w:rFonts w:hint="cs"/>
          <w:rtl/>
        </w:rPr>
        <w:t>4</w:t>
      </w:r>
      <w:r w:rsidR="00247F73" w:rsidRPr="00594308">
        <w:rPr>
          <w:rFonts w:hint="cs"/>
          <w:rtl/>
        </w:rPr>
        <w:t>% מסך תיק הנכסים:</w:t>
      </w:r>
    </w:p>
    <w:p w:rsidR="00247F73" w:rsidRPr="00D522B4" w:rsidRDefault="00247F73" w:rsidP="00D522B4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D522B4">
        <w:rPr>
          <w:rFonts w:hint="cs"/>
          <w:rtl/>
        </w:rPr>
        <w:t xml:space="preserve">יתרת </w:t>
      </w:r>
      <w:r w:rsidRPr="00D522B4">
        <w:rPr>
          <w:rFonts w:hint="cs"/>
          <w:b/>
          <w:bCs/>
          <w:rtl/>
        </w:rPr>
        <w:t>המניות בחו"ל</w:t>
      </w:r>
      <w:r w:rsidRPr="00D522B4">
        <w:rPr>
          <w:rFonts w:hint="cs"/>
          <w:rtl/>
        </w:rPr>
        <w:t xml:space="preserve"> </w:t>
      </w:r>
      <w:r w:rsidR="005A5897" w:rsidRPr="00D522B4">
        <w:rPr>
          <w:rFonts w:hint="cs"/>
          <w:rtl/>
        </w:rPr>
        <w:t>ירד</w:t>
      </w:r>
      <w:r w:rsidR="00C82318" w:rsidRPr="00D522B4">
        <w:rPr>
          <w:rFonts w:hint="cs"/>
          <w:rtl/>
        </w:rPr>
        <w:t>ה</w:t>
      </w:r>
      <w:r w:rsidRPr="00D522B4">
        <w:rPr>
          <w:rFonts w:hint="cs"/>
          <w:rtl/>
        </w:rPr>
        <w:t xml:space="preserve"> בכ-</w:t>
      </w:r>
      <w:r w:rsidR="005A5897" w:rsidRPr="00D522B4">
        <w:rPr>
          <w:rFonts w:hint="cs"/>
          <w:rtl/>
        </w:rPr>
        <w:t>3</w:t>
      </w:r>
      <w:r w:rsidRPr="00D522B4">
        <w:rPr>
          <w:rFonts w:hint="cs"/>
          <w:rtl/>
        </w:rPr>
        <w:t xml:space="preserve"> מיליארדי ש"ח </w:t>
      </w:r>
      <w:r w:rsidR="005A5897" w:rsidRPr="00D522B4">
        <w:rPr>
          <w:rFonts w:hint="cs"/>
          <w:rtl/>
        </w:rPr>
        <w:t>(0.9%</w:t>
      </w:r>
      <w:r w:rsidR="005A5897" w:rsidRPr="00D522B4">
        <w:t>-</w:t>
      </w:r>
      <w:r w:rsidR="005A5897" w:rsidRPr="00D522B4">
        <w:rPr>
          <w:rFonts w:hint="cs"/>
          <w:rtl/>
        </w:rPr>
        <w:t xml:space="preserve">) </w:t>
      </w:r>
      <w:r w:rsidRPr="00D522B4">
        <w:rPr>
          <w:rFonts w:hint="cs"/>
          <w:rtl/>
        </w:rPr>
        <w:t>ועמדה בסוף הרביע על כ-</w:t>
      </w:r>
      <w:r w:rsidR="00C82318" w:rsidRPr="00D522B4">
        <w:rPr>
          <w:rFonts w:hint="cs"/>
          <w:rtl/>
        </w:rPr>
        <w:t>3</w:t>
      </w:r>
      <w:r w:rsidR="00C23E04" w:rsidRPr="00D522B4">
        <w:rPr>
          <w:rFonts w:hint="cs"/>
          <w:rtl/>
        </w:rPr>
        <w:t>5</w:t>
      </w:r>
      <w:r w:rsidR="005A5897" w:rsidRPr="00D522B4">
        <w:rPr>
          <w:rFonts w:hint="cs"/>
          <w:rtl/>
        </w:rPr>
        <w:t>1</w:t>
      </w:r>
      <w:r w:rsidRPr="00D522B4">
        <w:rPr>
          <w:rFonts w:hint="cs"/>
          <w:rtl/>
        </w:rPr>
        <w:t xml:space="preserve"> מיליארדי ש"ח. </w:t>
      </w:r>
      <w:r w:rsidR="00011ADC" w:rsidRPr="00D522B4">
        <w:rPr>
          <w:rFonts w:hint="cs"/>
          <w:rtl/>
        </w:rPr>
        <w:t>ירידה</w:t>
      </w:r>
      <w:r w:rsidRPr="00D522B4">
        <w:rPr>
          <w:rFonts w:hint="cs"/>
          <w:rtl/>
        </w:rPr>
        <w:t xml:space="preserve"> </w:t>
      </w:r>
      <w:r w:rsidR="00C82318" w:rsidRPr="00D522B4">
        <w:rPr>
          <w:rFonts w:hint="cs"/>
          <w:rtl/>
        </w:rPr>
        <w:t>זו נבעה</w:t>
      </w:r>
      <w:r w:rsidR="007C4C86" w:rsidRPr="00D522B4">
        <w:rPr>
          <w:rFonts w:hint="cs"/>
          <w:rtl/>
        </w:rPr>
        <w:t xml:space="preserve"> בעיקר מייסוף השקל מול הדולר (1.8%) שהוריד את השווי </w:t>
      </w:r>
      <w:proofErr w:type="spellStart"/>
      <w:r w:rsidR="007C4C86" w:rsidRPr="00D522B4">
        <w:rPr>
          <w:rFonts w:hint="cs"/>
          <w:rtl/>
        </w:rPr>
        <w:t>השקלי</w:t>
      </w:r>
      <w:proofErr w:type="spellEnd"/>
      <w:r w:rsidR="007C4C86" w:rsidRPr="00D522B4">
        <w:rPr>
          <w:rFonts w:hint="cs"/>
          <w:rtl/>
        </w:rPr>
        <w:t xml:space="preserve"> של </w:t>
      </w:r>
      <w:proofErr w:type="spellStart"/>
      <w:r w:rsidR="007C4C86" w:rsidRPr="00D522B4">
        <w:rPr>
          <w:rFonts w:hint="cs"/>
          <w:rtl/>
        </w:rPr>
        <w:t>ההחזקות</w:t>
      </w:r>
      <w:proofErr w:type="spellEnd"/>
      <w:r w:rsidR="007C4C86" w:rsidRPr="00D522B4">
        <w:rPr>
          <w:rFonts w:hint="cs"/>
          <w:rtl/>
        </w:rPr>
        <w:t xml:space="preserve"> במניות בחו"ל. ירידה זו קוזזה חלקית על ידי </w:t>
      </w:r>
      <w:r w:rsidR="00FF2FA1" w:rsidRPr="00D522B4">
        <w:rPr>
          <w:rFonts w:hint="cs"/>
          <w:rtl/>
        </w:rPr>
        <w:t>עליו</w:t>
      </w:r>
      <w:r w:rsidR="007C4C86" w:rsidRPr="00D522B4">
        <w:rPr>
          <w:rFonts w:hint="cs"/>
          <w:rtl/>
        </w:rPr>
        <w:t>ת המחירים בבורסות בחו"ל.</w:t>
      </w:r>
    </w:p>
    <w:p w:rsidR="00247F73" w:rsidRPr="00D522B4" w:rsidRDefault="00247F73" w:rsidP="00D522B4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D522B4">
        <w:rPr>
          <w:rFonts w:hint="cs"/>
          <w:rtl/>
        </w:rPr>
        <w:t xml:space="preserve">יתרת </w:t>
      </w:r>
      <w:proofErr w:type="spellStart"/>
      <w:r w:rsidRPr="00D522B4">
        <w:rPr>
          <w:rFonts w:hint="cs"/>
          <w:b/>
          <w:bCs/>
          <w:rtl/>
        </w:rPr>
        <w:t>האג"ח</w:t>
      </w:r>
      <w:proofErr w:type="spellEnd"/>
      <w:r w:rsidRPr="00D522B4">
        <w:rPr>
          <w:rFonts w:hint="cs"/>
          <w:b/>
          <w:bCs/>
          <w:rtl/>
        </w:rPr>
        <w:t xml:space="preserve"> הסחירות (חברות וממשלתיות)</w:t>
      </w:r>
      <w:r w:rsidRPr="00D522B4">
        <w:rPr>
          <w:rFonts w:hint="cs"/>
          <w:rtl/>
        </w:rPr>
        <w:t xml:space="preserve"> </w:t>
      </w:r>
      <w:r w:rsidRPr="00D522B4">
        <w:rPr>
          <w:rFonts w:hint="cs"/>
          <w:b/>
          <w:bCs/>
          <w:rtl/>
        </w:rPr>
        <w:t>בחו"ל</w:t>
      </w:r>
      <w:r w:rsidRPr="00D522B4">
        <w:rPr>
          <w:rFonts w:hint="cs"/>
          <w:rtl/>
        </w:rPr>
        <w:t xml:space="preserve"> </w:t>
      </w:r>
      <w:r w:rsidR="005A5897" w:rsidRPr="00D522B4">
        <w:rPr>
          <w:rFonts w:hint="cs"/>
          <w:rtl/>
        </w:rPr>
        <w:t>ירד</w:t>
      </w:r>
      <w:r w:rsidR="00A36DFB" w:rsidRPr="00D522B4">
        <w:rPr>
          <w:rFonts w:hint="cs"/>
          <w:rtl/>
        </w:rPr>
        <w:t>ה</w:t>
      </w:r>
      <w:r w:rsidRPr="00D522B4">
        <w:rPr>
          <w:rFonts w:hint="cs"/>
          <w:rtl/>
        </w:rPr>
        <w:t xml:space="preserve"> </w:t>
      </w:r>
      <w:r w:rsidR="005A5897" w:rsidRPr="00D522B4">
        <w:rPr>
          <w:rFonts w:hint="cs"/>
          <w:rtl/>
        </w:rPr>
        <w:t>בכ-3 מיליארדי ש"ח (1.6%</w:t>
      </w:r>
      <w:r w:rsidR="005A5897" w:rsidRPr="00D522B4">
        <w:t>-</w:t>
      </w:r>
      <w:r w:rsidR="005A5897" w:rsidRPr="00D522B4">
        <w:rPr>
          <w:rFonts w:hint="cs"/>
          <w:rtl/>
        </w:rPr>
        <w:t>)</w:t>
      </w:r>
      <w:r w:rsidR="0024440A" w:rsidRPr="00D522B4">
        <w:rPr>
          <w:rFonts w:hint="cs"/>
          <w:rtl/>
        </w:rPr>
        <w:t xml:space="preserve"> </w:t>
      </w:r>
      <w:r w:rsidRPr="00D522B4">
        <w:rPr>
          <w:rFonts w:hint="cs"/>
          <w:rtl/>
        </w:rPr>
        <w:t>ועמדה בסוף הרביע על כ-</w:t>
      </w:r>
      <w:r w:rsidR="008A763C" w:rsidRPr="00D522B4">
        <w:rPr>
          <w:rFonts w:hint="cs"/>
          <w:rtl/>
        </w:rPr>
        <w:t>1</w:t>
      </w:r>
      <w:r w:rsidR="0092430A" w:rsidRPr="00D522B4">
        <w:rPr>
          <w:rFonts w:hint="cs"/>
          <w:rtl/>
        </w:rPr>
        <w:t>87</w:t>
      </w:r>
      <w:r w:rsidR="00A36DFB" w:rsidRPr="00D522B4">
        <w:rPr>
          <w:rFonts w:hint="cs"/>
          <w:rtl/>
        </w:rPr>
        <w:t xml:space="preserve"> </w:t>
      </w:r>
      <w:r w:rsidRPr="00D522B4">
        <w:rPr>
          <w:rFonts w:hint="cs"/>
          <w:rtl/>
        </w:rPr>
        <w:t xml:space="preserve">מיליארדי ש"ח. </w:t>
      </w:r>
      <w:r w:rsidR="007C4C86" w:rsidRPr="00D522B4">
        <w:rPr>
          <w:rFonts w:hint="cs"/>
          <w:rtl/>
        </w:rPr>
        <w:t>ירידה</w:t>
      </w:r>
      <w:r w:rsidRPr="00D522B4">
        <w:rPr>
          <w:rFonts w:hint="cs"/>
          <w:rtl/>
        </w:rPr>
        <w:t xml:space="preserve"> </w:t>
      </w:r>
      <w:r w:rsidR="008A763C" w:rsidRPr="00D522B4">
        <w:rPr>
          <w:rFonts w:hint="cs"/>
          <w:rtl/>
        </w:rPr>
        <w:t xml:space="preserve">זו </w:t>
      </w:r>
      <w:r w:rsidRPr="00D522B4">
        <w:rPr>
          <w:rFonts w:hint="cs"/>
          <w:rtl/>
        </w:rPr>
        <w:t xml:space="preserve">נבעה בעיקר </w:t>
      </w:r>
      <w:r w:rsidR="007C4C86" w:rsidRPr="00D522B4">
        <w:rPr>
          <w:rFonts w:hint="cs"/>
          <w:rtl/>
        </w:rPr>
        <w:t>מייסוף השקל מול הדולר וממימושים נטו. ירידה זו קוזזה חלקית ע"י עליות המחירים בבורסות בחו"ל.</w:t>
      </w:r>
    </w:p>
    <w:p w:rsidR="007C2B07" w:rsidRDefault="00F510AA" w:rsidP="005F38CB">
      <w:pPr>
        <w:spacing w:before="240" w:after="240" w:line="360" w:lineRule="auto"/>
        <w:ind w:left="360"/>
        <w:jc w:val="both"/>
        <w:rPr>
          <w:rtl/>
        </w:rPr>
      </w:pPr>
      <w:r w:rsidRPr="00167C6D">
        <w:rPr>
          <w:rFonts w:hint="cs"/>
          <w:rtl/>
        </w:rPr>
        <w:t>כתוצאה מההתפתחויות במהלך הרביע,</w:t>
      </w:r>
      <w:r w:rsidR="00C46ABC" w:rsidRPr="00167C6D">
        <w:rPr>
          <w:rFonts w:hint="cs"/>
          <w:rtl/>
        </w:rPr>
        <w:t xml:space="preserve"> חלה </w:t>
      </w:r>
      <w:r w:rsidR="005F38CB">
        <w:rPr>
          <w:rFonts w:hint="cs"/>
          <w:rtl/>
        </w:rPr>
        <w:t>ירידה</w:t>
      </w:r>
      <w:r w:rsidR="00C46ABC" w:rsidRPr="00167C6D">
        <w:rPr>
          <w:rFonts w:hint="cs"/>
          <w:rtl/>
        </w:rPr>
        <w:t xml:space="preserve"> </w:t>
      </w:r>
      <w:r w:rsidR="006B440B" w:rsidRPr="00167C6D">
        <w:rPr>
          <w:rFonts w:hint="cs"/>
          <w:rtl/>
        </w:rPr>
        <w:t>של כ</w:t>
      </w:r>
      <w:r w:rsidR="00D21053" w:rsidRPr="00167C6D">
        <w:rPr>
          <w:rFonts w:hint="cs"/>
          <w:rtl/>
        </w:rPr>
        <w:t>-0.</w:t>
      </w:r>
      <w:r w:rsidR="005F38CB">
        <w:rPr>
          <w:rFonts w:hint="cs"/>
          <w:rtl/>
        </w:rPr>
        <w:t>5</w:t>
      </w:r>
      <w:r w:rsidR="00D21053" w:rsidRPr="00167C6D">
        <w:rPr>
          <w:rFonts w:hint="cs"/>
          <w:rtl/>
        </w:rPr>
        <w:t xml:space="preserve"> </w:t>
      </w:r>
      <w:r w:rsidR="001006AD" w:rsidRPr="00167C6D">
        <w:rPr>
          <w:rFonts w:hint="cs"/>
          <w:rtl/>
        </w:rPr>
        <w:t>נקודת</w:t>
      </w:r>
      <w:r w:rsidR="006B440B" w:rsidRPr="00167C6D">
        <w:rPr>
          <w:rFonts w:hint="cs"/>
          <w:rtl/>
        </w:rPr>
        <w:t xml:space="preserve"> אחוז</w:t>
      </w:r>
      <w:r w:rsidR="00D21053" w:rsidRPr="00167C6D">
        <w:rPr>
          <w:rFonts w:hint="cs"/>
          <w:rtl/>
        </w:rPr>
        <w:t>,</w:t>
      </w:r>
      <w:r w:rsidR="006B440B" w:rsidRPr="00167C6D">
        <w:rPr>
          <w:rFonts w:hint="cs"/>
          <w:rtl/>
        </w:rPr>
        <w:t xml:space="preserve"> הן </w:t>
      </w:r>
      <w:r w:rsidR="00C46ABC" w:rsidRPr="00167C6D">
        <w:rPr>
          <w:rFonts w:hint="cs"/>
          <w:rtl/>
        </w:rPr>
        <w:t xml:space="preserve">בשיעור הנכסים </w:t>
      </w:r>
      <w:r w:rsidR="005F38CB">
        <w:rPr>
          <w:rFonts w:hint="cs"/>
          <w:rtl/>
        </w:rPr>
        <w:t>במט"ח</w:t>
      </w:r>
      <w:r w:rsidR="00C46ABC" w:rsidRPr="00167C6D">
        <w:rPr>
          <w:rFonts w:hint="cs"/>
          <w:rtl/>
        </w:rPr>
        <w:t xml:space="preserve"> ו</w:t>
      </w:r>
      <w:r w:rsidR="006B440B" w:rsidRPr="00167C6D">
        <w:rPr>
          <w:rFonts w:hint="cs"/>
          <w:rtl/>
        </w:rPr>
        <w:t xml:space="preserve">הן </w:t>
      </w:r>
      <w:r w:rsidR="005F38CB">
        <w:rPr>
          <w:rFonts w:hint="cs"/>
          <w:rtl/>
        </w:rPr>
        <w:t xml:space="preserve">בשיעור </w:t>
      </w:r>
      <w:r w:rsidR="0046283A">
        <w:rPr>
          <w:rFonts w:hint="cs"/>
          <w:rtl/>
        </w:rPr>
        <w:t xml:space="preserve">הנכסים הזרים. </w:t>
      </w:r>
      <w:r w:rsidR="005F38CB">
        <w:rPr>
          <w:rFonts w:hint="cs"/>
          <w:rtl/>
        </w:rPr>
        <w:t xml:space="preserve">שיעור הנכסים </w:t>
      </w:r>
      <w:r w:rsidR="001006AD" w:rsidRPr="00167C6D">
        <w:rPr>
          <w:rFonts w:hint="cs"/>
          <w:rtl/>
        </w:rPr>
        <w:t>בסיכון</w:t>
      </w:r>
      <w:r w:rsidR="000A525E" w:rsidRPr="00167C6D">
        <w:rPr>
          <w:rStyle w:val="a5"/>
          <w:rtl/>
        </w:rPr>
        <w:footnoteReference w:id="2"/>
      </w:r>
      <w:r w:rsidRPr="00167C6D">
        <w:rPr>
          <w:rFonts w:hint="cs"/>
          <w:rtl/>
        </w:rPr>
        <w:t xml:space="preserve"> </w:t>
      </w:r>
      <w:r w:rsidR="005F38CB">
        <w:rPr>
          <w:rFonts w:hint="cs"/>
          <w:rtl/>
        </w:rPr>
        <w:t>עלה ב</w:t>
      </w:r>
      <w:r w:rsidR="005F38CB" w:rsidRPr="00167C6D">
        <w:rPr>
          <w:rFonts w:hint="cs"/>
          <w:rtl/>
        </w:rPr>
        <w:t>כ-0.</w:t>
      </w:r>
      <w:r w:rsidR="005F38CB">
        <w:rPr>
          <w:rFonts w:hint="cs"/>
          <w:rtl/>
        </w:rPr>
        <w:t>3</w:t>
      </w:r>
      <w:r w:rsidR="005F38CB" w:rsidRPr="00167C6D">
        <w:rPr>
          <w:rFonts w:hint="cs"/>
          <w:rtl/>
        </w:rPr>
        <w:t xml:space="preserve"> נקודת אחוז</w:t>
      </w:r>
      <w:r w:rsidR="005F38CB">
        <w:rPr>
          <w:rFonts w:hint="cs"/>
          <w:rtl/>
        </w:rPr>
        <w:t xml:space="preserve"> ועמד בסוף הרביע</w:t>
      </w:r>
      <w:r w:rsidRPr="00167C6D">
        <w:rPr>
          <w:rFonts w:hint="cs"/>
          <w:rtl/>
        </w:rPr>
        <w:t xml:space="preserve"> על </w:t>
      </w:r>
      <w:r w:rsidR="00D21053" w:rsidRPr="00167C6D">
        <w:rPr>
          <w:rFonts w:hint="cs"/>
          <w:rtl/>
        </w:rPr>
        <w:t>4</w:t>
      </w:r>
      <w:r w:rsidR="00167C6D" w:rsidRPr="00167C6D">
        <w:rPr>
          <w:rFonts w:hint="cs"/>
          <w:rtl/>
        </w:rPr>
        <w:t>3</w:t>
      </w:r>
      <w:r w:rsidR="00D21053" w:rsidRPr="00167C6D">
        <w:rPr>
          <w:rFonts w:hint="cs"/>
          <w:rtl/>
        </w:rPr>
        <w:t>.5</w:t>
      </w:r>
      <w:r w:rsidR="00C46ABC" w:rsidRPr="00167C6D">
        <w:rPr>
          <w:rFonts w:hint="cs"/>
          <w:rtl/>
        </w:rPr>
        <w:t>. זאת</w:t>
      </w:r>
      <w:r w:rsidR="008A5A5C" w:rsidRPr="00167C6D">
        <w:rPr>
          <w:rFonts w:hint="cs"/>
          <w:rtl/>
        </w:rPr>
        <w:t>, בעיקר</w:t>
      </w:r>
      <w:r w:rsidR="00C46ABC" w:rsidRPr="00167C6D">
        <w:rPr>
          <w:rFonts w:hint="cs"/>
          <w:rtl/>
        </w:rPr>
        <w:t xml:space="preserve"> כתוצאה </w:t>
      </w:r>
      <w:r w:rsidR="00D21053" w:rsidRPr="00167C6D">
        <w:rPr>
          <w:rFonts w:hint="cs"/>
          <w:rtl/>
        </w:rPr>
        <w:t>מה</w:t>
      </w:r>
      <w:r w:rsidR="00167C6D" w:rsidRPr="00167C6D">
        <w:rPr>
          <w:rFonts w:hint="cs"/>
          <w:rtl/>
        </w:rPr>
        <w:t>עלייה</w:t>
      </w:r>
      <w:r w:rsidR="001006AD" w:rsidRPr="00167C6D">
        <w:rPr>
          <w:rFonts w:hint="cs"/>
          <w:rtl/>
        </w:rPr>
        <w:t xml:space="preserve"> </w:t>
      </w:r>
      <w:r w:rsidR="009709E0" w:rsidRPr="00167C6D">
        <w:rPr>
          <w:rFonts w:hint="cs"/>
          <w:rtl/>
        </w:rPr>
        <w:t>ב</w:t>
      </w:r>
      <w:r w:rsidR="001006AD" w:rsidRPr="00167C6D">
        <w:rPr>
          <w:rFonts w:hint="cs"/>
          <w:rtl/>
        </w:rPr>
        <w:t xml:space="preserve">יתרת המניות </w:t>
      </w:r>
      <w:r w:rsidR="00167C6D" w:rsidRPr="00167C6D">
        <w:rPr>
          <w:rFonts w:hint="cs"/>
          <w:rtl/>
        </w:rPr>
        <w:t>בארץ</w:t>
      </w:r>
      <w:r w:rsidR="00D21053" w:rsidRPr="00167C6D">
        <w:rPr>
          <w:rFonts w:hint="cs"/>
          <w:rtl/>
        </w:rPr>
        <w:t xml:space="preserve"> </w:t>
      </w:r>
      <w:r w:rsidR="001006AD" w:rsidRPr="00167C6D">
        <w:rPr>
          <w:rFonts w:hint="cs"/>
          <w:rtl/>
        </w:rPr>
        <w:t>בתיק הנכסים.</w:t>
      </w:r>
    </w:p>
    <w:p w:rsidR="00283B13" w:rsidRPr="00103EC2" w:rsidRDefault="00283B13" w:rsidP="009709E0">
      <w:pPr>
        <w:pStyle w:val="1"/>
        <w:numPr>
          <w:ilvl w:val="0"/>
          <w:numId w:val="18"/>
        </w:numPr>
        <w:spacing w:before="240"/>
        <w:rPr>
          <w:rtl/>
        </w:rPr>
      </w:pPr>
      <w:r w:rsidRPr="00103EC2">
        <w:rPr>
          <w:rFonts w:hint="cs"/>
          <w:rtl/>
        </w:rPr>
        <w:t xml:space="preserve">התיק המנוהל </w:t>
      </w:r>
      <w:r w:rsidR="00C46ABC" w:rsidRPr="00103EC2">
        <w:rPr>
          <w:rFonts w:hint="cs"/>
          <w:rtl/>
        </w:rPr>
        <w:t>בידי</w:t>
      </w:r>
      <w:r w:rsidRPr="00103EC2">
        <w:rPr>
          <w:rFonts w:hint="cs"/>
          <w:rtl/>
        </w:rPr>
        <w:t xml:space="preserve"> המשקיעים המוסדיים</w:t>
      </w:r>
      <w:r w:rsidR="0053162E" w:rsidRPr="00103EC2">
        <w:rPr>
          <w:rStyle w:val="a5"/>
          <w:rtl/>
        </w:rPr>
        <w:footnoteReference w:id="3"/>
      </w:r>
    </w:p>
    <w:p w:rsidR="000620EE" w:rsidRDefault="006E153A" w:rsidP="005C4616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5C4616">
        <w:rPr>
          <w:rFonts w:hint="cs"/>
          <w:b/>
          <w:bCs/>
          <w:rtl/>
        </w:rPr>
        <w:t>יתרת התיק המנוהל בידי המשקיעים המוסדיים</w:t>
      </w:r>
      <w:r w:rsidRPr="004C3A6D">
        <w:rPr>
          <w:rFonts w:hint="cs"/>
          <w:rtl/>
        </w:rPr>
        <w:t xml:space="preserve"> </w:t>
      </w:r>
      <w:r w:rsidRPr="00FD63D4">
        <w:rPr>
          <w:rFonts w:hint="cs"/>
          <w:rtl/>
        </w:rPr>
        <w:t xml:space="preserve">עלתה ברביע </w:t>
      </w:r>
      <w:r w:rsidR="0062301A">
        <w:rPr>
          <w:rFonts w:hint="cs"/>
          <w:rtl/>
        </w:rPr>
        <w:t>השני</w:t>
      </w:r>
      <w:r w:rsidRPr="00FD63D4">
        <w:rPr>
          <w:rFonts w:hint="cs"/>
          <w:rtl/>
        </w:rPr>
        <w:t xml:space="preserve"> של שנת 201</w:t>
      </w:r>
      <w:r>
        <w:rPr>
          <w:rFonts w:hint="cs"/>
          <w:rtl/>
        </w:rPr>
        <w:t>9</w:t>
      </w:r>
      <w:r w:rsidRPr="00FD63D4">
        <w:rPr>
          <w:rFonts w:hint="cs"/>
          <w:rtl/>
        </w:rPr>
        <w:t xml:space="preserve"> </w:t>
      </w:r>
      <w:r w:rsidRPr="004C3A6D">
        <w:rPr>
          <w:rFonts w:hint="cs"/>
          <w:rtl/>
        </w:rPr>
        <w:t>בכ-</w:t>
      </w:r>
      <w:r w:rsidR="0062301A">
        <w:rPr>
          <w:rFonts w:hint="cs"/>
          <w:rtl/>
        </w:rPr>
        <w:t>57</w:t>
      </w:r>
      <w:r w:rsidRPr="004C3A6D">
        <w:rPr>
          <w:rFonts w:hint="cs"/>
          <w:rtl/>
        </w:rPr>
        <w:t xml:space="preserve"> מיליארדי </w:t>
      </w:r>
      <w:r w:rsidR="004037B0">
        <w:rPr>
          <w:rFonts w:hint="cs"/>
          <w:rtl/>
        </w:rPr>
        <w:t>ש"ח</w:t>
      </w:r>
      <w:r>
        <w:rPr>
          <w:rFonts w:hint="cs"/>
          <w:rtl/>
        </w:rPr>
        <w:t xml:space="preserve"> (</w:t>
      </w:r>
      <w:r w:rsidR="0062301A">
        <w:rPr>
          <w:rFonts w:hint="cs"/>
          <w:rtl/>
        </w:rPr>
        <w:t>3.3</w:t>
      </w:r>
      <w:r>
        <w:rPr>
          <w:rFonts w:hint="cs"/>
          <w:rtl/>
        </w:rPr>
        <w:t>%)</w:t>
      </w:r>
      <w:r w:rsidRPr="004C3A6D">
        <w:rPr>
          <w:rFonts w:hint="cs"/>
          <w:rtl/>
        </w:rPr>
        <w:t xml:space="preserve"> לרמה של כ-1.</w:t>
      </w:r>
      <w:r>
        <w:rPr>
          <w:rFonts w:hint="cs"/>
          <w:rtl/>
        </w:rPr>
        <w:t>7</w:t>
      </w:r>
      <w:r w:rsidR="0062301A">
        <w:rPr>
          <w:rFonts w:hint="cs"/>
          <w:rtl/>
        </w:rPr>
        <w:t>8</w:t>
      </w:r>
      <w:r w:rsidRPr="004C3A6D">
        <w:rPr>
          <w:rFonts w:hint="cs"/>
          <w:rtl/>
        </w:rPr>
        <w:t xml:space="preserve"> טריליונים</w:t>
      </w:r>
      <w:r>
        <w:rPr>
          <w:rFonts w:hint="cs"/>
          <w:rtl/>
        </w:rPr>
        <w:t xml:space="preserve"> </w:t>
      </w:r>
      <w:r w:rsidR="007C2B07" w:rsidRPr="00342FC2">
        <w:rPr>
          <w:rFonts w:hint="cs"/>
          <w:rtl/>
        </w:rPr>
        <w:t>(</w:t>
      </w:r>
      <w:r w:rsidR="0062301A">
        <w:rPr>
          <w:rFonts w:hint="cs"/>
          <w:rtl/>
        </w:rPr>
        <w:t>45.5</w:t>
      </w:r>
      <w:r w:rsidR="007C2B07" w:rsidRPr="00342FC2">
        <w:rPr>
          <w:rFonts w:hint="cs"/>
          <w:rtl/>
        </w:rPr>
        <w:t>% מסך תיק הנכסים הפיננסים של הציבור)</w:t>
      </w:r>
      <w:r w:rsidR="00377914" w:rsidRPr="00342FC2">
        <w:rPr>
          <w:rFonts w:hint="cs"/>
          <w:rtl/>
        </w:rPr>
        <w:t xml:space="preserve">. </w:t>
      </w:r>
      <w:r w:rsidR="00A52359">
        <w:rPr>
          <w:rFonts w:hint="cs"/>
          <w:rtl/>
        </w:rPr>
        <w:t xml:space="preserve">עיקר </w:t>
      </w:r>
      <w:r>
        <w:rPr>
          <w:rFonts w:hint="cs"/>
          <w:rtl/>
        </w:rPr>
        <w:t>העלייה</w:t>
      </w:r>
      <w:r w:rsidR="007C2B07" w:rsidRPr="00342FC2">
        <w:rPr>
          <w:rtl/>
        </w:rPr>
        <w:t xml:space="preserve"> ביתרת התיק נבעה </w:t>
      </w:r>
      <w:r>
        <w:rPr>
          <w:rFonts w:hint="cs"/>
          <w:rtl/>
        </w:rPr>
        <w:t>מ</w:t>
      </w:r>
      <w:r w:rsidR="003637B1">
        <w:rPr>
          <w:rFonts w:hint="cs"/>
          <w:rtl/>
        </w:rPr>
        <w:t>ה</w:t>
      </w:r>
      <w:r>
        <w:rPr>
          <w:rFonts w:hint="cs"/>
          <w:rtl/>
        </w:rPr>
        <w:t>עלייה</w:t>
      </w:r>
      <w:r w:rsidR="000620EE">
        <w:rPr>
          <w:rFonts w:hint="cs"/>
          <w:rtl/>
        </w:rPr>
        <w:t xml:space="preserve"> </w:t>
      </w:r>
      <w:r w:rsidR="00900B16" w:rsidRPr="00342FC2">
        <w:rPr>
          <w:rFonts w:hint="cs"/>
          <w:rtl/>
        </w:rPr>
        <w:t xml:space="preserve">ביתרת </w:t>
      </w:r>
      <w:r w:rsidR="000620EE" w:rsidRPr="00342FC2">
        <w:rPr>
          <w:rFonts w:hint="cs"/>
          <w:rtl/>
        </w:rPr>
        <w:t>ההחזקה באג"ח הממשלתיות והמק"מ (</w:t>
      </w:r>
      <w:r w:rsidR="0062301A">
        <w:rPr>
          <w:rFonts w:hint="cs"/>
          <w:rtl/>
        </w:rPr>
        <w:t>26.6 מיליארדים,3.8%</w:t>
      </w:r>
      <w:r w:rsidR="000620EE" w:rsidRPr="00342FC2">
        <w:rPr>
          <w:rFonts w:hint="cs"/>
          <w:rtl/>
        </w:rPr>
        <w:t>)</w:t>
      </w:r>
      <w:r w:rsidR="00A52359">
        <w:rPr>
          <w:rFonts w:hint="cs"/>
          <w:rtl/>
        </w:rPr>
        <w:t xml:space="preserve"> וביתרת ההשקעה במניות בארץ </w:t>
      </w:r>
      <w:r w:rsidR="00A52359" w:rsidRPr="00342FC2">
        <w:rPr>
          <w:rFonts w:hint="cs"/>
          <w:rtl/>
        </w:rPr>
        <w:t>(</w:t>
      </w:r>
      <w:r w:rsidR="00A52359">
        <w:rPr>
          <w:rFonts w:hint="cs"/>
          <w:rtl/>
        </w:rPr>
        <w:t>12.7 מיליארדים,8.9%</w:t>
      </w:r>
      <w:r w:rsidR="00A52359" w:rsidRPr="00342FC2">
        <w:rPr>
          <w:rFonts w:hint="cs"/>
          <w:rtl/>
        </w:rPr>
        <w:t>)</w:t>
      </w:r>
      <w:r w:rsidR="00A52359">
        <w:rPr>
          <w:rFonts w:hint="cs"/>
          <w:rtl/>
        </w:rPr>
        <w:t>.</w:t>
      </w:r>
    </w:p>
    <w:p w:rsidR="007C2B07" w:rsidRPr="007C2B07" w:rsidRDefault="0062301A" w:rsidP="00682194">
      <w:pPr>
        <w:spacing w:before="240" w:line="360" w:lineRule="auto"/>
        <w:ind w:left="390"/>
        <w:jc w:val="both"/>
      </w:pPr>
      <w:r>
        <w:rPr>
          <w:rFonts w:hint="cs"/>
          <w:b/>
          <w:bCs/>
          <w:noProof/>
          <w:rtl/>
          <w:lang w:eastAsia="en-US"/>
        </w:rPr>
        <w:lastRenderedPageBreak/>
        <w:drawing>
          <wp:anchor distT="0" distB="0" distL="114300" distR="114300" simplePos="0" relativeHeight="251693056" behindDoc="0" locked="0" layoutInCell="1" allowOverlap="1" wp14:anchorId="4DE8256E" wp14:editId="7DA170BF">
            <wp:simplePos x="0" y="0"/>
            <wp:positionH relativeFrom="column">
              <wp:align>center</wp:align>
            </wp:positionH>
            <wp:positionV relativeFrom="paragraph">
              <wp:posOffset>1380</wp:posOffset>
            </wp:positionV>
            <wp:extent cx="6624000" cy="2649600"/>
            <wp:effectExtent l="0" t="0" r="5715" b="0"/>
            <wp:wrapSquare wrapText="bothSides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0" cy="26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B07">
        <w:rPr>
          <w:rFonts w:hint="cs"/>
          <w:b/>
          <w:bCs/>
          <w:rtl/>
        </w:rPr>
        <w:t>חשיפת התיק המנוהל בידי המשקיעים המוסדיים</w:t>
      </w:r>
      <w:r w:rsidR="007C2B07">
        <w:rPr>
          <w:rStyle w:val="a5"/>
          <w:b/>
          <w:bCs/>
          <w:rtl/>
        </w:rPr>
        <w:footnoteReference w:id="4"/>
      </w:r>
      <w:r w:rsidR="007C2B07">
        <w:rPr>
          <w:rFonts w:hint="cs"/>
          <w:b/>
          <w:bCs/>
          <w:rtl/>
        </w:rPr>
        <w:t xml:space="preserve"> לנכסים זרים ולייסוף השקל מול מט"ח </w:t>
      </w:r>
      <w:r w:rsidR="00620D7A">
        <w:rPr>
          <w:rFonts w:hint="cs"/>
          <w:b/>
          <w:bCs/>
          <w:rtl/>
        </w:rPr>
        <w:t>-</w:t>
      </w:r>
      <w:r w:rsidR="000A525E">
        <w:rPr>
          <w:rFonts w:hint="cs"/>
          <w:b/>
          <w:bCs/>
          <w:rtl/>
        </w:rPr>
        <w:t xml:space="preserve"> </w:t>
      </w:r>
      <w:r w:rsidR="007C2B07">
        <w:rPr>
          <w:rtl/>
        </w:rPr>
        <w:t xml:space="preserve">ברביע </w:t>
      </w:r>
      <w:r w:rsidR="00B529D4">
        <w:rPr>
          <w:rFonts w:hint="cs"/>
          <w:rtl/>
        </w:rPr>
        <w:t>השני</w:t>
      </w:r>
      <w:r w:rsidR="007C2B07">
        <w:rPr>
          <w:rtl/>
        </w:rPr>
        <w:t xml:space="preserve"> </w:t>
      </w:r>
      <w:r w:rsidR="007C2B07" w:rsidRPr="007C2B07">
        <w:rPr>
          <w:rtl/>
        </w:rPr>
        <w:t xml:space="preserve">של שנת </w:t>
      </w:r>
      <w:r w:rsidR="003637B1">
        <w:rPr>
          <w:rFonts w:hint="cs"/>
          <w:rtl/>
        </w:rPr>
        <w:t>2019</w:t>
      </w:r>
      <w:r w:rsidR="003D28E4">
        <w:rPr>
          <w:rFonts w:hint="cs"/>
          <w:rtl/>
        </w:rPr>
        <w:t xml:space="preserve"> </w:t>
      </w:r>
      <w:r w:rsidR="0034683B" w:rsidRPr="007C2B07">
        <w:rPr>
          <w:b/>
          <w:bCs/>
          <w:rtl/>
        </w:rPr>
        <w:t>שיעור החשיפה של המשקיעים המוסדיים לנכסים זרים</w:t>
      </w:r>
      <w:r w:rsidR="0034683B" w:rsidRPr="007C2B07">
        <w:rPr>
          <w:rtl/>
        </w:rPr>
        <w:t xml:space="preserve"> </w:t>
      </w:r>
      <w:r w:rsidR="00E26F80">
        <w:rPr>
          <w:rFonts w:hint="cs"/>
          <w:rtl/>
        </w:rPr>
        <w:t>ירד לראשונה</w:t>
      </w:r>
      <w:r w:rsidR="0034683B">
        <w:rPr>
          <w:rFonts w:hint="cs"/>
          <w:rtl/>
        </w:rPr>
        <w:t xml:space="preserve"> מזה שנתיים,</w:t>
      </w:r>
      <w:r w:rsidR="007C2B07" w:rsidRPr="007C2B07">
        <w:rPr>
          <w:rtl/>
        </w:rPr>
        <w:t xml:space="preserve"> לרמה של כ-</w:t>
      </w:r>
      <w:r w:rsidR="001B7370">
        <w:rPr>
          <w:rFonts w:hint="cs"/>
          <w:rtl/>
        </w:rPr>
        <w:t>28</w:t>
      </w:r>
      <w:r w:rsidR="007C2B07" w:rsidRPr="007C2B07">
        <w:rPr>
          <w:rtl/>
        </w:rPr>
        <w:t>.</w:t>
      </w:r>
      <w:r w:rsidR="00E26F80">
        <w:rPr>
          <w:rFonts w:hint="cs"/>
          <w:rtl/>
        </w:rPr>
        <w:t>2</w:t>
      </w:r>
      <w:r w:rsidR="007C2B07" w:rsidRPr="007C2B07">
        <w:rPr>
          <w:rtl/>
        </w:rPr>
        <w:t>% מהתיק</w:t>
      </w:r>
      <w:r w:rsidR="003D28E4">
        <w:rPr>
          <w:rFonts w:hint="cs"/>
          <w:rtl/>
        </w:rPr>
        <w:t>,</w:t>
      </w:r>
      <w:r w:rsidR="003D28E4" w:rsidRPr="007C2B07">
        <w:rPr>
          <w:rFonts w:hint="cs"/>
          <w:rtl/>
        </w:rPr>
        <w:t xml:space="preserve"> </w:t>
      </w:r>
      <w:r w:rsidR="001F2235" w:rsidRPr="00AE49AB">
        <w:rPr>
          <w:rFonts w:hint="cs"/>
          <w:rtl/>
        </w:rPr>
        <w:t xml:space="preserve">זאת כתוצאה </w:t>
      </w:r>
      <w:r w:rsidR="003637B1">
        <w:rPr>
          <w:rFonts w:hint="cs"/>
          <w:rtl/>
        </w:rPr>
        <w:t>מעלייה</w:t>
      </w:r>
      <w:r w:rsidR="001F2235" w:rsidRPr="00AE49AB">
        <w:rPr>
          <w:rFonts w:hint="cs"/>
          <w:rtl/>
        </w:rPr>
        <w:t xml:space="preserve"> גדולה יותר </w:t>
      </w:r>
      <w:r w:rsidR="005536D5" w:rsidRPr="00AE49AB">
        <w:rPr>
          <w:rFonts w:hint="cs"/>
          <w:rtl/>
        </w:rPr>
        <w:t xml:space="preserve">בסך נכסי ההשקעה </w:t>
      </w:r>
      <w:r w:rsidR="005536D5">
        <w:rPr>
          <w:rFonts w:hint="cs"/>
          <w:rtl/>
        </w:rPr>
        <w:t>מאשר</w:t>
      </w:r>
      <w:r w:rsidR="005536D5" w:rsidRPr="00AE49AB">
        <w:rPr>
          <w:rFonts w:hint="cs"/>
          <w:rtl/>
        </w:rPr>
        <w:t xml:space="preserve"> </w:t>
      </w:r>
      <w:r w:rsidR="003637B1" w:rsidRPr="00AE49AB">
        <w:rPr>
          <w:rFonts w:hint="cs"/>
          <w:rtl/>
        </w:rPr>
        <w:t>בסך הנכסים הזרים</w:t>
      </w:r>
      <w:r w:rsidR="001F2235" w:rsidRPr="00AE49AB">
        <w:rPr>
          <w:rFonts w:hint="cs"/>
          <w:rtl/>
        </w:rPr>
        <w:t>.</w:t>
      </w:r>
    </w:p>
    <w:p w:rsidR="000430C8" w:rsidRPr="00C739C4" w:rsidRDefault="007C2B07" w:rsidP="0046283A">
      <w:pPr>
        <w:spacing w:before="240" w:line="360" w:lineRule="auto"/>
        <w:ind w:left="390"/>
        <w:jc w:val="both"/>
        <w:outlineLvl w:val="0"/>
      </w:pPr>
      <w:r w:rsidRPr="007C2B07">
        <w:rPr>
          <w:rtl/>
        </w:rPr>
        <w:t xml:space="preserve">ברביע </w:t>
      </w:r>
      <w:r w:rsidR="005536D5">
        <w:rPr>
          <w:rFonts w:hint="cs"/>
          <w:rtl/>
        </w:rPr>
        <w:t>השני</w:t>
      </w:r>
      <w:r w:rsidRPr="007C2B07">
        <w:rPr>
          <w:rtl/>
        </w:rPr>
        <w:t xml:space="preserve"> של השנה </w:t>
      </w:r>
      <w:r w:rsidR="005536D5">
        <w:rPr>
          <w:rFonts w:hint="cs"/>
          <w:rtl/>
        </w:rPr>
        <w:t>ירד</w:t>
      </w:r>
      <w:r w:rsidRPr="007C2B07">
        <w:rPr>
          <w:rtl/>
        </w:rPr>
        <w:t xml:space="preserve"> </w:t>
      </w:r>
      <w:r w:rsidRPr="007C2B07">
        <w:rPr>
          <w:b/>
          <w:bCs/>
          <w:rtl/>
        </w:rPr>
        <w:t xml:space="preserve">שיעור החשיפה למט"ח (כולל </w:t>
      </w:r>
      <w:proofErr w:type="spellStart"/>
      <w:r w:rsidRPr="007C2B07">
        <w:rPr>
          <w:b/>
          <w:bCs/>
          <w:rtl/>
        </w:rPr>
        <w:t>נגזרי</w:t>
      </w:r>
      <w:proofErr w:type="spellEnd"/>
      <w:r w:rsidRPr="007C2B07">
        <w:rPr>
          <w:b/>
          <w:bCs/>
          <w:rtl/>
        </w:rPr>
        <w:t xml:space="preserve"> ש"ח/מט"ח)</w:t>
      </w:r>
      <w:r w:rsidRPr="007C2B07">
        <w:rPr>
          <w:rtl/>
        </w:rPr>
        <w:t xml:space="preserve"> ב</w:t>
      </w:r>
      <w:r w:rsidR="00EE7382">
        <w:rPr>
          <w:rFonts w:hint="cs"/>
          <w:rtl/>
        </w:rPr>
        <w:t>כ-0.</w:t>
      </w:r>
      <w:r w:rsidR="005536D5">
        <w:rPr>
          <w:rFonts w:hint="cs"/>
          <w:rtl/>
        </w:rPr>
        <w:t>5</w:t>
      </w:r>
      <w:r w:rsidR="00EE7382">
        <w:rPr>
          <w:rFonts w:hint="cs"/>
          <w:rtl/>
        </w:rPr>
        <w:t xml:space="preserve"> </w:t>
      </w:r>
      <w:r w:rsidRPr="007C2B07">
        <w:rPr>
          <w:rtl/>
        </w:rPr>
        <w:t>נקודת אחוז לרמה של כ-</w:t>
      </w:r>
      <w:r w:rsidR="005536D5">
        <w:rPr>
          <w:rFonts w:hint="cs"/>
          <w:rtl/>
        </w:rPr>
        <w:t>16.8</w:t>
      </w:r>
      <w:r w:rsidR="003D28E4" w:rsidRPr="007C2B07">
        <w:rPr>
          <w:rtl/>
        </w:rPr>
        <w:t>%</w:t>
      </w:r>
      <w:r w:rsidR="003D28E4">
        <w:rPr>
          <w:rFonts w:hint="cs"/>
          <w:rtl/>
        </w:rPr>
        <w:t>.</w:t>
      </w:r>
      <w:r w:rsidR="003D28E4" w:rsidRPr="007C2B07">
        <w:rPr>
          <w:rtl/>
        </w:rPr>
        <w:t xml:space="preserve"> </w:t>
      </w:r>
      <w:r w:rsidR="00060438">
        <w:rPr>
          <w:rFonts w:hint="cs"/>
          <w:rtl/>
        </w:rPr>
        <w:t xml:space="preserve">הגופים המוסדיים </w:t>
      </w:r>
      <w:r w:rsidR="00347124">
        <w:rPr>
          <w:rFonts w:hint="cs"/>
          <w:rtl/>
        </w:rPr>
        <w:t xml:space="preserve">מימשו </w:t>
      </w:r>
      <w:r w:rsidRPr="007C2B07">
        <w:rPr>
          <w:rFonts w:hint="cs"/>
          <w:rtl/>
        </w:rPr>
        <w:t>נטו כ-</w:t>
      </w:r>
      <w:r w:rsidR="005536D5">
        <w:rPr>
          <w:rFonts w:hint="cs"/>
          <w:rtl/>
        </w:rPr>
        <w:t>0.3</w:t>
      </w:r>
      <w:r w:rsidRPr="007C2B07">
        <w:rPr>
          <w:rFonts w:hint="cs"/>
          <w:rtl/>
        </w:rPr>
        <w:t xml:space="preserve"> מיליארדי דולר</w:t>
      </w:r>
      <w:r w:rsidRPr="007C2B07">
        <w:rPr>
          <w:rtl/>
        </w:rPr>
        <w:t xml:space="preserve"> בנכסים נקובים וצמודים למט"ח</w:t>
      </w:r>
      <w:r w:rsidR="00B2245B">
        <w:rPr>
          <w:rFonts w:hint="cs"/>
          <w:rtl/>
        </w:rPr>
        <w:t xml:space="preserve">, במקביל </w:t>
      </w:r>
      <w:r w:rsidR="00347124">
        <w:rPr>
          <w:rFonts w:hint="cs"/>
          <w:rtl/>
        </w:rPr>
        <w:t>לירידה</w:t>
      </w:r>
      <w:r w:rsidRPr="007C2B07">
        <w:rPr>
          <w:rtl/>
        </w:rPr>
        <w:t xml:space="preserve"> </w:t>
      </w:r>
      <w:r w:rsidR="00B2245B">
        <w:rPr>
          <w:rFonts w:hint="cs"/>
          <w:rtl/>
        </w:rPr>
        <w:t>ב</w:t>
      </w:r>
      <w:r w:rsidR="00E014CE">
        <w:rPr>
          <w:rFonts w:hint="cs"/>
          <w:rtl/>
        </w:rPr>
        <w:t xml:space="preserve">יתרת </w:t>
      </w:r>
      <w:r w:rsidRPr="007C2B07">
        <w:rPr>
          <w:rFonts w:hint="cs"/>
          <w:rtl/>
        </w:rPr>
        <w:t>העסקאות העתידיות למכירת מט"ח נטו באמצעות מכשי</w:t>
      </w:r>
      <w:r>
        <w:rPr>
          <w:rFonts w:hint="cs"/>
          <w:rtl/>
        </w:rPr>
        <w:t xml:space="preserve">רים פיננסים נגזרים </w:t>
      </w:r>
      <w:r w:rsidR="00B2245B">
        <w:rPr>
          <w:rFonts w:hint="cs"/>
          <w:rtl/>
        </w:rPr>
        <w:t xml:space="preserve">של </w:t>
      </w:r>
      <w:r w:rsidR="00E82168">
        <w:rPr>
          <w:rFonts w:hint="cs"/>
          <w:rtl/>
        </w:rPr>
        <w:t>כ</w:t>
      </w:r>
      <w:r w:rsidR="00347124">
        <w:rPr>
          <w:rFonts w:hint="cs"/>
          <w:rtl/>
        </w:rPr>
        <w:t>-</w:t>
      </w:r>
      <w:r w:rsidR="0034683B">
        <w:rPr>
          <w:rFonts w:hint="cs"/>
          <w:rtl/>
        </w:rPr>
        <w:t>0.9</w:t>
      </w:r>
      <w:r w:rsidR="00347124">
        <w:rPr>
          <w:rFonts w:hint="cs"/>
          <w:rtl/>
        </w:rPr>
        <w:t xml:space="preserve"> </w:t>
      </w:r>
      <w:r w:rsidR="00E82168">
        <w:rPr>
          <w:rFonts w:hint="cs"/>
          <w:rtl/>
        </w:rPr>
        <w:t>מיליארד</w:t>
      </w:r>
      <w:r w:rsidR="00347124">
        <w:rPr>
          <w:rFonts w:hint="cs"/>
          <w:rtl/>
        </w:rPr>
        <w:t>י</w:t>
      </w:r>
      <w:r w:rsidR="00E82168">
        <w:rPr>
          <w:rFonts w:hint="cs"/>
          <w:rtl/>
        </w:rPr>
        <w:t xml:space="preserve"> דולרים</w:t>
      </w:r>
      <w:r w:rsidR="00060438">
        <w:rPr>
          <w:rFonts w:hint="cs"/>
          <w:rtl/>
        </w:rPr>
        <w:t>.</w:t>
      </w:r>
      <w:r w:rsidR="00E82168">
        <w:rPr>
          <w:rFonts w:hint="cs"/>
          <w:rtl/>
        </w:rPr>
        <w:t xml:space="preserve"> </w:t>
      </w:r>
    </w:p>
    <w:p w:rsidR="00347124" w:rsidRDefault="00347124" w:rsidP="0033163E">
      <w:pPr>
        <w:spacing w:before="240" w:line="360" w:lineRule="auto"/>
        <w:jc w:val="both"/>
        <w:rPr>
          <w:b/>
          <w:bCs/>
          <w:rtl/>
        </w:rPr>
      </w:pPr>
    </w:p>
    <w:tbl>
      <w:tblPr>
        <w:tblStyle w:val="ae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347124" w:rsidTr="00103EC2">
        <w:trPr>
          <w:trHeight w:val="3971"/>
        </w:trPr>
        <w:tc>
          <w:tcPr>
            <w:tcW w:w="5341" w:type="dxa"/>
          </w:tcPr>
          <w:p w:rsidR="00347124" w:rsidRDefault="00EE2386" w:rsidP="00347124">
            <w:pPr>
              <w:spacing w:before="24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eastAsia="en-US"/>
              </w:rPr>
              <w:drawing>
                <wp:anchor distT="0" distB="0" distL="114300" distR="114300" simplePos="0" relativeHeight="251691008" behindDoc="0" locked="0" layoutInCell="1" allowOverlap="1" wp14:anchorId="6736C43A" wp14:editId="74D8673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3810</wp:posOffset>
                  </wp:positionV>
                  <wp:extent cx="2880000" cy="2300400"/>
                  <wp:effectExtent l="0" t="0" r="0" b="5080"/>
                  <wp:wrapNone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30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41" w:type="dxa"/>
          </w:tcPr>
          <w:p w:rsidR="00347124" w:rsidRDefault="00EE2386" w:rsidP="0033163E">
            <w:pPr>
              <w:spacing w:before="24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eastAsia="en-US"/>
              </w:rPr>
              <w:drawing>
                <wp:anchor distT="0" distB="0" distL="114300" distR="114300" simplePos="0" relativeHeight="251692032" behindDoc="0" locked="0" layoutInCell="1" allowOverlap="1" wp14:anchorId="6A41024E" wp14:editId="6207BD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880000" cy="2314800"/>
                  <wp:effectExtent l="0" t="0" r="0" b="9525"/>
                  <wp:wrapNone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31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E1C15" w:rsidRPr="007D55C2" w:rsidRDefault="009B2E23" w:rsidP="009709E0">
      <w:pPr>
        <w:pStyle w:val="1"/>
        <w:numPr>
          <w:ilvl w:val="0"/>
          <w:numId w:val="18"/>
        </w:numPr>
        <w:spacing w:before="240"/>
        <w:rPr>
          <w:rtl/>
        </w:rPr>
      </w:pPr>
      <w:r w:rsidRPr="007D55C2">
        <w:rPr>
          <w:rFonts w:hint="eastAsia"/>
          <w:rtl/>
        </w:rPr>
        <w:t>התיק</w:t>
      </w:r>
      <w:r w:rsidRPr="007D55C2">
        <w:rPr>
          <w:rtl/>
        </w:rPr>
        <w:t xml:space="preserve"> המנוהל באמצעות </w:t>
      </w:r>
      <w:r w:rsidR="0094399B" w:rsidRPr="007D55C2">
        <w:rPr>
          <w:rFonts w:hint="eastAsia"/>
          <w:rtl/>
        </w:rPr>
        <w:t>קרנות</w:t>
      </w:r>
      <w:r w:rsidR="0094399B" w:rsidRPr="007D55C2">
        <w:rPr>
          <w:rtl/>
        </w:rPr>
        <w:t xml:space="preserve"> </w:t>
      </w:r>
      <w:r w:rsidR="0027681B" w:rsidRPr="007D55C2">
        <w:rPr>
          <w:rFonts w:hint="eastAsia"/>
          <w:rtl/>
        </w:rPr>
        <w:t>ה</w:t>
      </w:r>
      <w:r w:rsidR="0094399B" w:rsidRPr="007D55C2">
        <w:rPr>
          <w:rFonts w:hint="eastAsia"/>
          <w:rtl/>
        </w:rPr>
        <w:t>נאמנות</w:t>
      </w:r>
    </w:p>
    <w:p w:rsidR="007831EE" w:rsidRPr="007831EE" w:rsidRDefault="007831EE" w:rsidP="005D1706">
      <w:pPr>
        <w:spacing w:before="240" w:line="360" w:lineRule="auto"/>
        <w:ind w:left="390"/>
        <w:jc w:val="both"/>
      </w:pPr>
      <w:r w:rsidRPr="007831EE">
        <w:rPr>
          <w:rtl/>
        </w:rPr>
        <w:t xml:space="preserve">היקף התיק המנוהל באמצעות קרנות </w:t>
      </w:r>
      <w:r w:rsidRPr="005D1706">
        <w:rPr>
          <w:rtl/>
        </w:rPr>
        <w:t>נאמנות</w:t>
      </w:r>
      <w:r w:rsidRPr="005D1706">
        <w:rPr>
          <w:rStyle w:val="a5"/>
          <w:rtl/>
        </w:rPr>
        <w:footnoteReference w:id="5"/>
      </w:r>
      <w:r w:rsidRPr="005D1706">
        <w:rPr>
          <w:rFonts w:hint="cs"/>
          <w:rtl/>
        </w:rPr>
        <w:t xml:space="preserve"> </w:t>
      </w:r>
      <w:r w:rsidRPr="005D1706">
        <w:rPr>
          <w:rtl/>
        </w:rPr>
        <w:t>בארץ</w:t>
      </w:r>
      <w:r w:rsidRPr="007831EE">
        <w:rPr>
          <w:rtl/>
        </w:rPr>
        <w:t xml:space="preserve"> עלה ברביע השני של השנה בכ-10.2 מיליארדי ש"ח (3.2%) ועמד בסופו על כ-331.5 מיליארדי ש"ח, כ-8.</w:t>
      </w:r>
      <w:r w:rsidR="005D1706">
        <w:rPr>
          <w:rFonts w:hint="cs"/>
          <w:rtl/>
        </w:rPr>
        <w:t>5</w:t>
      </w:r>
      <w:r w:rsidRPr="007831EE">
        <w:rPr>
          <w:rtl/>
        </w:rPr>
        <w:t xml:space="preserve">% מסך תיק הנכסים של הציבור. </w:t>
      </w:r>
    </w:p>
    <w:p w:rsidR="007831EE" w:rsidRPr="007831EE" w:rsidRDefault="007831EE" w:rsidP="005D1706">
      <w:pPr>
        <w:spacing w:before="240" w:line="360" w:lineRule="auto"/>
        <w:ind w:left="390"/>
        <w:jc w:val="both"/>
      </w:pPr>
      <w:r w:rsidRPr="007831EE">
        <w:rPr>
          <w:rtl/>
        </w:rPr>
        <w:lastRenderedPageBreak/>
        <w:t xml:space="preserve">העלייה ברביע השני </w:t>
      </w:r>
      <w:r w:rsidR="005D1706">
        <w:rPr>
          <w:rFonts w:hint="cs"/>
          <w:rtl/>
        </w:rPr>
        <w:t>נבעה מ</w:t>
      </w:r>
      <w:r w:rsidRPr="007831EE">
        <w:rPr>
          <w:rtl/>
        </w:rPr>
        <w:t xml:space="preserve">שילוב של עליות מחירים והפקדות נטו (עודף הפקדות על פדיונות, בניכוי דיבידנד) בקרנות בהיקף של כ-3.2 </w:t>
      </w:r>
      <w:r w:rsidR="005D1706" w:rsidRPr="007831EE">
        <w:rPr>
          <w:rFonts w:hint="cs"/>
          <w:rtl/>
        </w:rPr>
        <w:t>מיליארד</w:t>
      </w:r>
      <w:r w:rsidR="005D1706" w:rsidRPr="007831EE">
        <w:rPr>
          <w:rFonts w:hint="eastAsia"/>
          <w:rtl/>
        </w:rPr>
        <w:t>י</w:t>
      </w:r>
      <w:r w:rsidRPr="007831EE">
        <w:rPr>
          <w:rtl/>
        </w:rPr>
        <w:t xml:space="preserve"> </w:t>
      </w:r>
      <w:r w:rsidR="005D1706">
        <w:rPr>
          <w:rFonts w:hint="cs"/>
          <w:rtl/>
        </w:rPr>
        <w:t>ש"ח,</w:t>
      </w:r>
      <w:r w:rsidR="005D1706">
        <w:rPr>
          <w:rtl/>
        </w:rPr>
        <w:t xml:space="preserve"> זאת בהמשך למגמה </w:t>
      </w:r>
      <w:r w:rsidRPr="007831EE">
        <w:rPr>
          <w:rtl/>
        </w:rPr>
        <w:t>של הפקדות ברבעון הראשון של השנה.</w:t>
      </w:r>
    </w:p>
    <w:p w:rsidR="007831EE" w:rsidRPr="007831EE" w:rsidRDefault="00467AC0" w:rsidP="00467AC0">
      <w:pPr>
        <w:spacing w:before="240" w:line="360" w:lineRule="auto"/>
        <w:ind w:left="390"/>
        <w:jc w:val="both"/>
        <w:rPr>
          <w:rtl/>
        </w:rPr>
      </w:pPr>
      <w:r>
        <w:rPr>
          <w:rFonts w:hint="cs"/>
          <w:rtl/>
        </w:rPr>
        <w:t xml:space="preserve">עיקר </w:t>
      </w:r>
      <w:r w:rsidR="005D1706">
        <w:rPr>
          <w:rFonts w:hint="cs"/>
          <w:rtl/>
        </w:rPr>
        <w:t xml:space="preserve">ההפקדות </w:t>
      </w:r>
      <w:r>
        <w:rPr>
          <w:rFonts w:hint="cs"/>
          <w:rtl/>
        </w:rPr>
        <w:t xml:space="preserve">נרשמו </w:t>
      </w:r>
      <w:r w:rsidR="005D1706">
        <w:rPr>
          <w:rFonts w:hint="cs"/>
          <w:rtl/>
        </w:rPr>
        <w:t>בקרנות הנאמנות ה</w:t>
      </w:r>
      <w:r w:rsidR="007831EE" w:rsidRPr="007831EE">
        <w:rPr>
          <w:rtl/>
        </w:rPr>
        <w:t>מתמחות באג"ח בארץ מדינה ואג"ח בארץ חברות</w:t>
      </w:r>
      <w:r w:rsidR="005D1706">
        <w:rPr>
          <w:rFonts w:hint="cs"/>
          <w:rtl/>
        </w:rPr>
        <w:t>,</w:t>
      </w:r>
      <w:r w:rsidR="007831EE" w:rsidRPr="007831EE">
        <w:rPr>
          <w:rtl/>
        </w:rPr>
        <w:t xml:space="preserve">  1.6 ו-1.3 מיליארדי </w:t>
      </w:r>
      <w:r w:rsidR="005D1706">
        <w:rPr>
          <w:rFonts w:hint="cs"/>
          <w:rtl/>
        </w:rPr>
        <w:t>ש"ח</w:t>
      </w:r>
      <w:r w:rsidR="007831EE" w:rsidRPr="007831EE">
        <w:rPr>
          <w:rtl/>
        </w:rPr>
        <w:t xml:space="preserve"> בהתאמה. מנגד, בקרנות הסל המתמחות במניות בחו"ל נרשמו פדיונות של כ-1.5 מיליארדי </w:t>
      </w:r>
      <w:r w:rsidR="007831EE">
        <w:rPr>
          <w:rFonts w:hint="cs"/>
          <w:rtl/>
        </w:rPr>
        <w:t>ש"ח</w:t>
      </w:r>
      <w:r w:rsidR="007831EE" w:rsidRPr="007831EE">
        <w:rPr>
          <w:rtl/>
        </w:rPr>
        <w:t>.</w:t>
      </w:r>
    </w:p>
    <w:p w:rsidR="003F276B" w:rsidRDefault="003F276B" w:rsidP="007D55C2">
      <w:pPr>
        <w:spacing w:before="240" w:line="360" w:lineRule="auto"/>
        <w:ind w:left="360"/>
        <w:jc w:val="both"/>
        <w:rPr>
          <w:rtl/>
        </w:rPr>
      </w:pPr>
    </w:p>
    <w:p w:rsidR="00CA3E19" w:rsidRPr="009444D3" w:rsidRDefault="009444D3" w:rsidP="009709E0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u w:val="single"/>
          <w:rtl/>
        </w:rPr>
      </w:pPr>
      <w:r w:rsidRPr="009444D3">
        <w:rPr>
          <w:rFonts w:hint="cs"/>
          <w:b/>
          <w:bCs/>
          <w:u w:val="single"/>
          <w:rtl/>
        </w:rPr>
        <w:t>למידע נוסף:</w:t>
      </w:r>
    </w:p>
    <w:p w:rsidR="00436816" w:rsidRPr="00436816" w:rsidRDefault="00436816" w:rsidP="009709E0">
      <w:pPr>
        <w:autoSpaceDE w:val="0"/>
        <w:autoSpaceDN w:val="0"/>
        <w:adjustRightInd w:val="0"/>
        <w:spacing w:before="240" w:line="360" w:lineRule="auto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</w:t>
      </w:r>
      <w:r w:rsidR="006D3812" w:rsidRPr="00436816">
        <w:rPr>
          <w:rFonts w:hint="cs"/>
          <w:rtl/>
        </w:rPr>
        <w:t>תיק הנכסים</w:t>
      </w:r>
      <w:r w:rsidRPr="00436816">
        <w:rPr>
          <w:rFonts w:hint="cs"/>
          <w:rtl/>
        </w:rPr>
        <w:t xml:space="preserve"> לחץ </w:t>
      </w:r>
      <w:hyperlink r:id="rId19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="006D3812" w:rsidRPr="00436816">
        <w:rPr>
          <w:rFonts w:hint="cs"/>
          <w:rtl/>
        </w:rPr>
        <w:t xml:space="preserve">. </w:t>
      </w:r>
    </w:p>
    <w:p w:rsidR="00436816" w:rsidRPr="00436816" w:rsidRDefault="00436816" w:rsidP="009709E0">
      <w:pPr>
        <w:spacing w:before="240" w:line="360" w:lineRule="auto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נתוני חשיפה למט"ח ולזרים של המשקיעים המוסדיים לחץ </w:t>
      </w:r>
      <w:hyperlink r:id="rId20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 xml:space="preserve">. </w:t>
      </w:r>
    </w:p>
    <w:p w:rsidR="00BF0A57" w:rsidRDefault="00436816" w:rsidP="009709E0">
      <w:pPr>
        <w:autoSpaceDE w:val="0"/>
        <w:autoSpaceDN w:val="0"/>
        <w:adjustRightInd w:val="0"/>
        <w:spacing w:before="240" w:line="360" w:lineRule="auto"/>
        <w:jc w:val="both"/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קרנות הנאמנות לחץ </w:t>
      </w:r>
      <w:hyperlink r:id="rId21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>.</w:t>
      </w:r>
    </w:p>
    <w:sectPr w:rsidR="00BF0A57" w:rsidSect="003F7C50">
      <w:headerReference w:type="default" r:id="rId22"/>
      <w:footerReference w:type="even" r:id="rId23"/>
      <w:footerReference w:type="default" r:id="rId24"/>
      <w:endnotePr>
        <w:numFmt w:val="lowerLetter"/>
      </w:endnotePr>
      <w:pgSz w:w="11906" w:h="16838"/>
      <w:pgMar w:top="720" w:right="720" w:bottom="720" w:left="72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81E" w:rsidRDefault="00C2281E">
      <w:r>
        <w:separator/>
      </w:r>
    </w:p>
  </w:endnote>
  <w:endnote w:type="continuationSeparator" w:id="0">
    <w:p w:rsidR="00C2281E" w:rsidRDefault="00C2281E">
      <w:r>
        <w:continuationSeparator/>
      </w:r>
    </w:p>
  </w:endnote>
  <w:endnote w:type="continuationNotice" w:id="1">
    <w:p w:rsidR="00C2281E" w:rsidRDefault="00C228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BA" w:rsidRDefault="002E23BA" w:rsidP="004530BD">
    <w:pPr>
      <w:pStyle w:val="a6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2E23BA" w:rsidRDefault="002E23BA" w:rsidP="005F725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BA" w:rsidRPr="002E2C04" w:rsidRDefault="002E23BA" w:rsidP="00053461">
    <w:pPr>
      <w:spacing w:line="360" w:lineRule="auto"/>
      <w:ind w:left="90"/>
      <w:rPr>
        <w:rtl/>
        <w:cs/>
      </w:rPr>
    </w:pPr>
    <w:r w:rsidRPr="002E2C04">
      <w:rPr>
        <w:rFonts w:hint="cs"/>
        <w:rtl/>
      </w:rPr>
      <w:t xml:space="preserve">בנק ישראל </w:t>
    </w:r>
    <w:r>
      <w:rPr>
        <w:rFonts w:hint="cs"/>
        <w:rtl/>
      </w:rPr>
      <w:t>-</w:t>
    </w:r>
    <w:r w:rsidRPr="002E2C04">
      <w:rPr>
        <w:rFonts w:hint="cs"/>
        <w:rtl/>
      </w:rPr>
      <w:t xml:space="preserve"> תיק  הנכסים</w:t>
    </w:r>
    <w:r>
      <w:rPr>
        <w:rFonts w:hint="cs"/>
        <w:rtl/>
      </w:rPr>
      <w:t xml:space="preserve"> הפיננסים של הציבור</w:t>
    </w:r>
    <w:r w:rsidRPr="002E2C04">
      <w:rPr>
        <w:rFonts w:hint="cs"/>
        <w:rtl/>
      </w:rPr>
      <w:t xml:space="preserve">, רביע </w:t>
    </w:r>
    <w:r w:rsidR="00053461">
      <w:rPr>
        <w:rFonts w:hint="cs"/>
        <w:rtl/>
      </w:rPr>
      <w:t>שני</w:t>
    </w:r>
    <w:r w:rsidRPr="002E2C04">
      <w:rPr>
        <w:rFonts w:hint="cs"/>
        <w:rtl/>
      </w:rPr>
      <w:t xml:space="preserve"> </w:t>
    </w:r>
    <w:r w:rsidR="00103EC2">
      <w:rPr>
        <w:rFonts w:hint="cs"/>
        <w:rtl/>
      </w:rPr>
      <w:t>2019</w:t>
    </w:r>
    <w:r w:rsidRPr="002E2C04">
      <w:rPr>
        <w:rFonts w:hint="cs"/>
        <w:rtl/>
        <w:cs/>
        <w:lang w:val="he-IL"/>
      </w:rPr>
      <w:tab/>
    </w:r>
    <w:r w:rsidRPr="002E2C04">
      <w:rPr>
        <w:rFonts w:hint="cs"/>
        <w:rtl/>
        <w:cs/>
        <w:lang w:val="he-IL"/>
      </w:rPr>
      <w:tab/>
    </w:r>
    <w:r w:rsidRPr="002E2C04">
      <w:rPr>
        <w:rFonts w:hint="cs"/>
        <w:rtl/>
        <w:cs/>
        <w:lang w:val="he-IL"/>
      </w:rPr>
      <w:tab/>
    </w:r>
    <w:r>
      <w:rPr>
        <w:rFonts w:hint="cs"/>
        <w:rtl/>
        <w:cs/>
        <w:lang w:val="he-IL"/>
      </w:rPr>
      <w:t xml:space="preserve">        </w:t>
    </w:r>
    <w:r w:rsidRPr="002E2C04">
      <w:rPr>
        <w:rtl/>
        <w:cs/>
        <w:lang w:val="he-IL"/>
      </w:rPr>
      <w:t xml:space="preserve">עמוד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PAGE</w:instrText>
    </w:r>
    <w:r w:rsidRPr="002E2C04">
      <w:rPr>
        <w:b/>
        <w:bCs/>
      </w:rPr>
      <w:fldChar w:fldCharType="separate"/>
    </w:r>
    <w:r w:rsidR="00083F4B">
      <w:rPr>
        <w:b/>
        <w:bCs/>
        <w:noProof/>
        <w:rtl/>
      </w:rPr>
      <w:t>1</w:t>
    </w:r>
    <w:r w:rsidRPr="002E2C04">
      <w:rPr>
        <w:b/>
        <w:bCs/>
      </w:rPr>
      <w:fldChar w:fldCharType="end"/>
    </w:r>
    <w:r w:rsidRPr="002E2C04">
      <w:rPr>
        <w:rtl/>
        <w:cs/>
        <w:lang w:val="he-IL"/>
      </w:rPr>
      <w:t xml:space="preserve"> מתוך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NUMPAGES</w:instrText>
    </w:r>
    <w:r w:rsidRPr="002E2C04">
      <w:rPr>
        <w:b/>
        <w:bCs/>
      </w:rPr>
      <w:fldChar w:fldCharType="separate"/>
    </w:r>
    <w:r w:rsidR="00083F4B">
      <w:rPr>
        <w:b/>
        <w:bCs/>
        <w:noProof/>
        <w:rtl/>
      </w:rPr>
      <w:t>5</w:t>
    </w:r>
    <w:r w:rsidRPr="002E2C04">
      <w:rPr>
        <w:b/>
        <w:bCs/>
      </w:rPr>
      <w:fldChar w:fldCharType="end"/>
    </w:r>
  </w:p>
  <w:p w:rsidR="002E23BA" w:rsidRDefault="002E23BA" w:rsidP="005F72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81E" w:rsidRDefault="00C2281E">
      <w:r>
        <w:separator/>
      </w:r>
    </w:p>
  </w:footnote>
  <w:footnote w:type="continuationSeparator" w:id="0">
    <w:p w:rsidR="00C2281E" w:rsidRDefault="00C2281E">
      <w:r>
        <w:continuationSeparator/>
      </w:r>
    </w:p>
  </w:footnote>
  <w:footnote w:type="continuationNotice" w:id="1">
    <w:p w:rsidR="00C2281E" w:rsidRDefault="00C2281E"/>
  </w:footnote>
  <w:footnote w:id="2">
    <w:p w:rsidR="000A525E" w:rsidRPr="000A525E" w:rsidRDefault="000A525E" w:rsidP="000A525E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הסבר למושגים בלוח האינדיקטורים באתר - </w:t>
      </w:r>
      <w:hyperlink r:id="rId1" w:history="1">
        <w:r w:rsidRPr="00315B24">
          <w:rPr>
            <w:rStyle w:val="Hyperlink"/>
          </w:rPr>
          <w:t>https://www.boi.org.il/he/DataAndStatistics/Pages/MainPage.aspx?Level=3&amp;Sid=47&amp;SubjectType=2</w:t>
        </w:r>
      </w:hyperlink>
    </w:p>
  </w:footnote>
  <w:footnote w:id="3">
    <w:p w:rsidR="002E23BA" w:rsidRDefault="002E23BA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ללא קרנות הנאמנות</w:t>
      </w:r>
    </w:p>
  </w:footnote>
  <w:footnote w:id="4">
    <w:p w:rsidR="002E23BA" w:rsidRDefault="002E23BA" w:rsidP="00377914">
      <w:pPr>
        <w:pStyle w:val="a3"/>
        <w:rPr>
          <w:rtl/>
        </w:rPr>
      </w:pPr>
      <w:r w:rsidRPr="00794343">
        <w:rPr>
          <w:rStyle w:val="a5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  <w:r w:rsidR="00377914">
        <w:rPr>
          <w:rFonts w:hint="cs"/>
          <w:rtl/>
        </w:rPr>
        <w:t xml:space="preserve"> </w:t>
      </w:r>
      <w:r w:rsidR="00377914" w:rsidRPr="00377914">
        <w:rPr>
          <w:rFonts w:hint="cs"/>
          <w:rtl/>
        </w:rPr>
        <w:t>לפירוט נוסף של הגדרות, מושגים והסברים, ראו את "מדידת החשיפות של המשקיעים המוסדיים למט"ח ולנכסים זרים" בפרסום 'מבט סטטיסטי 2016'.</w:t>
      </w:r>
    </w:p>
  </w:footnote>
  <w:footnote w:id="5">
    <w:p w:rsidR="007831EE" w:rsidRDefault="007831EE" w:rsidP="007831EE">
      <w:pPr>
        <w:spacing w:before="240" w:line="360" w:lineRule="auto"/>
        <w:ind w:left="360"/>
        <w:jc w:val="both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ascii="David" w:hAnsi="David" w:hint="cs"/>
          <w:sz w:val="20"/>
          <w:szCs w:val="20"/>
          <w:rtl/>
        </w:rPr>
        <w:t>כולל קרנות סל להרחבה אודות רפורמת קרנות הסל, לחץ להגדרות מורחבות ב</w:t>
      </w:r>
      <w:hyperlink r:id="rId2" w:history="1">
        <w:r w:rsidRPr="007831EE">
          <w:rPr>
            <w:rStyle w:val="Hyperlink"/>
            <w:rFonts w:ascii="David" w:hAnsi="David"/>
            <w:sz w:val="20"/>
            <w:szCs w:val="20"/>
            <w:rtl/>
          </w:rPr>
          <w:t xml:space="preserve">פרסום </w:t>
        </w:r>
        <w:r>
          <w:rPr>
            <w:rStyle w:val="Hyperlink"/>
            <w:rFonts w:ascii="David" w:hAnsi="David"/>
            <w:sz w:val="20"/>
            <w:szCs w:val="20"/>
            <w:rtl/>
          </w:rPr>
          <w:t>ה</w:t>
        </w:r>
        <w:r w:rsidRPr="007831EE">
          <w:rPr>
            <w:rStyle w:val="Hyperlink"/>
            <w:rFonts w:ascii="David" w:hAnsi="David"/>
            <w:sz w:val="20"/>
            <w:szCs w:val="20"/>
            <w:rtl/>
          </w:rPr>
          <w:t>רשות לני"ע</w:t>
        </w:r>
      </w:hyperlink>
      <w:r>
        <w:rPr>
          <w:rStyle w:val="Hyperlink"/>
          <w:rFonts w:ascii="David" w:hAnsi="David"/>
          <w:sz w:val="20"/>
          <w:szCs w:val="20"/>
          <w:rtl/>
        </w:rPr>
        <w:t>.</w:t>
      </w:r>
    </w:p>
    <w:p w:rsidR="007831EE" w:rsidRDefault="007831EE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BA" w:rsidRDefault="002E23BA" w:rsidP="00057FBC">
    <w:pPr>
      <w:pStyle w:val="aa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A851AA4"/>
    <w:multiLevelType w:val="hybridMultilevel"/>
    <w:tmpl w:val="BB14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C110C"/>
    <w:multiLevelType w:val="hybridMultilevel"/>
    <w:tmpl w:val="5A524CFC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A0499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E565C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631CB"/>
    <w:multiLevelType w:val="hybridMultilevel"/>
    <w:tmpl w:val="3474B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777FDE"/>
    <w:multiLevelType w:val="hybridMultilevel"/>
    <w:tmpl w:val="FDC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15"/>
  </w:num>
  <w:num w:numId="5">
    <w:abstractNumId w:val="11"/>
  </w:num>
  <w:num w:numId="6">
    <w:abstractNumId w:val="17"/>
  </w:num>
  <w:num w:numId="7">
    <w:abstractNumId w:val="13"/>
  </w:num>
  <w:num w:numId="8">
    <w:abstractNumId w:val="20"/>
  </w:num>
  <w:num w:numId="9">
    <w:abstractNumId w:val="2"/>
  </w:num>
  <w:num w:numId="10">
    <w:abstractNumId w:val="9"/>
  </w:num>
  <w:num w:numId="11">
    <w:abstractNumId w:val="22"/>
  </w:num>
  <w:num w:numId="12">
    <w:abstractNumId w:val="0"/>
  </w:num>
  <w:num w:numId="13">
    <w:abstractNumId w:val="16"/>
  </w:num>
  <w:num w:numId="14">
    <w:abstractNumId w:val="5"/>
  </w:num>
  <w:num w:numId="15">
    <w:abstractNumId w:val="18"/>
  </w:num>
  <w:num w:numId="16">
    <w:abstractNumId w:val="6"/>
  </w:num>
  <w:num w:numId="17">
    <w:abstractNumId w:val="10"/>
  </w:num>
  <w:num w:numId="18">
    <w:abstractNumId w:val="19"/>
  </w:num>
  <w:num w:numId="19">
    <w:abstractNumId w:val="4"/>
  </w:num>
  <w:num w:numId="20">
    <w:abstractNumId w:val="1"/>
  </w:num>
  <w:num w:numId="21">
    <w:abstractNumId w:val="7"/>
  </w:num>
  <w:num w:numId="22">
    <w:abstractNumId w:val="14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36"/>
    <w:rsid w:val="0000050F"/>
    <w:rsid w:val="00000F00"/>
    <w:rsid w:val="000017DF"/>
    <w:rsid w:val="00001C31"/>
    <w:rsid w:val="000020FA"/>
    <w:rsid w:val="000022B8"/>
    <w:rsid w:val="000026DB"/>
    <w:rsid w:val="00002A43"/>
    <w:rsid w:val="0000402C"/>
    <w:rsid w:val="000043D3"/>
    <w:rsid w:val="00005815"/>
    <w:rsid w:val="00005EA0"/>
    <w:rsid w:val="000060F2"/>
    <w:rsid w:val="00006D46"/>
    <w:rsid w:val="00007808"/>
    <w:rsid w:val="00010E95"/>
    <w:rsid w:val="000115E8"/>
    <w:rsid w:val="00011802"/>
    <w:rsid w:val="000119A8"/>
    <w:rsid w:val="00011A9F"/>
    <w:rsid w:val="00011ADC"/>
    <w:rsid w:val="00011D23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17C95"/>
    <w:rsid w:val="00017CED"/>
    <w:rsid w:val="0002118E"/>
    <w:rsid w:val="000217DC"/>
    <w:rsid w:val="00022355"/>
    <w:rsid w:val="000226B0"/>
    <w:rsid w:val="000232FA"/>
    <w:rsid w:val="00023EE3"/>
    <w:rsid w:val="00024D12"/>
    <w:rsid w:val="000257F0"/>
    <w:rsid w:val="000259E9"/>
    <w:rsid w:val="00026858"/>
    <w:rsid w:val="000269A7"/>
    <w:rsid w:val="00026B30"/>
    <w:rsid w:val="00027B8D"/>
    <w:rsid w:val="00031281"/>
    <w:rsid w:val="00031461"/>
    <w:rsid w:val="000334C7"/>
    <w:rsid w:val="00033B6E"/>
    <w:rsid w:val="000343D2"/>
    <w:rsid w:val="00035581"/>
    <w:rsid w:val="00035951"/>
    <w:rsid w:val="00035DA9"/>
    <w:rsid w:val="0003643B"/>
    <w:rsid w:val="0003655D"/>
    <w:rsid w:val="00037CA6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50E7"/>
    <w:rsid w:val="00045462"/>
    <w:rsid w:val="000458D4"/>
    <w:rsid w:val="00046F09"/>
    <w:rsid w:val="000471D2"/>
    <w:rsid w:val="00047E41"/>
    <w:rsid w:val="0005021A"/>
    <w:rsid w:val="00051250"/>
    <w:rsid w:val="00051E43"/>
    <w:rsid w:val="000526A0"/>
    <w:rsid w:val="00052A72"/>
    <w:rsid w:val="00053087"/>
    <w:rsid w:val="00053461"/>
    <w:rsid w:val="000536B9"/>
    <w:rsid w:val="00054020"/>
    <w:rsid w:val="00054513"/>
    <w:rsid w:val="000546A3"/>
    <w:rsid w:val="00054CF0"/>
    <w:rsid w:val="00055921"/>
    <w:rsid w:val="000559EC"/>
    <w:rsid w:val="00055A9E"/>
    <w:rsid w:val="000564D4"/>
    <w:rsid w:val="000564E4"/>
    <w:rsid w:val="00056736"/>
    <w:rsid w:val="00056C8C"/>
    <w:rsid w:val="00057225"/>
    <w:rsid w:val="00057504"/>
    <w:rsid w:val="000575A5"/>
    <w:rsid w:val="000578A2"/>
    <w:rsid w:val="00057B85"/>
    <w:rsid w:val="00057FBC"/>
    <w:rsid w:val="00060438"/>
    <w:rsid w:val="00060AB4"/>
    <w:rsid w:val="000611C5"/>
    <w:rsid w:val="00061329"/>
    <w:rsid w:val="00061509"/>
    <w:rsid w:val="00061B54"/>
    <w:rsid w:val="000620EE"/>
    <w:rsid w:val="00062277"/>
    <w:rsid w:val="0006250C"/>
    <w:rsid w:val="00062933"/>
    <w:rsid w:val="00063A3F"/>
    <w:rsid w:val="00063EA2"/>
    <w:rsid w:val="00064EC7"/>
    <w:rsid w:val="00065EE2"/>
    <w:rsid w:val="00066482"/>
    <w:rsid w:val="00067385"/>
    <w:rsid w:val="00067625"/>
    <w:rsid w:val="00067ADF"/>
    <w:rsid w:val="00070610"/>
    <w:rsid w:val="00071052"/>
    <w:rsid w:val="00072355"/>
    <w:rsid w:val="000723D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C91"/>
    <w:rsid w:val="00080C9F"/>
    <w:rsid w:val="0008142A"/>
    <w:rsid w:val="00081868"/>
    <w:rsid w:val="00081BD3"/>
    <w:rsid w:val="000820EA"/>
    <w:rsid w:val="00083BDF"/>
    <w:rsid w:val="00083F4B"/>
    <w:rsid w:val="000842B9"/>
    <w:rsid w:val="000857FF"/>
    <w:rsid w:val="00085961"/>
    <w:rsid w:val="00085EA2"/>
    <w:rsid w:val="00086B1C"/>
    <w:rsid w:val="00091353"/>
    <w:rsid w:val="0009142D"/>
    <w:rsid w:val="00091F3F"/>
    <w:rsid w:val="00092CA7"/>
    <w:rsid w:val="000932F3"/>
    <w:rsid w:val="00093351"/>
    <w:rsid w:val="000938AA"/>
    <w:rsid w:val="00093A9E"/>
    <w:rsid w:val="00093D73"/>
    <w:rsid w:val="00094759"/>
    <w:rsid w:val="00095076"/>
    <w:rsid w:val="00096A08"/>
    <w:rsid w:val="000970F0"/>
    <w:rsid w:val="00097969"/>
    <w:rsid w:val="00097EF9"/>
    <w:rsid w:val="000A09EC"/>
    <w:rsid w:val="000A103B"/>
    <w:rsid w:val="000A23D5"/>
    <w:rsid w:val="000A2E03"/>
    <w:rsid w:val="000A3210"/>
    <w:rsid w:val="000A3314"/>
    <w:rsid w:val="000A369B"/>
    <w:rsid w:val="000A3DE0"/>
    <w:rsid w:val="000A4097"/>
    <w:rsid w:val="000A40CD"/>
    <w:rsid w:val="000A4194"/>
    <w:rsid w:val="000A48F4"/>
    <w:rsid w:val="000A4B2A"/>
    <w:rsid w:val="000A5014"/>
    <w:rsid w:val="000A51C9"/>
    <w:rsid w:val="000A525E"/>
    <w:rsid w:val="000A56C6"/>
    <w:rsid w:val="000A5D67"/>
    <w:rsid w:val="000A62F8"/>
    <w:rsid w:val="000A689F"/>
    <w:rsid w:val="000A6DCE"/>
    <w:rsid w:val="000A73BF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436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87D"/>
    <w:rsid w:val="000C6588"/>
    <w:rsid w:val="000C6A74"/>
    <w:rsid w:val="000C6B67"/>
    <w:rsid w:val="000C6D4D"/>
    <w:rsid w:val="000C6FB6"/>
    <w:rsid w:val="000C7167"/>
    <w:rsid w:val="000C71D9"/>
    <w:rsid w:val="000C7DEF"/>
    <w:rsid w:val="000C7F6E"/>
    <w:rsid w:val="000C7FD1"/>
    <w:rsid w:val="000C7FF0"/>
    <w:rsid w:val="000D1209"/>
    <w:rsid w:val="000D17E1"/>
    <w:rsid w:val="000D22CB"/>
    <w:rsid w:val="000D2E97"/>
    <w:rsid w:val="000D3458"/>
    <w:rsid w:val="000D3971"/>
    <w:rsid w:val="000D3CED"/>
    <w:rsid w:val="000D3EDF"/>
    <w:rsid w:val="000D40C8"/>
    <w:rsid w:val="000D4218"/>
    <w:rsid w:val="000D47E5"/>
    <w:rsid w:val="000D49A8"/>
    <w:rsid w:val="000D4C8F"/>
    <w:rsid w:val="000D4E48"/>
    <w:rsid w:val="000D4F71"/>
    <w:rsid w:val="000D6B53"/>
    <w:rsid w:val="000D6BCE"/>
    <w:rsid w:val="000D6E59"/>
    <w:rsid w:val="000D6FF2"/>
    <w:rsid w:val="000E1096"/>
    <w:rsid w:val="000E1501"/>
    <w:rsid w:val="000E2A02"/>
    <w:rsid w:val="000E2B66"/>
    <w:rsid w:val="000E3C52"/>
    <w:rsid w:val="000E4275"/>
    <w:rsid w:val="000E46C2"/>
    <w:rsid w:val="000E5137"/>
    <w:rsid w:val="000E53AB"/>
    <w:rsid w:val="000E5A26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2B48"/>
    <w:rsid w:val="000F2BA7"/>
    <w:rsid w:val="000F35DD"/>
    <w:rsid w:val="000F4780"/>
    <w:rsid w:val="000F5F96"/>
    <w:rsid w:val="000F6504"/>
    <w:rsid w:val="000F6CAC"/>
    <w:rsid w:val="000F7611"/>
    <w:rsid w:val="00100334"/>
    <w:rsid w:val="00100611"/>
    <w:rsid w:val="001006AD"/>
    <w:rsid w:val="00100FA0"/>
    <w:rsid w:val="00101362"/>
    <w:rsid w:val="00101E9A"/>
    <w:rsid w:val="00101EB2"/>
    <w:rsid w:val="00103128"/>
    <w:rsid w:val="00103942"/>
    <w:rsid w:val="00103C1F"/>
    <w:rsid w:val="00103EC2"/>
    <w:rsid w:val="00104AED"/>
    <w:rsid w:val="00104CDD"/>
    <w:rsid w:val="001056DE"/>
    <w:rsid w:val="0010593A"/>
    <w:rsid w:val="0010631E"/>
    <w:rsid w:val="0011075A"/>
    <w:rsid w:val="00110DFF"/>
    <w:rsid w:val="00110E4D"/>
    <w:rsid w:val="00111053"/>
    <w:rsid w:val="00111078"/>
    <w:rsid w:val="0011121D"/>
    <w:rsid w:val="00112327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301EF"/>
    <w:rsid w:val="00130C8C"/>
    <w:rsid w:val="00131E7F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6284"/>
    <w:rsid w:val="00136442"/>
    <w:rsid w:val="00136C0F"/>
    <w:rsid w:val="0013726C"/>
    <w:rsid w:val="001378C4"/>
    <w:rsid w:val="00140B27"/>
    <w:rsid w:val="00140F79"/>
    <w:rsid w:val="00141F2B"/>
    <w:rsid w:val="00142236"/>
    <w:rsid w:val="00142F75"/>
    <w:rsid w:val="00143E3B"/>
    <w:rsid w:val="00144B17"/>
    <w:rsid w:val="0014542F"/>
    <w:rsid w:val="001455EF"/>
    <w:rsid w:val="00145791"/>
    <w:rsid w:val="00146AF6"/>
    <w:rsid w:val="00146FCA"/>
    <w:rsid w:val="00147410"/>
    <w:rsid w:val="0014743C"/>
    <w:rsid w:val="00150373"/>
    <w:rsid w:val="00150AD5"/>
    <w:rsid w:val="00150BFB"/>
    <w:rsid w:val="00150E47"/>
    <w:rsid w:val="001510D5"/>
    <w:rsid w:val="00151D1D"/>
    <w:rsid w:val="0015236A"/>
    <w:rsid w:val="00152F2D"/>
    <w:rsid w:val="00154533"/>
    <w:rsid w:val="001553C3"/>
    <w:rsid w:val="001555E5"/>
    <w:rsid w:val="00155623"/>
    <w:rsid w:val="001558E4"/>
    <w:rsid w:val="0015662F"/>
    <w:rsid w:val="00156C5F"/>
    <w:rsid w:val="00156D03"/>
    <w:rsid w:val="001574CD"/>
    <w:rsid w:val="00157B5D"/>
    <w:rsid w:val="00157C66"/>
    <w:rsid w:val="00157E94"/>
    <w:rsid w:val="00160292"/>
    <w:rsid w:val="001602C1"/>
    <w:rsid w:val="001607A3"/>
    <w:rsid w:val="00160CCF"/>
    <w:rsid w:val="001613B9"/>
    <w:rsid w:val="00161545"/>
    <w:rsid w:val="0016191B"/>
    <w:rsid w:val="00161BE9"/>
    <w:rsid w:val="00162774"/>
    <w:rsid w:val="00162F67"/>
    <w:rsid w:val="00163E3F"/>
    <w:rsid w:val="0016427F"/>
    <w:rsid w:val="00164788"/>
    <w:rsid w:val="00164A39"/>
    <w:rsid w:val="00165449"/>
    <w:rsid w:val="00166430"/>
    <w:rsid w:val="00167682"/>
    <w:rsid w:val="00167C6D"/>
    <w:rsid w:val="001707D5"/>
    <w:rsid w:val="00170A50"/>
    <w:rsid w:val="00171E12"/>
    <w:rsid w:val="00172049"/>
    <w:rsid w:val="00172451"/>
    <w:rsid w:val="001725CA"/>
    <w:rsid w:val="00172B5B"/>
    <w:rsid w:val="00172FA5"/>
    <w:rsid w:val="001734CD"/>
    <w:rsid w:val="00174658"/>
    <w:rsid w:val="001753AF"/>
    <w:rsid w:val="00175634"/>
    <w:rsid w:val="00175BE7"/>
    <w:rsid w:val="00176DA9"/>
    <w:rsid w:val="001776A3"/>
    <w:rsid w:val="00180284"/>
    <w:rsid w:val="00180446"/>
    <w:rsid w:val="001804EC"/>
    <w:rsid w:val="00180C9F"/>
    <w:rsid w:val="00180FBD"/>
    <w:rsid w:val="001816FC"/>
    <w:rsid w:val="00181977"/>
    <w:rsid w:val="00181A28"/>
    <w:rsid w:val="00182280"/>
    <w:rsid w:val="00183A6E"/>
    <w:rsid w:val="00183C5D"/>
    <w:rsid w:val="001840D3"/>
    <w:rsid w:val="00184396"/>
    <w:rsid w:val="00184453"/>
    <w:rsid w:val="001844D8"/>
    <w:rsid w:val="00184509"/>
    <w:rsid w:val="00184649"/>
    <w:rsid w:val="001857A4"/>
    <w:rsid w:val="001859DC"/>
    <w:rsid w:val="00185C55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EA"/>
    <w:rsid w:val="00192E44"/>
    <w:rsid w:val="00194180"/>
    <w:rsid w:val="001949E8"/>
    <w:rsid w:val="00194CB7"/>
    <w:rsid w:val="0019565E"/>
    <w:rsid w:val="00196A7F"/>
    <w:rsid w:val="00197842"/>
    <w:rsid w:val="00197A7E"/>
    <w:rsid w:val="00197D0B"/>
    <w:rsid w:val="001A095A"/>
    <w:rsid w:val="001A0A07"/>
    <w:rsid w:val="001A0AAC"/>
    <w:rsid w:val="001A176C"/>
    <w:rsid w:val="001A17E8"/>
    <w:rsid w:val="001A1A30"/>
    <w:rsid w:val="001A21B6"/>
    <w:rsid w:val="001A2D45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6333"/>
    <w:rsid w:val="001A70BD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C99"/>
    <w:rsid w:val="001B6E57"/>
    <w:rsid w:val="001B71BE"/>
    <w:rsid w:val="001B7370"/>
    <w:rsid w:val="001B7547"/>
    <w:rsid w:val="001B7675"/>
    <w:rsid w:val="001B7E7B"/>
    <w:rsid w:val="001C0856"/>
    <w:rsid w:val="001C1347"/>
    <w:rsid w:val="001C18C5"/>
    <w:rsid w:val="001C1CA1"/>
    <w:rsid w:val="001C264C"/>
    <w:rsid w:val="001C33AA"/>
    <w:rsid w:val="001C46CF"/>
    <w:rsid w:val="001C6A98"/>
    <w:rsid w:val="001C6F8F"/>
    <w:rsid w:val="001C7B52"/>
    <w:rsid w:val="001C7E12"/>
    <w:rsid w:val="001D08C2"/>
    <w:rsid w:val="001D109B"/>
    <w:rsid w:val="001D115C"/>
    <w:rsid w:val="001D15A4"/>
    <w:rsid w:val="001D15FD"/>
    <w:rsid w:val="001D1B66"/>
    <w:rsid w:val="001D23E6"/>
    <w:rsid w:val="001D301D"/>
    <w:rsid w:val="001D3185"/>
    <w:rsid w:val="001D333B"/>
    <w:rsid w:val="001D37CD"/>
    <w:rsid w:val="001D3E93"/>
    <w:rsid w:val="001D3EA3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781"/>
    <w:rsid w:val="001D6866"/>
    <w:rsid w:val="001D7439"/>
    <w:rsid w:val="001D76B2"/>
    <w:rsid w:val="001D7970"/>
    <w:rsid w:val="001E02E6"/>
    <w:rsid w:val="001E25EF"/>
    <w:rsid w:val="001E2E5B"/>
    <w:rsid w:val="001E2E95"/>
    <w:rsid w:val="001E31AC"/>
    <w:rsid w:val="001E42B4"/>
    <w:rsid w:val="001E47F2"/>
    <w:rsid w:val="001E4FB1"/>
    <w:rsid w:val="001E5746"/>
    <w:rsid w:val="001E5953"/>
    <w:rsid w:val="001E5B84"/>
    <w:rsid w:val="001E5D0A"/>
    <w:rsid w:val="001E5EF4"/>
    <w:rsid w:val="001E6A6C"/>
    <w:rsid w:val="001E7B49"/>
    <w:rsid w:val="001E7CD6"/>
    <w:rsid w:val="001F043C"/>
    <w:rsid w:val="001F0470"/>
    <w:rsid w:val="001F0485"/>
    <w:rsid w:val="001F0DF7"/>
    <w:rsid w:val="001F1C05"/>
    <w:rsid w:val="001F2087"/>
    <w:rsid w:val="001F2235"/>
    <w:rsid w:val="001F3308"/>
    <w:rsid w:val="001F3A15"/>
    <w:rsid w:val="001F4211"/>
    <w:rsid w:val="001F4BA3"/>
    <w:rsid w:val="001F4DAA"/>
    <w:rsid w:val="001F4DD2"/>
    <w:rsid w:val="001F56B7"/>
    <w:rsid w:val="001F5733"/>
    <w:rsid w:val="001F5796"/>
    <w:rsid w:val="001F5900"/>
    <w:rsid w:val="001F5E2D"/>
    <w:rsid w:val="001F65E3"/>
    <w:rsid w:val="001F775A"/>
    <w:rsid w:val="002002CD"/>
    <w:rsid w:val="002003C2"/>
    <w:rsid w:val="0020074A"/>
    <w:rsid w:val="002014EE"/>
    <w:rsid w:val="00202AD2"/>
    <w:rsid w:val="00202D83"/>
    <w:rsid w:val="00202E28"/>
    <w:rsid w:val="00203066"/>
    <w:rsid w:val="002041BE"/>
    <w:rsid w:val="00205697"/>
    <w:rsid w:val="00205C1F"/>
    <w:rsid w:val="00206954"/>
    <w:rsid w:val="00206CF4"/>
    <w:rsid w:val="00206F1A"/>
    <w:rsid w:val="0020778C"/>
    <w:rsid w:val="0020788C"/>
    <w:rsid w:val="00207B9F"/>
    <w:rsid w:val="002101CA"/>
    <w:rsid w:val="0021069F"/>
    <w:rsid w:val="00210AA3"/>
    <w:rsid w:val="00210E2B"/>
    <w:rsid w:val="002112EA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340"/>
    <w:rsid w:val="00217472"/>
    <w:rsid w:val="002204AB"/>
    <w:rsid w:val="0022173B"/>
    <w:rsid w:val="00221EB5"/>
    <w:rsid w:val="00222821"/>
    <w:rsid w:val="00222BD6"/>
    <w:rsid w:val="002237F8"/>
    <w:rsid w:val="00223C6E"/>
    <w:rsid w:val="00223E9A"/>
    <w:rsid w:val="002252E2"/>
    <w:rsid w:val="00225541"/>
    <w:rsid w:val="002257D7"/>
    <w:rsid w:val="00226017"/>
    <w:rsid w:val="00226B3C"/>
    <w:rsid w:val="00226B99"/>
    <w:rsid w:val="00226D8A"/>
    <w:rsid w:val="00227572"/>
    <w:rsid w:val="00230173"/>
    <w:rsid w:val="00230C10"/>
    <w:rsid w:val="00231761"/>
    <w:rsid w:val="002321B8"/>
    <w:rsid w:val="0023245E"/>
    <w:rsid w:val="0023245F"/>
    <w:rsid w:val="00232A5E"/>
    <w:rsid w:val="00232E06"/>
    <w:rsid w:val="0023327D"/>
    <w:rsid w:val="002339EB"/>
    <w:rsid w:val="00234179"/>
    <w:rsid w:val="0023440A"/>
    <w:rsid w:val="00235DCE"/>
    <w:rsid w:val="00235FBA"/>
    <w:rsid w:val="0023775E"/>
    <w:rsid w:val="002379EF"/>
    <w:rsid w:val="00237C45"/>
    <w:rsid w:val="002403B2"/>
    <w:rsid w:val="00240B61"/>
    <w:rsid w:val="00240D58"/>
    <w:rsid w:val="00241646"/>
    <w:rsid w:val="00241A25"/>
    <w:rsid w:val="00242714"/>
    <w:rsid w:val="002428E6"/>
    <w:rsid w:val="00242961"/>
    <w:rsid w:val="0024359D"/>
    <w:rsid w:val="0024440A"/>
    <w:rsid w:val="00245554"/>
    <w:rsid w:val="00245655"/>
    <w:rsid w:val="00245A1A"/>
    <w:rsid w:val="0024602D"/>
    <w:rsid w:val="002467E1"/>
    <w:rsid w:val="00247D86"/>
    <w:rsid w:val="00247E64"/>
    <w:rsid w:val="00247E9A"/>
    <w:rsid w:val="00247F73"/>
    <w:rsid w:val="002501CB"/>
    <w:rsid w:val="002502BC"/>
    <w:rsid w:val="00251056"/>
    <w:rsid w:val="002513AA"/>
    <w:rsid w:val="00251DB5"/>
    <w:rsid w:val="002520C1"/>
    <w:rsid w:val="00252115"/>
    <w:rsid w:val="00252AB5"/>
    <w:rsid w:val="00252F11"/>
    <w:rsid w:val="00253AF8"/>
    <w:rsid w:val="002545E3"/>
    <w:rsid w:val="0025558F"/>
    <w:rsid w:val="002558C4"/>
    <w:rsid w:val="00255C17"/>
    <w:rsid w:val="00256235"/>
    <w:rsid w:val="0025625E"/>
    <w:rsid w:val="00256719"/>
    <w:rsid w:val="002575D2"/>
    <w:rsid w:val="00257B08"/>
    <w:rsid w:val="00257BB1"/>
    <w:rsid w:val="002606CD"/>
    <w:rsid w:val="00260B31"/>
    <w:rsid w:val="00260F4B"/>
    <w:rsid w:val="00261156"/>
    <w:rsid w:val="0026130C"/>
    <w:rsid w:val="00261A2B"/>
    <w:rsid w:val="002627FE"/>
    <w:rsid w:val="0026343B"/>
    <w:rsid w:val="00263E21"/>
    <w:rsid w:val="00263FB2"/>
    <w:rsid w:val="0026446B"/>
    <w:rsid w:val="002645C6"/>
    <w:rsid w:val="002649BD"/>
    <w:rsid w:val="00264EA8"/>
    <w:rsid w:val="002653A0"/>
    <w:rsid w:val="0026547B"/>
    <w:rsid w:val="0026567C"/>
    <w:rsid w:val="00265D1C"/>
    <w:rsid w:val="002665AE"/>
    <w:rsid w:val="002670AD"/>
    <w:rsid w:val="00267453"/>
    <w:rsid w:val="00267A92"/>
    <w:rsid w:val="00270B18"/>
    <w:rsid w:val="002717B2"/>
    <w:rsid w:val="002726E1"/>
    <w:rsid w:val="00272A69"/>
    <w:rsid w:val="00272FF7"/>
    <w:rsid w:val="0027319D"/>
    <w:rsid w:val="002731B0"/>
    <w:rsid w:val="002732E7"/>
    <w:rsid w:val="00273AB3"/>
    <w:rsid w:val="00273AE5"/>
    <w:rsid w:val="002742CF"/>
    <w:rsid w:val="0027468F"/>
    <w:rsid w:val="00274984"/>
    <w:rsid w:val="002757B9"/>
    <w:rsid w:val="002763DF"/>
    <w:rsid w:val="00276480"/>
    <w:rsid w:val="0027678D"/>
    <w:rsid w:val="0027681B"/>
    <w:rsid w:val="002769EE"/>
    <w:rsid w:val="0027784E"/>
    <w:rsid w:val="00277C1E"/>
    <w:rsid w:val="0028096C"/>
    <w:rsid w:val="0028170D"/>
    <w:rsid w:val="00281C89"/>
    <w:rsid w:val="00282C20"/>
    <w:rsid w:val="00283B13"/>
    <w:rsid w:val="002847A5"/>
    <w:rsid w:val="00284BFA"/>
    <w:rsid w:val="00286F30"/>
    <w:rsid w:val="002873E4"/>
    <w:rsid w:val="00290EF0"/>
    <w:rsid w:val="00290FF3"/>
    <w:rsid w:val="0029141A"/>
    <w:rsid w:val="0029185D"/>
    <w:rsid w:val="00292427"/>
    <w:rsid w:val="00292432"/>
    <w:rsid w:val="00293346"/>
    <w:rsid w:val="00293831"/>
    <w:rsid w:val="002941EA"/>
    <w:rsid w:val="0029432C"/>
    <w:rsid w:val="00295A41"/>
    <w:rsid w:val="00295B3F"/>
    <w:rsid w:val="0029682A"/>
    <w:rsid w:val="00297583"/>
    <w:rsid w:val="00297B32"/>
    <w:rsid w:val="00297EF8"/>
    <w:rsid w:val="002A05B4"/>
    <w:rsid w:val="002A07C7"/>
    <w:rsid w:val="002A172C"/>
    <w:rsid w:val="002A1993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E4F"/>
    <w:rsid w:val="002B10E2"/>
    <w:rsid w:val="002B120D"/>
    <w:rsid w:val="002B3369"/>
    <w:rsid w:val="002B3BDD"/>
    <w:rsid w:val="002B4998"/>
    <w:rsid w:val="002B49E1"/>
    <w:rsid w:val="002B51DF"/>
    <w:rsid w:val="002B566E"/>
    <w:rsid w:val="002B594E"/>
    <w:rsid w:val="002B67EB"/>
    <w:rsid w:val="002B6CDE"/>
    <w:rsid w:val="002B7042"/>
    <w:rsid w:val="002B7732"/>
    <w:rsid w:val="002C08F6"/>
    <w:rsid w:val="002C141D"/>
    <w:rsid w:val="002C14DC"/>
    <w:rsid w:val="002C311A"/>
    <w:rsid w:val="002C3F79"/>
    <w:rsid w:val="002C433B"/>
    <w:rsid w:val="002C47D1"/>
    <w:rsid w:val="002C576B"/>
    <w:rsid w:val="002C5795"/>
    <w:rsid w:val="002C5AD2"/>
    <w:rsid w:val="002C67BC"/>
    <w:rsid w:val="002C6D97"/>
    <w:rsid w:val="002C7B48"/>
    <w:rsid w:val="002D007F"/>
    <w:rsid w:val="002D0458"/>
    <w:rsid w:val="002D0C2E"/>
    <w:rsid w:val="002D1100"/>
    <w:rsid w:val="002D2470"/>
    <w:rsid w:val="002D24CA"/>
    <w:rsid w:val="002D2520"/>
    <w:rsid w:val="002D2B1F"/>
    <w:rsid w:val="002D2F52"/>
    <w:rsid w:val="002D35C5"/>
    <w:rsid w:val="002D5C52"/>
    <w:rsid w:val="002D5E9B"/>
    <w:rsid w:val="002D7A01"/>
    <w:rsid w:val="002E0938"/>
    <w:rsid w:val="002E0A85"/>
    <w:rsid w:val="002E0EE1"/>
    <w:rsid w:val="002E12A7"/>
    <w:rsid w:val="002E13B6"/>
    <w:rsid w:val="002E188B"/>
    <w:rsid w:val="002E1C15"/>
    <w:rsid w:val="002E23BA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F00A9"/>
    <w:rsid w:val="002F010B"/>
    <w:rsid w:val="002F044A"/>
    <w:rsid w:val="002F0565"/>
    <w:rsid w:val="002F0602"/>
    <w:rsid w:val="002F0D7B"/>
    <w:rsid w:val="002F0DC3"/>
    <w:rsid w:val="002F1460"/>
    <w:rsid w:val="002F14EE"/>
    <w:rsid w:val="002F18CE"/>
    <w:rsid w:val="002F1A2D"/>
    <w:rsid w:val="002F1B65"/>
    <w:rsid w:val="002F2C4D"/>
    <w:rsid w:val="002F2F3D"/>
    <w:rsid w:val="002F3383"/>
    <w:rsid w:val="002F3B73"/>
    <w:rsid w:val="002F4179"/>
    <w:rsid w:val="002F4E60"/>
    <w:rsid w:val="002F5401"/>
    <w:rsid w:val="002F56BB"/>
    <w:rsid w:val="002F58E6"/>
    <w:rsid w:val="002F5E9B"/>
    <w:rsid w:val="002F6207"/>
    <w:rsid w:val="002F6225"/>
    <w:rsid w:val="002F73C5"/>
    <w:rsid w:val="002F7DA5"/>
    <w:rsid w:val="00300589"/>
    <w:rsid w:val="003006F0"/>
    <w:rsid w:val="00300ACC"/>
    <w:rsid w:val="00300EBC"/>
    <w:rsid w:val="00300FCB"/>
    <w:rsid w:val="0030227E"/>
    <w:rsid w:val="0030251E"/>
    <w:rsid w:val="0030266C"/>
    <w:rsid w:val="003026F0"/>
    <w:rsid w:val="0030392B"/>
    <w:rsid w:val="00303A9A"/>
    <w:rsid w:val="00303B7F"/>
    <w:rsid w:val="00303E6F"/>
    <w:rsid w:val="00304565"/>
    <w:rsid w:val="00305E19"/>
    <w:rsid w:val="0030620E"/>
    <w:rsid w:val="00306329"/>
    <w:rsid w:val="00306E3F"/>
    <w:rsid w:val="00307811"/>
    <w:rsid w:val="00307A7D"/>
    <w:rsid w:val="00310D00"/>
    <w:rsid w:val="00310DC5"/>
    <w:rsid w:val="00310F6C"/>
    <w:rsid w:val="00311474"/>
    <w:rsid w:val="00311555"/>
    <w:rsid w:val="003125D3"/>
    <w:rsid w:val="00313125"/>
    <w:rsid w:val="0031320B"/>
    <w:rsid w:val="00313272"/>
    <w:rsid w:val="003132AA"/>
    <w:rsid w:val="003139F9"/>
    <w:rsid w:val="003141E6"/>
    <w:rsid w:val="00315E08"/>
    <w:rsid w:val="003160A4"/>
    <w:rsid w:val="00316B0E"/>
    <w:rsid w:val="0031732A"/>
    <w:rsid w:val="00317698"/>
    <w:rsid w:val="00317A35"/>
    <w:rsid w:val="00317AB0"/>
    <w:rsid w:val="00317FB2"/>
    <w:rsid w:val="003202EB"/>
    <w:rsid w:val="003221E0"/>
    <w:rsid w:val="00323EE6"/>
    <w:rsid w:val="00325387"/>
    <w:rsid w:val="003254F3"/>
    <w:rsid w:val="00325CAE"/>
    <w:rsid w:val="00326D9D"/>
    <w:rsid w:val="0032776F"/>
    <w:rsid w:val="00327E2A"/>
    <w:rsid w:val="00327E8E"/>
    <w:rsid w:val="00330BFD"/>
    <w:rsid w:val="0033163E"/>
    <w:rsid w:val="00331B80"/>
    <w:rsid w:val="0033294C"/>
    <w:rsid w:val="00333901"/>
    <w:rsid w:val="00333DA8"/>
    <w:rsid w:val="00333FE1"/>
    <w:rsid w:val="0033465F"/>
    <w:rsid w:val="003350AA"/>
    <w:rsid w:val="00335187"/>
    <w:rsid w:val="003352C5"/>
    <w:rsid w:val="00336423"/>
    <w:rsid w:val="003366F0"/>
    <w:rsid w:val="00337187"/>
    <w:rsid w:val="00337209"/>
    <w:rsid w:val="00337F74"/>
    <w:rsid w:val="003400BF"/>
    <w:rsid w:val="00340176"/>
    <w:rsid w:val="003404BC"/>
    <w:rsid w:val="003407F3"/>
    <w:rsid w:val="00340DB0"/>
    <w:rsid w:val="003410CC"/>
    <w:rsid w:val="00341B5D"/>
    <w:rsid w:val="00341CCF"/>
    <w:rsid w:val="00342128"/>
    <w:rsid w:val="003421EA"/>
    <w:rsid w:val="00342FC2"/>
    <w:rsid w:val="00343418"/>
    <w:rsid w:val="00343F19"/>
    <w:rsid w:val="00344A50"/>
    <w:rsid w:val="0034590D"/>
    <w:rsid w:val="00346595"/>
    <w:rsid w:val="0034683B"/>
    <w:rsid w:val="0034700B"/>
    <w:rsid w:val="00347124"/>
    <w:rsid w:val="00347299"/>
    <w:rsid w:val="003475AD"/>
    <w:rsid w:val="0034768C"/>
    <w:rsid w:val="0035002C"/>
    <w:rsid w:val="00350300"/>
    <w:rsid w:val="00351058"/>
    <w:rsid w:val="003517D8"/>
    <w:rsid w:val="00351C10"/>
    <w:rsid w:val="0035212D"/>
    <w:rsid w:val="00352ABE"/>
    <w:rsid w:val="00352E75"/>
    <w:rsid w:val="00353174"/>
    <w:rsid w:val="00353A9A"/>
    <w:rsid w:val="00354058"/>
    <w:rsid w:val="00354E9E"/>
    <w:rsid w:val="00355B39"/>
    <w:rsid w:val="00355B3D"/>
    <w:rsid w:val="00355D57"/>
    <w:rsid w:val="0036019C"/>
    <w:rsid w:val="003606FD"/>
    <w:rsid w:val="0036090B"/>
    <w:rsid w:val="00360EE1"/>
    <w:rsid w:val="003624D0"/>
    <w:rsid w:val="00362C17"/>
    <w:rsid w:val="00363003"/>
    <w:rsid w:val="003637B1"/>
    <w:rsid w:val="00363E4A"/>
    <w:rsid w:val="00364258"/>
    <w:rsid w:val="0036442C"/>
    <w:rsid w:val="00364520"/>
    <w:rsid w:val="00364782"/>
    <w:rsid w:val="00364D25"/>
    <w:rsid w:val="00364EED"/>
    <w:rsid w:val="00365B98"/>
    <w:rsid w:val="003673A0"/>
    <w:rsid w:val="00367E60"/>
    <w:rsid w:val="00370832"/>
    <w:rsid w:val="00370B25"/>
    <w:rsid w:val="00371A4B"/>
    <w:rsid w:val="00372C74"/>
    <w:rsid w:val="00374650"/>
    <w:rsid w:val="003746CA"/>
    <w:rsid w:val="003752C4"/>
    <w:rsid w:val="00375341"/>
    <w:rsid w:val="00376947"/>
    <w:rsid w:val="0037722C"/>
    <w:rsid w:val="00377914"/>
    <w:rsid w:val="00377ADA"/>
    <w:rsid w:val="00380DA4"/>
    <w:rsid w:val="00380F38"/>
    <w:rsid w:val="0038110B"/>
    <w:rsid w:val="00381900"/>
    <w:rsid w:val="00382A96"/>
    <w:rsid w:val="0038352D"/>
    <w:rsid w:val="0038352E"/>
    <w:rsid w:val="003838F7"/>
    <w:rsid w:val="00384733"/>
    <w:rsid w:val="00384EEC"/>
    <w:rsid w:val="00386C83"/>
    <w:rsid w:val="003873F3"/>
    <w:rsid w:val="00387665"/>
    <w:rsid w:val="0039006D"/>
    <w:rsid w:val="00390265"/>
    <w:rsid w:val="003913A2"/>
    <w:rsid w:val="00391FC3"/>
    <w:rsid w:val="0039259D"/>
    <w:rsid w:val="00392A7D"/>
    <w:rsid w:val="00393291"/>
    <w:rsid w:val="003955FE"/>
    <w:rsid w:val="003958DC"/>
    <w:rsid w:val="00395BC3"/>
    <w:rsid w:val="00395FE2"/>
    <w:rsid w:val="003960C5"/>
    <w:rsid w:val="00396787"/>
    <w:rsid w:val="00396B35"/>
    <w:rsid w:val="003971F2"/>
    <w:rsid w:val="00397921"/>
    <w:rsid w:val="003A09C0"/>
    <w:rsid w:val="003A0A0D"/>
    <w:rsid w:val="003A0BD1"/>
    <w:rsid w:val="003A0EA4"/>
    <w:rsid w:val="003A113D"/>
    <w:rsid w:val="003A17D9"/>
    <w:rsid w:val="003A1A1E"/>
    <w:rsid w:val="003A1FCC"/>
    <w:rsid w:val="003A2C39"/>
    <w:rsid w:val="003A353B"/>
    <w:rsid w:val="003A377F"/>
    <w:rsid w:val="003A43E6"/>
    <w:rsid w:val="003A4B9B"/>
    <w:rsid w:val="003A4DF9"/>
    <w:rsid w:val="003A50BB"/>
    <w:rsid w:val="003A624F"/>
    <w:rsid w:val="003A6452"/>
    <w:rsid w:val="003A70ED"/>
    <w:rsid w:val="003A75AC"/>
    <w:rsid w:val="003B0778"/>
    <w:rsid w:val="003B0875"/>
    <w:rsid w:val="003B091C"/>
    <w:rsid w:val="003B09D1"/>
    <w:rsid w:val="003B0B89"/>
    <w:rsid w:val="003B2263"/>
    <w:rsid w:val="003B24D1"/>
    <w:rsid w:val="003B264E"/>
    <w:rsid w:val="003B3ED7"/>
    <w:rsid w:val="003B437B"/>
    <w:rsid w:val="003B544B"/>
    <w:rsid w:val="003B5649"/>
    <w:rsid w:val="003B57D2"/>
    <w:rsid w:val="003B5B33"/>
    <w:rsid w:val="003B5C34"/>
    <w:rsid w:val="003B5FF2"/>
    <w:rsid w:val="003B64E0"/>
    <w:rsid w:val="003B7C04"/>
    <w:rsid w:val="003C0D88"/>
    <w:rsid w:val="003C12DF"/>
    <w:rsid w:val="003C1469"/>
    <w:rsid w:val="003C2140"/>
    <w:rsid w:val="003C2AEF"/>
    <w:rsid w:val="003C44FB"/>
    <w:rsid w:val="003C52F9"/>
    <w:rsid w:val="003C60AC"/>
    <w:rsid w:val="003C6456"/>
    <w:rsid w:val="003C65A0"/>
    <w:rsid w:val="003C666F"/>
    <w:rsid w:val="003C6B2E"/>
    <w:rsid w:val="003C6D7F"/>
    <w:rsid w:val="003C71DB"/>
    <w:rsid w:val="003C7296"/>
    <w:rsid w:val="003D00BD"/>
    <w:rsid w:val="003D18BB"/>
    <w:rsid w:val="003D236F"/>
    <w:rsid w:val="003D276A"/>
    <w:rsid w:val="003D28E4"/>
    <w:rsid w:val="003D35E1"/>
    <w:rsid w:val="003D372B"/>
    <w:rsid w:val="003D4315"/>
    <w:rsid w:val="003D4455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B5"/>
    <w:rsid w:val="003D732E"/>
    <w:rsid w:val="003D794C"/>
    <w:rsid w:val="003D7DCE"/>
    <w:rsid w:val="003D7F9A"/>
    <w:rsid w:val="003E052C"/>
    <w:rsid w:val="003E1082"/>
    <w:rsid w:val="003E1856"/>
    <w:rsid w:val="003E2034"/>
    <w:rsid w:val="003E2D61"/>
    <w:rsid w:val="003E433E"/>
    <w:rsid w:val="003E4688"/>
    <w:rsid w:val="003E4E3F"/>
    <w:rsid w:val="003E5194"/>
    <w:rsid w:val="003E536B"/>
    <w:rsid w:val="003E5DA9"/>
    <w:rsid w:val="003E5EDA"/>
    <w:rsid w:val="003E616A"/>
    <w:rsid w:val="003E61C1"/>
    <w:rsid w:val="003E6D70"/>
    <w:rsid w:val="003E740C"/>
    <w:rsid w:val="003E7730"/>
    <w:rsid w:val="003E78C4"/>
    <w:rsid w:val="003F0413"/>
    <w:rsid w:val="003F0F09"/>
    <w:rsid w:val="003F1101"/>
    <w:rsid w:val="003F119B"/>
    <w:rsid w:val="003F193A"/>
    <w:rsid w:val="003F25B5"/>
    <w:rsid w:val="003F276B"/>
    <w:rsid w:val="003F320F"/>
    <w:rsid w:val="003F39ED"/>
    <w:rsid w:val="003F3C90"/>
    <w:rsid w:val="003F4130"/>
    <w:rsid w:val="003F4B94"/>
    <w:rsid w:val="003F4FF9"/>
    <w:rsid w:val="003F56FE"/>
    <w:rsid w:val="003F6511"/>
    <w:rsid w:val="003F76A6"/>
    <w:rsid w:val="003F7C50"/>
    <w:rsid w:val="00400605"/>
    <w:rsid w:val="004011E9"/>
    <w:rsid w:val="004012D8"/>
    <w:rsid w:val="0040139E"/>
    <w:rsid w:val="004017A6"/>
    <w:rsid w:val="004021CE"/>
    <w:rsid w:val="004021D8"/>
    <w:rsid w:val="004031E8"/>
    <w:rsid w:val="004037B0"/>
    <w:rsid w:val="00403972"/>
    <w:rsid w:val="00403BFB"/>
    <w:rsid w:val="0040405E"/>
    <w:rsid w:val="0040499D"/>
    <w:rsid w:val="0040565B"/>
    <w:rsid w:val="004056F3"/>
    <w:rsid w:val="0040667A"/>
    <w:rsid w:val="00406F16"/>
    <w:rsid w:val="004077F7"/>
    <w:rsid w:val="00410237"/>
    <w:rsid w:val="004103EF"/>
    <w:rsid w:val="0041053D"/>
    <w:rsid w:val="0041081C"/>
    <w:rsid w:val="004117A1"/>
    <w:rsid w:val="0041231E"/>
    <w:rsid w:val="00413A2B"/>
    <w:rsid w:val="00413F0A"/>
    <w:rsid w:val="00414C0A"/>
    <w:rsid w:val="004161F0"/>
    <w:rsid w:val="00416525"/>
    <w:rsid w:val="00416F4B"/>
    <w:rsid w:val="00417A04"/>
    <w:rsid w:val="004207C3"/>
    <w:rsid w:val="004211E7"/>
    <w:rsid w:val="004211EB"/>
    <w:rsid w:val="00421A3C"/>
    <w:rsid w:val="00422508"/>
    <w:rsid w:val="00422C7E"/>
    <w:rsid w:val="00423E9F"/>
    <w:rsid w:val="00423FF4"/>
    <w:rsid w:val="004242EF"/>
    <w:rsid w:val="00424A00"/>
    <w:rsid w:val="00425589"/>
    <w:rsid w:val="0042573B"/>
    <w:rsid w:val="00425D74"/>
    <w:rsid w:val="00425E0E"/>
    <w:rsid w:val="004261B5"/>
    <w:rsid w:val="004267EF"/>
    <w:rsid w:val="0042718A"/>
    <w:rsid w:val="0042727F"/>
    <w:rsid w:val="004279A7"/>
    <w:rsid w:val="004279F8"/>
    <w:rsid w:val="00432302"/>
    <w:rsid w:val="004324AC"/>
    <w:rsid w:val="00432AAF"/>
    <w:rsid w:val="00433492"/>
    <w:rsid w:val="00433A8C"/>
    <w:rsid w:val="00433B9F"/>
    <w:rsid w:val="004340A2"/>
    <w:rsid w:val="0043465E"/>
    <w:rsid w:val="00434B2F"/>
    <w:rsid w:val="00434B61"/>
    <w:rsid w:val="00436800"/>
    <w:rsid w:val="00436816"/>
    <w:rsid w:val="004370D8"/>
    <w:rsid w:val="004376A1"/>
    <w:rsid w:val="00437961"/>
    <w:rsid w:val="00440928"/>
    <w:rsid w:val="00440BED"/>
    <w:rsid w:val="004411E9"/>
    <w:rsid w:val="00441BA1"/>
    <w:rsid w:val="004420AD"/>
    <w:rsid w:val="00443224"/>
    <w:rsid w:val="0044337F"/>
    <w:rsid w:val="004437C5"/>
    <w:rsid w:val="0044409B"/>
    <w:rsid w:val="004444F6"/>
    <w:rsid w:val="00444713"/>
    <w:rsid w:val="00444BA9"/>
    <w:rsid w:val="00444C51"/>
    <w:rsid w:val="00444CCE"/>
    <w:rsid w:val="0044534D"/>
    <w:rsid w:val="00446E0B"/>
    <w:rsid w:val="00446F44"/>
    <w:rsid w:val="00447086"/>
    <w:rsid w:val="004475B6"/>
    <w:rsid w:val="00447D54"/>
    <w:rsid w:val="00450711"/>
    <w:rsid w:val="00450CE8"/>
    <w:rsid w:val="00451612"/>
    <w:rsid w:val="0045263F"/>
    <w:rsid w:val="004530BD"/>
    <w:rsid w:val="00453DB1"/>
    <w:rsid w:val="004544A5"/>
    <w:rsid w:val="0045455B"/>
    <w:rsid w:val="004548C2"/>
    <w:rsid w:val="00454A35"/>
    <w:rsid w:val="00455644"/>
    <w:rsid w:val="00455C16"/>
    <w:rsid w:val="00455C2A"/>
    <w:rsid w:val="004571F7"/>
    <w:rsid w:val="004573B7"/>
    <w:rsid w:val="0045777A"/>
    <w:rsid w:val="00457B83"/>
    <w:rsid w:val="0046008B"/>
    <w:rsid w:val="0046024D"/>
    <w:rsid w:val="00460297"/>
    <w:rsid w:val="004617C1"/>
    <w:rsid w:val="004617DB"/>
    <w:rsid w:val="00461B7F"/>
    <w:rsid w:val="00461D64"/>
    <w:rsid w:val="00462065"/>
    <w:rsid w:val="00462458"/>
    <w:rsid w:val="0046283A"/>
    <w:rsid w:val="004630C4"/>
    <w:rsid w:val="00463177"/>
    <w:rsid w:val="00463C99"/>
    <w:rsid w:val="00464BC6"/>
    <w:rsid w:val="00464FDC"/>
    <w:rsid w:val="00465236"/>
    <w:rsid w:val="004654D6"/>
    <w:rsid w:val="0046655F"/>
    <w:rsid w:val="004669A1"/>
    <w:rsid w:val="004674EA"/>
    <w:rsid w:val="00467542"/>
    <w:rsid w:val="00467AC0"/>
    <w:rsid w:val="00467F7D"/>
    <w:rsid w:val="0047034B"/>
    <w:rsid w:val="00471557"/>
    <w:rsid w:val="00471573"/>
    <w:rsid w:val="004719E2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0908"/>
    <w:rsid w:val="004816F5"/>
    <w:rsid w:val="00482248"/>
    <w:rsid w:val="00482F4E"/>
    <w:rsid w:val="004830F5"/>
    <w:rsid w:val="00483238"/>
    <w:rsid w:val="004837CA"/>
    <w:rsid w:val="004839C5"/>
    <w:rsid w:val="00483D20"/>
    <w:rsid w:val="00484482"/>
    <w:rsid w:val="00484774"/>
    <w:rsid w:val="004848EF"/>
    <w:rsid w:val="00485655"/>
    <w:rsid w:val="00485F4E"/>
    <w:rsid w:val="004860E6"/>
    <w:rsid w:val="00486F4F"/>
    <w:rsid w:val="004876DA"/>
    <w:rsid w:val="00487856"/>
    <w:rsid w:val="0049067F"/>
    <w:rsid w:val="004910DE"/>
    <w:rsid w:val="004911FF"/>
    <w:rsid w:val="004916C0"/>
    <w:rsid w:val="00491D04"/>
    <w:rsid w:val="00491EDD"/>
    <w:rsid w:val="004922D4"/>
    <w:rsid w:val="00492BB1"/>
    <w:rsid w:val="00492DE8"/>
    <w:rsid w:val="0049302E"/>
    <w:rsid w:val="00493595"/>
    <w:rsid w:val="00493A3A"/>
    <w:rsid w:val="00493C39"/>
    <w:rsid w:val="00493F84"/>
    <w:rsid w:val="004946BD"/>
    <w:rsid w:val="00495917"/>
    <w:rsid w:val="00496899"/>
    <w:rsid w:val="0049743C"/>
    <w:rsid w:val="0049781C"/>
    <w:rsid w:val="004A1529"/>
    <w:rsid w:val="004A257E"/>
    <w:rsid w:val="004A378B"/>
    <w:rsid w:val="004A3D2E"/>
    <w:rsid w:val="004A425C"/>
    <w:rsid w:val="004A47C0"/>
    <w:rsid w:val="004A4B22"/>
    <w:rsid w:val="004A5764"/>
    <w:rsid w:val="004A5D5C"/>
    <w:rsid w:val="004A612B"/>
    <w:rsid w:val="004A6D6F"/>
    <w:rsid w:val="004A75C5"/>
    <w:rsid w:val="004A7BB6"/>
    <w:rsid w:val="004B0767"/>
    <w:rsid w:val="004B07C7"/>
    <w:rsid w:val="004B0B2A"/>
    <w:rsid w:val="004B14F2"/>
    <w:rsid w:val="004B184A"/>
    <w:rsid w:val="004B24E8"/>
    <w:rsid w:val="004B2B22"/>
    <w:rsid w:val="004B325D"/>
    <w:rsid w:val="004B3ACE"/>
    <w:rsid w:val="004B40EF"/>
    <w:rsid w:val="004B5295"/>
    <w:rsid w:val="004B5433"/>
    <w:rsid w:val="004B5898"/>
    <w:rsid w:val="004B7112"/>
    <w:rsid w:val="004B7BE8"/>
    <w:rsid w:val="004C01C7"/>
    <w:rsid w:val="004C029C"/>
    <w:rsid w:val="004C0943"/>
    <w:rsid w:val="004C12F3"/>
    <w:rsid w:val="004C175D"/>
    <w:rsid w:val="004C1F81"/>
    <w:rsid w:val="004C2622"/>
    <w:rsid w:val="004C28BA"/>
    <w:rsid w:val="004C2A42"/>
    <w:rsid w:val="004C33BB"/>
    <w:rsid w:val="004C4E9A"/>
    <w:rsid w:val="004C4ECE"/>
    <w:rsid w:val="004C513E"/>
    <w:rsid w:val="004C5B0F"/>
    <w:rsid w:val="004C6117"/>
    <w:rsid w:val="004C630F"/>
    <w:rsid w:val="004C6DBB"/>
    <w:rsid w:val="004C7F8A"/>
    <w:rsid w:val="004D1BB9"/>
    <w:rsid w:val="004D211C"/>
    <w:rsid w:val="004D2132"/>
    <w:rsid w:val="004D2343"/>
    <w:rsid w:val="004D313E"/>
    <w:rsid w:val="004D33BB"/>
    <w:rsid w:val="004D3D72"/>
    <w:rsid w:val="004D4754"/>
    <w:rsid w:val="004D5904"/>
    <w:rsid w:val="004D5F39"/>
    <w:rsid w:val="004D64DB"/>
    <w:rsid w:val="004D6685"/>
    <w:rsid w:val="004D68FA"/>
    <w:rsid w:val="004D696A"/>
    <w:rsid w:val="004D7152"/>
    <w:rsid w:val="004D7632"/>
    <w:rsid w:val="004D7AAA"/>
    <w:rsid w:val="004E0C2D"/>
    <w:rsid w:val="004E1046"/>
    <w:rsid w:val="004E1730"/>
    <w:rsid w:val="004E1854"/>
    <w:rsid w:val="004E1B0C"/>
    <w:rsid w:val="004E1CBD"/>
    <w:rsid w:val="004E1CC5"/>
    <w:rsid w:val="004E29FF"/>
    <w:rsid w:val="004E366A"/>
    <w:rsid w:val="004E5205"/>
    <w:rsid w:val="004E597A"/>
    <w:rsid w:val="004E5982"/>
    <w:rsid w:val="004E60F0"/>
    <w:rsid w:val="004E69A2"/>
    <w:rsid w:val="004E6B6B"/>
    <w:rsid w:val="004E6DC8"/>
    <w:rsid w:val="004E7019"/>
    <w:rsid w:val="004E7424"/>
    <w:rsid w:val="004E7B17"/>
    <w:rsid w:val="004E7F8C"/>
    <w:rsid w:val="004F11FF"/>
    <w:rsid w:val="004F1F22"/>
    <w:rsid w:val="004F2641"/>
    <w:rsid w:val="004F31D6"/>
    <w:rsid w:val="004F3D42"/>
    <w:rsid w:val="004F4131"/>
    <w:rsid w:val="004F43F0"/>
    <w:rsid w:val="004F4520"/>
    <w:rsid w:val="004F4558"/>
    <w:rsid w:val="004F53E7"/>
    <w:rsid w:val="004F63C0"/>
    <w:rsid w:val="0050200C"/>
    <w:rsid w:val="005025ED"/>
    <w:rsid w:val="00502607"/>
    <w:rsid w:val="005026F5"/>
    <w:rsid w:val="00502DA2"/>
    <w:rsid w:val="00502F5B"/>
    <w:rsid w:val="0050306E"/>
    <w:rsid w:val="0050316B"/>
    <w:rsid w:val="0050361C"/>
    <w:rsid w:val="005042DF"/>
    <w:rsid w:val="00504BB7"/>
    <w:rsid w:val="00505831"/>
    <w:rsid w:val="005065AB"/>
    <w:rsid w:val="005067A7"/>
    <w:rsid w:val="00506A77"/>
    <w:rsid w:val="00506D22"/>
    <w:rsid w:val="00507A39"/>
    <w:rsid w:val="00507C60"/>
    <w:rsid w:val="005105FC"/>
    <w:rsid w:val="005109DF"/>
    <w:rsid w:val="005122CD"/>
    <w:rsid w:val="00512723"/>
    <w:rsid w:val="0051370C"/>
    <w:rsid w:val="00513B71"/>
    <w:rsid w:val="00513F91"/>
    <w:rsid w:val="00514C88"/>
    <w:rsid w:val="00515C2D"/>
    <w:rsid w:val="00516BA9"/>
    <w:rsid w:val="00516E2E"/>
    <w:rsid w:val="0052046F"/>
    <w:rsid w:val="005205BC"/>
    <w:rsid w:val="005208FE"/>
    <w:rsid w:val="005210A8"/>
    <w:rsid w:val="005213C3"/>
    <w:rsid w:val="005213E5"/>
    <w:rsid w:val="00521A60"/>
    <w:rsid w:val="00521E21"/>
    <w:rsid w:val="00522BA7"/>
    <w:rsid w:val="005234AF"/>
    <w:rsid w:val="00523693"/>
    <w:rsid w:val="00523927"/>
    <w:rsid w:val="00524143"/>
    <w:rsid w:val="005245D6"/>
    <w:rsid w:val="00524CB2"/>
    <w:rsid w:val="00526189"/>
    <w:rsid w:val="00526621"/>
    <w:rsid w:val="00526F17"/>
    <w:rsid w:val="00527785"/>
    <w:rsid w:val="00527BC9"/>
    <w:rsid w:val="00530CDE"/>
    <w:rsid w:val="00531339"/>
    <w:rsid w:val="005313B6"/>
    <w:rsid w:val="005315F7"/>
    <w:rsid w:val="0053162E"/>
    <w:rsid w:val="00531CCD"/>
    <w:rsid w:val="005327E7"/>
    <w:rsid w:val="00532DDE"/>
    <w:rsid w:val="0053481F"/>
    <w:rsid w:val="00534B6F"/>
    <w:rsid w:val="00534D5C"/>
    <w:rsid w:val="0053543D"/>
    <w:rsid w:val="005359B8"/>
    <w:rsid w:val="00536030"/>
    <w:rsid w:val="00537319"/>
    <w:rsid w:val="00540790"/>
    <w:rsid w:val="005408C0"/>
    <w:rsid w:val="00540E7C"/>
    <w:rsid w:val="00541101"/>
    <w:rsid w:val="0054135A"/>
    <w:rsid w:val="0054204C"/>
    <w:rsid w:val="0054218E"/>
    <w:rsid w:val="00542666"/>
    <w:rsid w:val="00542B18"/>
    <w:rsid w:val="00543423"/>
    <w:rsid w:val="00543AA7"/>
    <w:rsid w:val="00544A33"/>
    <w:rsid w:val="00546DC4"/>
    <w:rsid w:val="00547A72"/>
    <w:rsid w:val="00547E18"/>
    <w:rsid w:val="00550AB4"/>
    <w:rsid w:val="00551177"/>
    <w:rsid w:val="0055128C"/>
    <w:rsid w:val="00551935"/>
    <w:rsid w:val="005524A0"/>
    <w:rsid w:val="00553019"/>
    <w:rsid w:val="005536D5"/>
    <w:rsid w:val="00553A28"/>
    <w:rsid w:val="00553C3E"/>
    <w:rsid w:val="00554024"/>
    <w:rsid w:val="00554B56"/>
    <w:rsid w:val="00555D9B"/>
    <w:rsid w:val="00556253"/>
    <w:rsid w:val="00556F6D"/>
    <w:rsid w:val="00557374"/>
    <w:rsid w:val="00557537"/>
    <w:rsid w:val="005577E9"/>
    <w:rsid w:val="0056018C"/>
    <w:rsid w:val="0056031C"/>
    <w:rsid w:val="00560396"/>
    <w:rsid w:val="00561371"/>
    <w:rsid w:val="00561A36"/>
    <w:rsid w:val="00562708"/>
    <w:rsid w:val="00562999"/>
    <w:rsid w:val="00562C47"/>
    <w:rsid w:val="005632C4"/>
    <w:rsid w:val="00563362"/>
    <w:rsid w:val="00563389"/>
    <w:rsid w:val="00564C79"/>
    <w:rsid w:val="00564CDE"/>
    <w:rsid w:val="00565FA5"/>
    <w:rsid w:val="0056771E"/>
    <w:rsid w:val="0057001B"/>
    <w:rsid w:val="00570573"/>
    <w:rsid w:val="00570D25"/>
    <w:rsid w:val="005710A7"/>
    <w:rsid w:val="0057177B"/>
    <w:rsid w:val="00571C86"/>
    <w:rsid w:val="00572027"/>
    <w:rsid w:val="005729AD"/>
    <w:rsid w:val="00573331"/>
    <w:rsid w:val="005758BF"/>
    <w:rsid w:val="00575F2A"/>
    <w:rsid w:val="0058069E"/>
    <w:rsid w:val="00581EDA"/>
    <w:rsid w:val="0058250E"/>
    <w:rsid w:val="005827A7"/>
    <w:rsid w:val="005829DC"/>
    <w:rsid w:val="005829E0"/>
    <w:rsid w:val="00584BA9"/>
    <w:rsid w:val="00586368"/>
    <w:rsid w:val="00587A0E"/>
    <w:rsid w:val="00587D2A"/>
    <w:rsid w:val="00590491"/>
    <w:rsid w:val="00590690"/>
    <w:rsid w:val="00591B56"/>
    <w:rsid w:val="005922B7"/>
    <w:rsid w:val="00592339"/>
    <w:rsid w:val="00592C53"/>
    <w:rsid w:val="00592C9A"/>
    <w:rsid w:val="00592FC4"/>
    <w:rsid w:val="0059310B"/>
    <w:rsid w:val="00594308"/>
    <w:rsid w:val="00594445"/>
    <w:rsid w:val="00594D93"/>
    <w:rsid w:val="00595646"/>
    <w:rsid w:val="00595EE0"/>
    <w:rsid w:val="00595F8E"/>
    <w:rsid w:val="00596201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5897"/>
    <w:rsid w:val="005A6A2F"/>
    <w:rsid w:val="005A6D4A"/>
    <w:rsid w:val="005A7343"/>
    <w:rsid w:val="005A7DF4"/>
    <w:rsid w:val="005B0531"/>
    <w:rsid w:val="005B0598"/>
    <w:rsid w:val="005B083B"/>
    <w:rsid w:val="005B0912"/>
    <w:rsid w:val="005B17DC"/>
    <w:rsid w:val="005B39A3"/>
    <w:rsid w:val="005B3EB5"/>
    <w:rsid w:val="005B4B79"/>
    <w:rsid w:val="005B4ED8"/>
    <w:rsid w:val="005B5D14"/>
    <w:rsid w:val="005B6141"/>
    <w:rsid w:val="005B62C6"/>
    <w:rsid w:val="005B75A5"/>
    <w:rsid w:val="005C0464"/>
    <w:rsid w:val="005C0ADB"/>
    <w:rsid w:val="005C0C84"/>
    <w:rsid w:val="005C0DD9"/>
    <w:rsid w:val="005C0E71"/>
    <w:rsid w:val="005C0FDA"/>
    <w:rsid w:val="005C10AE"/>
    <w:rsid w:val="005C1596"/>
    <w:rsid w:val="005C22CA"/>
    <w:rsid w:val="005C26EF"/>
    <w:rsid w:val="005C307D"/>
    <w:rsid w:val="005C3274"/>
    <w:rsid w:val="005C354D"/>
    <w:rsid w:val="005C356B"/>
    <w:rsid w:val="005C4616"/>
    <w:rsid w:val="005C48D0"/>
    <w:rsid w:val="005C4D75"/>
    <w:rsid w:val="005C4F1D"/>
    <w:rsid w:val="005C561B"/>
    <w:rsid w:val="005C5CCB"/>
    <w:rsid w:val="005C6EE1"/>
    <w:rsid w:val="005C732A"/>
    <w:rsid w:val="005C76C4"/>
    <w:rsid w:val="005C7DF4"/>
    <w:rsid w:val="005C7ECF"/>
    <w:rsid w:val="005D0048"/>
    <w:rsid w:val="005D07E1"/>
    <w:rsid w:val="005D0C07"/>
    <w:rsid w:val="005D0E7B"/>
    <w:rsid w:val="005D119C"/>
    <w:rsid w:val="005D14DE"/>
    <w:rsid w:val="005D1706"/>
    <w:rsid w:val="005D2081"/>
    <w:rsid w:val="005D208D"/>
    <w:rsid w:val="005D2A73"/>
    <w:rsid w:val="005D2D46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022"/>
    <w:rsid w:val="005D7A0B"/>
    <w:rsid w:val="005E000E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E57A1"/>
    <w:rsid w:val="005F1EF0"/>
    <w:rsid w:val="005F2C4F"/>
    <w:rsid w:val="005F38CB"/>
    <w:rsid w:val="005F4C65"/>
    <w:rsid w:val="005F4C89"/>
    <w:rsid w:val="005F538C"/>
    <w:rsid w:val="005F62A5"/>
    <w:rsid w:val="005F7255"/>
    <w:rsid w:val="0060033E"/>
    <w:rsid w:val="006005D1"/>
    <w:rsid w:val="00601389"/>
    <w:rsid w:val="00601E18"/>
    <w:rsid w:val="00602422"/>
    <w:rsid w:val="006024B7"/>
    <w:rsid w:val="00602E9A"/>
    <w:rsid w:val="00603713"/>
    <w:rsid w:val="00603FFB"/>
    <w:rsid w:val="00604067"/>
    <w:rsid w:val="00604F6E"/>
    <w:rsid w:val="00605280"/>
    <w:rsid w:val="0060541E"/>
    <w:rsid w:val="006068F5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9A9"/>
    <w:rsid w:val="00616FE6"/>
    <w:rsid w:val="0061760A"/>
    <w:rsid w:val="00617941"/>
    <w:rsid w:val="0061797B"/>
    <w:rsid w:val="00617AC2"/>
    <w:rsid w:val="0062000C"/>
    <w:rsid w:val="0062039E"/>
    <w:rsid w:val="0062095D"/>
    <w:rsid w:val="00620D7A"/>
    <w:rsid w:val="0062301A"/>
    <w:rsid w:val="00623185"/>
    <w:rsid w:val="006238E4"/>
    <w:rsid w:val="006238FB"/>
    <w:rsid w:val="00624992"/>
    <w:rsid w:val="006267D4"/>
    <w:rsid w:val="0063002D"/>
    <w:rsid w:val="006312DD"/>
    <w:rsid w:val="00631503"/>
    <w:rsid w:val="0063181E"/>
    <w:rsid w:val="0063194D"/>
    <w:rsid w:val="00631E00"/>
    <w:rsid w:val="006328E1"/>
    <w:rsid w:val="00632A48"/>
    <w:rsid w:val="00632FEE"/>
    <w:rsid w:val="00634930"/>
    <w:rsid w:val="00635064"/>
    <w:rsid w:val="0063521B"/>
    <w:rsid w:val="006352A4"/>
    <w:rsid w:val="0063543C"/>
    <w:rsid w:val="0063699B"/>
    <w:rsid w:val="006374B0"/>
    <w:rsid w:val="006403E8"/>
    <w:rsid w:val="006406FF"/>
    <w:rsid w:val="00640F92"/>
    <w:rsid w:val="00641355"/>
    <w:rsid w:val="006423CF"/>
    <w:rsid w:val="006426FF"/>
    <w:rsid w:val="00642A98"/>
    <w:rsid w:val="00642EE5"/>
    <w:rsid w:val="00644304"/>
    <w:rsid w:val="00644CA0"/>
    <w:rsid w:val="006451DC"/>
    <w:rsid w:val="00645EF3"/>
    <w:rsid w:val="006475B1"/>
    <w:rsid w:val="0065052F"/>
    <w:rsid w:val="00650DE6"/>
    <w:rsid w:val="006517B1"/>
    <w:rsid w:val="0065202F"/>
    <w:rsid w:val="006524CD"/>
    <w:rsid w:val="00653A58"/>
    <w:rsid w:val="0065430A"/>
    <w:rsid w:val="006544A2"/>
    <w:rsid w:val="00654888"/>
    <w:rsid w:val="0065528C"/>
    <w:rsid w:val="006562AF"/>
    <w:rsid w:val="00656515"/>
    <w:rsid w:val="0065693D"/>
    <w:rsid w:val="00657533"/>
    <w:rsid w:val="006577C1"/>
    <w:rsid w:val="006578A4"/>
    <w:rsid w:val="00660503"/>
    <w:rsid w:val="006610C7"/>
    <w:rsid w:val="00661BE6"/>
    <w:rsid w:val="00662B29"/>
    <w:rsid w:val="00663349"/>
    <w:rsid w:val="00663F14"/>
    <w:rsid w:val="006640AF"/>
    <w:rsid w:val="00664695"/>
    <w:rsid w:val="00664DDD"/>
    <w:rsid w:val="006652E3"/>
    <w:rsid w:val="0066544D"/>
    <w:rsid w:val="00665C39"/>
    <w:rsid w:val="00665CBD"/>
    <w:rsid w:val="00670184"/>
    <w:rsid w:val="0067088C"/>
    <w:rsid w:val="00670985"/>
    <w:rsid w:val="00670A4E"/>
    <w:rsid w:val="00671C97"/>
    <w:rsid w:val="00671E95"/>
    <w:rsid w:val="006721A3"/>
    <w:rsid w:val="006726B2"/>
    <w:rsid w:val="00672799"/>
    <w:rsid w:val="0067283E"/>
    <w:rsid w:val="00672FD1"/>
    <w:rsid w:val="00673138"/>
    <w:rsid w:val="0067313B"/>
    <w:rsid w:val="00673679"/>
    <w:rsid w:val="00673753"/>
    <w:rsid w:val="00675295"/>
    <w:rsid w:val="00675E10"/>
    <w:rsid w:val="006769C7"/>
    <w:rsid w:val="00676AB8"/>
    <w:rsid w:val="00676C34"/>
    <w:rsid w:val="00677235"/>
    <w:rsid w:val="00680170"/>
    <w:rsid w:val="006808A6"/>
    <w:rsid w:val="00680EC7"/>
    <w:rsid w:val="00681356"/>
    <w:rsid w:val="00682194"/>
    <w:rsid w:val="006822D7"/>
    <w:rsid w:val="00682D57"/>
    <w:rsid w:val="006840E0"/>
    <w:rsid w:val="00685747"/>
    <w:rsid w:val="0068589B"/>
    <w:rsid w:val="00685E9A"/>
    <w:rsid w:val="00686194"/>
    <w:rsid w:val="00687C5E"/>
    <w:rsid w:val="00687FDC"/>
    <w:rsid w:val="0069038C"/>
    <w:rsid w:val="006908F6"/>
    <w:rsid w:val="00690A5D"/>
    <w:rsid w:val="0069381D"/>
    <w:rsid w:val="006946B2"/>
    <w:rsid w:val="00694DBB"/>
    <w:rsid w:val="00694E99"/>
    <w:rsid w:val="00695BA6"/>
    <w:rsid w:val="00695D8B"/>
    <w:rsid w:val="0069676F"/>
    <w:rsid w:val="0069729F"/>
    <w:rsid w:val="00697C52"/>
    <w:rsid w:val="006A03CE"/>
    <w:rsid w:val="006A0A11"/>
    <w:rsid w:val="006A108F"/>
    <w:rsid w:val="006A3377"/>
    <w:rsid w:val="006A3AFA"/>
    <w:rsid w:val="006A3DDC"/>
    <w:rsid w:val="006A4E16"/>
    <w:rsid w:val="006A60FC"/>
    <w:rsid w:val="006A69F6"/>
    <w:rsid w:val="006A74F8"/>
    <w:rsid w:val="006B0167"/>
    <w:rsid w:val="006B0283"/>
    <w:rsid w:val="006B0A2D"/>
    <w:rsid w:val="006B2120"/>
    <w:rsid w:val="006B2423"/>
    <w:rsid w:val="006B2A0B"/>
    <w:rsid w:val="006B302E"/>
    <w:rsid w:val="006B340D"/>
    <w:rsid w:val="006B440B"/>
    <w:rsid w:val="006B5457"/>
    <w:rsid w:val="006B58F6"/>
    <w:rsid w:val="006B62E0"/>
    <w:rsid w:val="006B7816"/>
    <w:rsid w:val="006B7F4C"/>
    <w:rsid w:val="006C036F"/>
    <w:rsid w:val="006C0718"/>
    <w:rsid w:val="006C1E0C"/>
    <w:rsid w:val="006C26E1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D0AE4"/>
    <w:rsid w:val="006D0BBE"/>
    <w:rsid w:val="006D0CCA"/>
    <w:rsid w:val="006D1860"/>
    <w:rsid w:val="006D1DDA"/>
    <w:rsid w:val="006D202A"/>
    <w:rsid w:val="006D22AC"/>
    <w:rsid w:val="006D313A"/>
    <w:rsid w:val="006D3437"/>
    <w:rsid w:val="006D3724"/>
    <w:rsid w:val="006D3812"/>
    <w:rsid w:val="006D3F47"/>
    <w:rsid w:val="006D3F8C"/>
    <w:rsid w:val="006D5195"/>
    <w:rsid w:val="006D5AD8"/>
    <w:rsid w:val="006D63A8"/>
    <w:rsid w:val="006D67C1"/>
    <w:rsid w:val="006D69C8"/>
    <w:rsid w:val="006D6B90"/>
    <w:rsid w:val="006D6F44"/>
    <w:rsid w:val="006D6FF9"/>
    <w:rsid w:val="006D76CD"/>
    <w:rsid w:val="006D7923"/>
    <w:rsid w:val="006E01BA"/>
    <w:rsid w:val="006E047B"/>
    <w:rsid w:val="006E08C1"/>
    <w:rsid w:val="006E0A34"/>
    <w:rsid w:val="006E0D76"/>
    <w:rsid w:val="006E0FDB"/>
    <w:rsid w:val="006E153A"/>
    <w:rsid w:val="006E1BB8"/>
    <w:rsid w:val="006E1C2C"/>
    <w:rsid w:val="006E1FF1"/>
    <w:rsid w:val="006E277A"/>
    <w:rsid w:val="006E284A"/>
    <w:rsid w:val="006E2FA9"/>
    <w:rsid w:val="006E3347"/>
    <w:rsid w:val="006E38E0"/>
    <w:rsid w:val="006E3BA6"/>
    <w:rsid w:val="006E406F"/>
    <w:rsid w:val="006E4D58"/>
    <w:rsid w:val="006E6301"/>
    <w:rsid w:val="006E6E66"/>
    <w:rsid w:val="006E71E7"/>
    <w:rsid w:val="006E7526"/>
    <w:rsid w:val="006F02F7"/>
    <w:rsid w:val="006F057E"/>
    <w:rsid w:val="006F05E3"/>
    <w:rsid w:val="006F0781"/>
    <w:rsid w:val="006F09F8"/>
    <w:rsid w:val="006F126F"/>
    <w:rsid w:val="006F191F"/>
    <w:rsid w:val="006F19ED"/>
    <w:rsid w:val="006F1AAC"/>
    <w:rsid w:val="006F1B0C"/>
    <w:rsid w:val="006F2CC7"/>
    <w:rsid w:val="006F2FB0"/>
    <w:rsid w:val="006F32EF"/>
    <w:rsid w:val="006F3381"/>
    <w:rsid w:val="006F3F52"/>
    <w:rsid w:val="006F577D"/>
    <w:rsid w:val="006F58DB"/>
    <w:rsid w:val="006F5BFB"/>
    <w:rsid w:val="006F5C34"/>
    <w:rsid w:val="006F6E04"/>
    <w:rsid w:val="006F70AE"/>
    <w:rsid w:val="006F794E"/>
    <w:rsid w:val="006F7DB1"/>
    <w:rsid w:val="00700924"/>
    <w:rsid w:val="0070233A"/>
    <w:rsid w:val="00703335"/>
    <w:rsid w:val="00703E31"/>
    <w:rsid w:val="00703FAB"/>
    <w:rsid w:val="00704171"/>
    <w:rsid w:val="00704532"/>
    <w:rsid w:val="007053B0"/>
    <w:rsid w:val="00705884"/>
    <w:rsid w:val="007058AC"/>
    <w:rsid w:val="00706187"/>
    <w:rsid w:val="00706329"/>
    <w:rsid w:val="0070667D"/>
    <w:rsid w:val="00710306"/>
    <w:rsid w:val="00711693"/>
    <w:rsid w:val="00711B8F"/>
    <w:rsid w:val="0071210C"/>
    <w:rsid w:val="0071241C"/>
    <w:rsid w:val="00714BAE"/>
    <w:rsid w:val="007153E0"/>
    <w:rsid w:val="00715973"/>
    <w:rsid w:val="00715AD1"/>
    <w:rsid w:val="007162B9"/>
    <w:rsid w:val="00716534"/>
    <w:rsid w:val="00716904"/>
    <w:rsid w:val="00716B81"/>
    <w:rsid w:val="00717096"/>
    <w:rsid w:val="0072077A"/>
    <w:rsid w:val="00720BF1"/>
    <w:rsid w:val="00720C4A"/>
    <w:rsid w:val="007218AF"/>
    <w:rsid w:val="00721E93"/>
    <w:rsid w:val="0072306C"/>
    <w:rsid w:val="00723948"/>
    <w:rsid w:val="007244E4"/>
    <w:rsid w:val="00724DB6"/>
    <w:rsid w:val="0072531C"/>
    <w:rsid w:val="007253DD"/>
    <w:rsid w:val="00725B16"/>
    <w:rsid w:val="00725BE7"/>
    <w:rsid w:val="007261CF"/>
    <w:rsid w:val="007270AA"/>
    <w:rsid w:val="007273B9"/>
    <w:rsid w:val="00730F38"/>
    <w:rsid w:val="00731B8E"/>
    <w:rsid w:val="00731FAF"/>
    <w:rsid w:val="0073263C"/>
    <w:rsid w:val="007327DC"/>
    <w:rsid w:val="00733C1E"/>
    <w:rsid w:val="00734452"/>
    <w:rsid w:val="00734EB3"/>
    <w:rsid w:val="007358BD"/>
    <w:rsid w:val="00736775"/>
    <w:rsid w:val="007370F9"/>
    <w:rsid w:val="007409EF"/>
    <w:rsid w:val="00741000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716"/>
    <w:rsid w:val="007518AC"/>
    <w:rsid w:val="00752E3A"/>
    <w:rsid w:val="007540D6"/>
    <w:rsid w:val="00754AA0"/>
    <w:rsid w:val="00754EBA"/>
    <w:rsid w:val="00755471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23F"/>
    <w:rsid w:val="0076485B"/>
    <w:rsid w:val="00764A0A"/>
    <w:rsid w:val="007651CD"/>
    <w:rsid w:val="0076540B"/>
    <w:rsid w:val="0076566A"/>
    <w:rsid w:val="00765BFE"/>
    <w:rsid w:val="00766361"/>
    <w:rsid w:val="007663AE"/>
    <w:rsid w:val="00766C85"/>
    <w:rsid w:val="00766D35"/>
    <w:rsid w:val="00767CA2"/>
    <w:rsid w:val="00767D86"/>
    <w:rsid w:val="0077064B"/>
    <w:rsid w:val="0077125F"/>
    <w:rsid w:val="00772608"/>
    <w:rsid w:val="0077476D"/>
    <w:rsid w:val="00774A00"/>
    <w:rsid w:val="00774C01"/>
    <w:rsid w:val="00774CC6"/>
    <w:rsid w:val="00774DE7"/>
    <w:rsid w:val="007750D6"/>
    <w:rsid w:val="0077551D"/>
    <w:rsid w:val="00775CAB"/>
    <w:rsid w:val="00775D5E"/>
    <w:rsid w:val="007769CB"/>
    <w:rsid w:val="00776E53"/>
    <w:rsid w:val="00777279"/>
    <w:rsid w:val="00781063"/>
    <w:rsid w:val="0078179A"/>
    <w:rsid w:val="00781C63"/>
    <w:rsid w:val="007826D6"/>
    <w:rsid w:val="00782ACB"/>
    <w:rsid w:val="00782ECF"/>
    <w:rsid w:val="007831EE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D71"/>
    <w:rsid w:val="00785E6C"/>
    <w:rsid w:val="0078645B"/>
    <w:rsid w:val="0079059D"/>
    <w:rsid w:val="00792F53"/>
    <w:rsid w:val="00794343"/>
    <w:rsid w:val="00794658"/>
    <w:rsid w:val="00794AA2"/>
    <w:rsid w:val="00794CA1"/>
    <w:rsid w:val="00794F08"/>
    <w:rsid w:val="007955A4"/>
    <w:rsid w:val="00795879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C0F"/>
    <w:rsid w:val="007A179D"/>
    <w:rsid w:val="007A1BA8"/>
    <w:rsid w:val="007A220F"/>
    <w:rsid w:val="007A2844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B0077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FD"/>
    <w:rsid w:val="007B5CD4"/>
    <w:rsid w:val="007B6861"/>
    <w:rsid w:val="007C0073"/>
    <w:rsid w:val="007C0B54"/>
    <w:rsid w:val="007C1030"/>
    <w:rsid w:val="007C161B"/>
    <w:rsid w:val="007C2805"/>
    <w:rsid w:val="007C2B07"/>
    <w:rsid w:val="007C3758"/>
    <w:rsid w:val="007C48A1"/>
    <w:rsid w:val="007C4AD3"/>
    <w:rsid w:val="007C4C86"/>
    <w:rsid w:val="007C4CE8"/>
    <w:rsid w:val="007C5255"/>
    <w:rsid w:val="007C57EE"/>
    <w:rsid w:val="007C6DD1"/>
    <w:rsid w:val="007C7313"/>
    <w:rsid w:val="007C7735"/>
    <w:rsid w:val="007C7ABB"/>
    <w:rsid w:val="007C7DC3"/>
    <w:rsid w:val="007C7E23"/>
    <w:rsid w:val="007D012C"/>
    <w:rsid w:val="007D02D9"/>
    <w:rsid w:val="007D044C"/>
    <w:rsid w:val="007D09A4"/>
    <w:rsid w:val="007D0EE4"/>
    <w:rsid w:val="007D19EB"/>
    <w:rsid w:val="007D1D1D"/>
    <w:rsid w:val="007D1E54"/>
    <w:rsid w:val="007D1F08"/>
    <w:rsid w:val="007D42ED"/>
    <w:rsid w:val="007D491A"/>
    <w:rsid w:val="007D4AE2"/>
    <w:rsid w:val="007D50AE"/>
    <w:rsid w:val="007D543E"/>
    <w:rsid w:val="007D55C2"/>
    <w:rsid w:val="007D5620"/>
    <w:rsid w:val="007D57F4"/>
    <w:rsid w:val="007D5C9A"/>
    <w:rsid w:val="007D6E7B"/>
    <w:rsid w:val="007D72CD"/>
    <w:rsid w:val="007D78D0"/>
    <w:rsid w:val="007E0142"/>
    <w:rsid w:val="007E0DBE"/>
    <w:rsid w:val="007E113E"/>
    <w:rsid w:val="007E15CE"/>
    <w:rsid w:val="007E2494"/>
    <w:rsid w:val="007E24CD"/>
    <w:rsid w:val="007E2953"/>
    <w:rsid w:val="007E3487"/>
    <w:rsid w:val="007E34CA"/>
    <w:rsid w:val="007E38C2"/>
    <w:rsid w:val="007E3917"/>
    <w:rsid w:val="007E3E92"/>
    <w:rsid w:val="007E3F41"/>
    <w:rsid w:val="007E3FCD"/>
    <w:rsid w:val="007E43E5"/>
    <w:rsid w:val="007E4EE4"/>
    <w:rsid w:val="007E5BA8"/>
    <w:rsid w:val="007E60C5"/>
    <w:rsid w:val="007E63B6"/>
    <w:rsid w:val="007E6EC9"/>
    <w:rsid w:val="007E7D2B"/>
    <w:rsid w:val="007F0312"/>
    <w:rsid w:val="007F052C"/>
    <w:rsid w:val="007F0B9E"/>
    <w:rsid w:val="007F0BA1"/>
    <w:rsid w:val="007F1F58"/>
    <w:rsid w:val="007F1FB1"/>
    <w:rsid w:val="007F4B36"/>
    <w:rsid w:val="007F4E83"/>
    <w:rsid w:val="007F5774"/>
    <w:rsid w:val="007F5AE0"/>
    <w:rsid w:val="007F5FEE"/>
    <w:rsid w:val="007F63DA"/>
    <w:rsid w:val="007F6602"/>
    <w:rsid w:val="007F6ABF"/>
    <w:rsid w:val="007F6FA6"/>
    <w:rsid w:val="007F709D"/>
    <w:rsid w:val="00800388"/>
    <w:rsid w:val="00800987"/>
    <w:rsid w:val="00801C55"/>
    <w:rsid w:val="00801E60"/>
    <w:rsid w:val="008028DC"/>
    <w:rsid w:val="0080331C"/>
    <w:rsid w:val="00803998"/>
    <w:rsid w:val="00804486"/>
    <w:rsid w:val="008045B6"/>
    <w:rsid w:val="008046F9"/>
    <w:rsid w:val="008047D7"/>
    <w:rsid w:val="0080491A"/>
    <w:rsid w:val="00804DB7"/>
    <w:rsid w:val="00804DFA"/>
    <w:rsid w:val="00804E61"/>
    <w:rsid w:val="0080506C"/>
    <w:rsid w:val="0080779D"/>
    <w:rsid w:val="008110AB"/>
    <w:rsid w:val="00811536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488"/>
    <w:rsid w:val="0082075E"/>
    <w:rsid w:val="0082087F"/>
    <w:rsid w:val="00820DAF"/>
    <w:rsid w:val="00821181"/>
    <w:rsid w:val="008211F1"/>
    <w:rsid w:val="00821367"/>
    <w:rsid w:val="00821878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3C7"/>
    <w:rsid w:val="008276EF"/>
    <w:rsid w:val="00830328"/>
    <w:rsid w:val="0083079A"/>
    <w:rsid w:val="00830F9A"/>
    <w:rsid w:val="0083131E"/>
    <w:rsid w:val="00831BA6"/>
    <w:rsid w:val="008322CF"/>
    <w:rsid w:val="008324AA"/>
    <w:rsid w:val="008331C8"/>
    <w:rsid w:val="0083404D"/>
    <w:rsid w:val="00834689"/>
    <w:rsid w:val="0083500F"/>
    <w:rsid w:val="0083543B"/>
    <w:rsid w:val="00835A37"/>
    <w:rsid w:val="00835DAF"/>
    <w:rsid w:val="0083669F"/>
    <w:rsid w:val="00837154"/>
    <w:rsid w:val="00837615"/>
    <w:rsid w:val="008402A3"/>
    <w:rsid w:val="00840505"/>
    <w:rsid w:val="00840B17"/>
    <w:rsid w:val="008411FF"/>
    <w:rsid w:val="00842E88"/>
    <w:rsid w:val="008435DB"/>
    <w:rsid w:val="008444F3"/>
    <w:rsid w:val="008446CB"/>
    <w:rsid w:val="00844F9E"/>
    <w:rsid w:val="00845EAF"/>
    <w:rsid w:val="00846679"/>
    <w:rsid w:val="00846865"/>
    <w:rsid w:val="0084799D"/>
    <w:rsid w:val="008479E2"/>
    <w:rsid w:val="00847AD4"/>
    <w:rsid w:val="00847D19"/>
    <w:rsid w:val="00851C59"/>
    <w:rsid w:val="008521CA"/>
    <w:rsid w:val="00852E41"/>
    <w:rsid w:val="00852E98"/>
    <w:rsid w:val="0085320F"/>
    <w:rsid w:val="00854C1A"/>
    <w:rsid w:val="00855771"/>
    <w:rsid w:val="00855B17"/>
    <w:rsid w:val="00855FEC"/>
    <w:rsid w:val="00857FC4"/>
    <w:rsid w:val="0086004E"/>
    <w:rsid w:val="00861524"/>
    <w:rsid w:val="008618B7"/>
    <w:rsid w:val="008619CC"/>
    <w:rsid w:val="00861B23"/>
    <w:rsid w:val="0086224C"/>
    <w:rsid w:val="008624F8"/>
    <w:rsid w:val="00862B40"/>
    <w:rsid w:val="00862E61"/>
    <w:rsid w:val="00864102"/>
    <w:rsid w:val="0086490E"/>
    <w:rsid w:val="00865C8F"/>
    <w:rsid w:val="00866417"/>
    <w:rsid w:val="00866E29"/>
    <w:rsid w:val="00867185"/>
    <w:rsid w:val="00867252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428E"/>
    <w:rsid w:val="00874FDB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12D"/>
    <w:rsid w:val="0088541F"/>
    <w:rsid w:val="00885C57"/>
    <w:rsid w:val="0088628D"/>
    <w:rsid w:val="00886DD1"/>
    <w:rsid w:val="00887D4B"/>
    <w:rsid w:val="00890541"/>
    <w:rsid w:val="00890B3F"/>
    <w:rsid w:val="00890F94"/>
    <w:rsid w:val="0089138D"/>
    <w:rsid w:val="00891F12"/>
    <w:rsid w:val="00892672"/>
    <w:rsid w:val="00892CF6"/>
    <w:rsid w:val="00893201"/>
    <w:rsid w:val="00894927"/>
    <w:rsid w:val="00894C88"/>
    <w:rsid w:val="00894FBB"/>
    <w:rsid w:val="008953AC"/>
    <w:rsid w:val="00895BE4"/>
    <w:rsid w:val="008964F1"/>
    <w:rsid w:val="008967A8"/>
    <w:rsid w:val="00897587"/>
    <w:rsid w:val="00897C50"/>
    <w:rsid w:val="008A14F7"/>
    <w:rsid w:val="008A15C3"/>
    <w:rsid w:val="008A1A45"/>
    <w:rsid w:val="008A1B81"/>
    <w:rsid w:val="008A223E"/>
    <w:rsid w:val="008A23DA"/>
    <w:rsid w:val="008A548A"/>
    <w:rsid w:val="008A563D"/>
    <w:rsid w:val="008A5A5C"/>
    <w:rsid w:val="008A5BE6"/>
    <w:rsid w:val="008A5F84"/>
    <w:rsid w:val="008A6201"/>
    <w:rsid w:val="008A653B"/>
    <w:rsid w:val="008A693F"/>
    <w:rsid w:val="008A6CD6"/>
    <w:rsid w:val="008A73F3"/>
    <w:rsid w:val="008A763C"/>
    <w:rsid w:val="008A7C5D"/>
    <w:rsid w:val="008B028E"/>
    <w:rsid w:val="008B0BB6"/>
    <w:rsid w:val="008B195C"/>
    <w:rsid w:val="008B1A7C"/>
    <w:rsid w:val="008B28BD"/>
    <w:rsid w:val="008B28F3"/>
    <w:rsid w:val="008B2923"/>
    <w:rsid w:val="008B2ECA"/>
    <w:rsid w:val="008B358E"/>
    <w:rsid w:val="008B390F"/>
    <w:rsid w:val="008B3C56"/>
    <w:rsid w:val="008B3FE7"/>
    <w:rsid w:val="008B4660"/>
    <w:rsid w:val="008B4ED2"/>
    <w:rsid w:val="008B55B4"/>
    <w:rsid w:val="008B5718"/>
    <w:rsid w:val="008B5E60"/>
    <w:rsid w:val="008B6BBD"/>
    <w:rsid w:val="008B6D53"/>
    <w:rsid w:val="008B7682"/>
    <w:rsid w:val="008B77BA"/>
    <w:rsid w:val="008B7B3B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603"/>
    <w:rsid w:val="008C36D6"/>
    <w:rsid w:val="008C3774"/>
    <w:rsid w:val="008C3C14"/>
    <w:rsid w:val="008C408B"/>
    <w:rsid w:val="008C4EAF"/>
    <w:rsid w:val="008C5388"/>
    <w:rsid w:val="008D08CE"/>
    <w:rsid w:val="008D09AE"/>
    <w:rsid w:val="008D09E7"/>
    <w:rsid w:val="008D0A34"/>
    <w:rsid w:val="008D130A"/>
    <w:rsid w:val="008D2453"/>
    <w:rsid w:val="008D28ED"/>
    <w:rsid w:val="008D46A9"/>
    <w:rsid w:val="008D6DD0"/>
    <w:rsid w:val="008D7517"/>
    <w:rsid w:val="008E03AF"/>
    <w:rsid w:val="008E0B70"/>
    <w:rsid w:val="008E0F12"/>
    <w:rsid w:val="008E127E"/>
    <w:rsid w:val="008E142E"/>
    <w:rsid w:val="008E284D"/>
    <w:rsid w:val="008E33D7"/>
    <w:rsid w:val="008E39C8"/>
    <w:rsid w:val="008E57AC"/>
    <w:rsid w:val="008E626E"/>
    <w:rsid w:val="008E6930"/>
    <w:rsid w:val="008E788F"/>
    <w:rsid w:val="008E7BE6"/>
    <w:rsid w:val="008E7DC9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B16"/>
    <w:rsid w:val="00900FD2"/>
    <w:rsid w:val="0090129E"/>
    <w:rsid w:val="00901848"/>
    <w:rsid w:val="00901DBC"/>
    <w:rsid w:val="00902232"/>
    <w:rsid w:val="009027EF"/>
    <w:rsid w:val="00902842"/>
    <w:rsid w:val="00902B30"/>
    <w:rsid w:val="00902BC3"/>
    <w:rsid w:val="0090308B"/>
    <w:rsid w:val="009039F6"/>
    <w:rsid w:val="009039FE"/>
    <w:rsid w:val="009040DB"/>
    <w:rsid w:val="0090431A"/>
    <w:rsid w:val="0090572C"/>
    <w:rsid w:val="009069AE"/>
    <w:rsid w:val="0090733A"/>
    <w:rsid w:val="009076D4"/>
    <w:rsid w:val="00910672"/>
    <w:rsid w:val="00910DDF"/>
    <w:rsid w:val="0091110A"/>
    <w:rsid w:val="009118D4"/>
    <w:rsid w:val="0091197E"/>
    <w:rsid w:val="00912ACD"/>
    <w:rsid w:val="009131B0"/>
    <w:rsid w:val="00913645"/>
    <w:rsid w:val="00913786"/>
    <w:rsid w:val="00913AAF"/>
    <w:rsid w:val="00914662"/>
    <w:rsid w:val="00914A9F"/>
    <w:rsid w:val="009152BE"/>
    <w:rsid w:val="00915BBE"/>
    <w:rsid w:val="009161E4"/>
    <w:rsid w:val="0091696F"/>
    <w:rsid w:val="00916D75"/>
    <w:rsid w:val="00920260"/>
    <w:rsid w:val="00920A52"/>
    <w:rsid w:val="009218E0"/>
    <w:rsid w:val="00922CCB"/>
    <w:rsid w:val="009233DD"/>
    <w:rsid w:val="009237DB"/>
    <w:rsid w:val="00923B12"/>
    <w:rsid w:val="0092430A"/>
    <w:rsid w:val="0092433A"/>
    <w:rsid w:val="0092527C"/>
    <w:rsid w:val="009264FD"/>
    <w:rsid w:val="00927424"/>
    <w:rsid w:val="00927B8E"/>
    <w:rsid w:val="00930531"/>
    <w:rsid w:val="00931154"/>
    <w:rsid w:val="009322E4"/>
    <w:rsid w:val="00932F32"/>
    <w:rsid w:val="00933C9B"/>
    <w:rsid w:val="00933E33"/>
    <w:rsid w:val="00934056"/>
    <w:rsid w:val="0093443F"/>
    <w:rsid w:val="00934F6F"/>
    <w:rsid w:val="009358B8"/>
    <w:rsid w:val="00935917"/>
    <w:rsid w:val="00935D29"/>
    <w:rsid w:val="009364DC"/>
    <w:rsid w:val="00937067"/>
    <w:rsid w:val="00937391"/>
    <w:rsid w:val="00937433"/>
    <w:rsid w:val="00940BB4"/>
    <w:rsid w:val="00940D96"/>
    <w:rsid w:val="009412E9"/>
    <w:rsid w:val="009413FA"/>
    <w:rsid w:val="00942595"/>
    <w:rsid w:val="00943026"/>
    <w:rsid w:val="0094307F"/>
    <w:rsid w:val="0094399B"/>
    <w:rsid w:val="00943F2A"/>
    <w:rsid w:val="00944459"/>
    <w:rsid w:val="009444D3"/>
    <w:rsid w:val="009447A5"/>
    <w:rsid w:val="00944A3C"/>
    <w:rsid w:val="00945C1E"/>
    <w:rsid w:val="00945CDE"/>
    <w:rsid w:val="00946F25"/>
    <w:rsid w:val="00947532"/>
    <w:rsid w:val="009476A1"/>
    <w:rsid w:val="00947ADA"/>
    <w:rsid w:val="00947CEB"/>
    <w:rsid w:val="00951235"/>
    <w:rsid w:val="00951504"/>
    <w:rsid w:val="00951A6A"/>
    <w:rsid w:val="009524A9"/>
    <w:rsid w:val="0095253D"/>
    <w:rsid w:val="009530C6"/>
    <w:rsid w:val="009532DE"/>
    <w:rsid w:val="00953E2B"/>
    <w:rsid w:val="00954D48"/>
    <w:rsid w:val="00954FF8"/>
    <w:rsid w:val="00956118"/>
    <w:rsid w:val="00956494"/>
    <w:rsid w:val="009569DD"/>
    <w:rsid w:val="00957499"/>
    <w:rsid w:val="00957510"/>
    <w:rsid w:val="00957A3E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6E8A"/>
    <w:rsid w:val="00967C05"/>
    <w:rsid w:val="009709E0"/>
    <w:rsid w:val="009713B7"/>
    <w:rsid w:val="00971778"/>
    <w:rsid w:val="00971C6B"/>
    <w:rsid w:val="00971E06"/>
    <w:rsid w:val="00971FF4"/>
    <w:rsid w:val="0097234F"/>
    <w:rsid w:val="009725B8"/>
    <w:rsid w:val="0097316B"/>
    <w:rsid w:val="00973512"/>
    <w:rsid w:val="009736A1"/>
    <w:rsid w:val="0097430B"/>
    <w:rsid w:val="009745E7"/>
    <w:rsid w:val="00974D2D"/>
    <w:rsid w:val="009754A9"/>
    <w:rsid w:val="009756EC"/>
    <w:rsid w:val="00975AF9"/>
    <w:rsid w:val="00977429"/>
    <w:rsid w:val="009802DD"/>
    <w:rsid w:val="00980385"/>
    <w:rsid w:val="00980A67"/>
    <w:rsid w:val="00981166"/>
    <w:rsid w:val="00981B93"/>
    <w:rsid w:val="00982BEB"/>
    <w:rsid w:val="00983F8E"/>
    <w:rsid w:val="00984453"/>
    <w:rsid w:val="00985634"/>
    <w:rsid w:val="00985AAA"/>
    <w:rsid w:val="009863F5"/>
    <w:rsid w:val="009866DB"/>
    <w:rsid w:val="009868D3"/>
    <w:rsid w:val="00986E50"/>
    <w:rsid w:val="00987364"/>
    <w:rsid w:val="00990047"/>
    <w:rsid w:val="00991244"/>
    <w:rsid w:val="00991432"/>
    <w:rsid w:val="009914FF"/>
    <w:rsid w:val="00991B71"/>
    <w:rsid w:val="00991F69"/>
    <w:rsid w:val="0099205E"/>
    <w:rsid w:val="0099217B"/>
    <w:rsid w:val="00992BE5"/>
    <w:rsid w:val="00993155"/>
    <w:rsid w:val="00993200"/>
    <w:rsid w:val="0099326D"/>
    <w:rsid w:val="00994404"/>
    <w:rsid w:val="009947FE"/>
    <w:rsid w:val="00994A4F"/>
    <w:rsid w:val="00994D4A"/>
    <w:rsid w:val="00994E15"/>
    <w:rsid w:val="009954BF"/>
    <w:rsid w:val="0099579F"/>
    <w:rsid w:val="00995988"/>
    <w:rsid w:val="00996E50"/>
    <w:rsid w:val="0099709A"/>
    <w:rsid w:val="009972C3"/>
    <w:rsid w:val="0099737F"/>
    <w:rsid w:val="009A0294"/>
    <w:rsid w:val="009A1775"/>
    <w:rsid w:val="009A298F"/>
    <w:rsid w:val="009A2B88"/>
    <w:rsid w:val="009A339E"/>
    <w:rsid w:val="009A35A4"/>
    <w:rsid w:val="009A394F"/>
    <w:rsid w:val="009A4389"/>
    <w:rsid w:val="009A4456"/>
    <w:rsid w:val="009A47C1"/>
    <w:rsid w:val="009A5F9B"/>
    <w:rsid w:val="009A75C8"/>
    <w:rsid w:val="009B08E9"/>
    <w:rsid w:val="009B0BA1"/>
    <w:rsid w:val="009B234E"/>
    <w:rsid w:val="009B253E"/>
    <w:rsid w:val="009B2782"/>
    <w:rsid w:val="009B2E23"/>
    <w:rsid w:val="009B3333"/>
    <w:rsid w:val="009B4D55"/>
    <w:rsid w:val="009B50B0"/>
    <w:rsid w:val="009B51E4"/>
    <w:rsid w:val="009B5211"/>
    <w:rsid w:val="009B6A05"/>
    <w:rsid w:val="009B6E34"/>
    <w:rsid w:val="009B77FB"/>
    <w:rsid w:val="009B784C"/>
    <w:rsid w:val="009B7EBA"/>
    <w:rsid w:val="009C06F6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2D67"/>
    <w:rsid w:val="009C30B2"/>
    <w:rsid w:val="009C40BA"/>
    <w:rsid w:val="009C4338"/>
    <w:rsid w:val="009C437E"/>
    <w:rsid w:val="009C57D7"/>
    <w:rsid w:val="009C5AEF"/>
    <w:rsid w:val="009C5E5D"/>
    <w:rsid w:val="009C5FFB"/>
    <w:rsid w:val="009C6F90"/>
    <w:rsid w:val="009C7643"/>
    <w:rsid w:val="009D0477"/>
    <w:rsid w:val="009D0634"/>
    <w:rsid w:val="009D0994"/>
    <w:rsid w:val="009D0A51"/>
    <w:rsid w:val="009D1786"/>
    <w:rsid w:val="009D1DCD"/>
    <w:rsid w:val="009D2B71"/>
    <w:rsid w:val="009D327A"/>
    <w:rsid w:val="009D336C"/>
    <w:rsid w:val="009D3745"/>
    <w:rsid w:val="009D3A49"/>
    <w:rsid w:val="009D416A"/>
    <w:rsid w:val="009D4A0F"/>
    <w:rsid w:val="009D6206"/>
    <w:rsid w:val="009D76DF"/>
    <w:rsid w:val="009D77E0"/>
    <w:rsid w:val="009D7F70"/>
    <w:rsid w:val="009E1EF0"/>
    <w:rsid w:val="009E2223"/>
    <w:rsid w:val="009E2556"/>
    <w:rsid w:val="009E29AB"/>
    <w:rsid w:val="009E29E3"/>
    <w:rsid w:val="009E2A1D"/>
    <w:rsid w:val="009E2A9B"/>
    <w:rsid w:val="009E4898"/>
    <w:rsid w:val="009E503D"/>
    <w:rsid w:val="009E52B7"/>
    <w:rsid w:val="009E5464"/>
    <w:rsid w:val="009E57C2"/>
    <w:rsid w:val="009E5958"/>
    <w:rsid w:val="009E5AF4"/>
    <w:rsid w:val="009E5FF7"/>
    <w:rsid w:val="009E61F7"/>
    <w:rsid w:val="009E6953"/>
    <w:rsid w:val="009E6EE5"/>
    <w:rsid w:val="009F0162"/>
    <w:rsid w:val="009F26BB"/>
    <w:rsid w:val="009F28D1"/>
    <w:rsid w:val="009F2CD7"/>
    <w:rsid w:val="009F3323"/>
    <w:rsid w:val="009F3451"/>
    <w:rsid w:val="009F3982"/>
    <w:rsid w:val="009F486B"/>
    <w:rsid w:val="009F499C"/>
    <w:rsid w:val="009F5869"/>
    <w:rsid w:val="009F63C4"/>
    <w:rsid w:val="009F64A1"/>
    <w:rsid w:val="009F6A0E"/>
    <w:rsid w:val="009F7082"/>
    <w:rsid w:val="009F776D"/>
    <w:rsid w:val="009F791A"/>
    <w:rsid w:val="009F7DF6"/>
    <w:rsid w:val="00A019AE"/>
    <w:rsid w:val="00A02489"/>
    <w:rsid w:val="00A0262E"/>
    <w:rsid w:val="00A0280D"/>
    <w:rsid w:val="00A03104"/>
    <w:rsid w:val="00A0325F"/>
    <w:rsid w:val="00A035CD"/>
    <w:rsid w:val="00A037FD"/>
    <w:rsid w:val="00A03A19"/>
    <w:rsid w:val="00A04868"/>
    <w:rsid w:val="00A050F7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E50"/>
    <w:rsid w:val="00A16E95"/>
    <w:rsid w:val="00A17251"/>
    <w:rsid w:val="00A1737E"/>
    <w:rsid w:val="00A1737F"/>
    <w:rsid w:val="00A219A4"/>
    <w:rsid w:val="00A21D66"/>
    <w:rsid w:val="00A21ECF"/>
    <w:rsid w:val="00A22967"/>
    <w:rsid w:val="00A22D8E"/>
    <w:rsid w:val="00A23B39"/>
    <w:rsid w:val="00A23B42"/>
    <w:rsid w:val="00A24556"/>
    <w:rsid w:val="00A25343"/>
    <w:rsid w:val="00A253DD"/>
    <w:rsid w:val="00A25713"/>
    <w:rsid w:val="00A257E8"/>
    <w:rsid w:val="00A25812"/>
    <w:rsid w:val="00A25C86"/>
    <w:rsid w:val="00A25D2E"/>
    <w:rsid w:val="00A25ECC"/>
    <w:rsid w:val="00A2644B"/>
    <w:rsid w:val="00A26D06"/>
    <w:rsid w:val="00A26E5E"/>
    <w:rsid w:val="00A27E46"/>
    <w:rsid w:val="00A27ECC"/>
    <w:rsid w:val="00A31098"/>
    <w:rsid w:val="00A31867"/>
    <w:rsid w:val="00A31A74"/>
    <w:rsid w:val="00A31AD5"/>
    <w:rsid w:val="00A3201C"/>
    <w:rsid w:val="00A32464"/>
    <w:rsid w:val="00A32D28"/>
    <w:rsid w:val="00A332E3"/>
    <w:rsid w:val="00A33605"/>
    <w:rsid w:val="00A339FF"/>
    <w:rsid w:val="00A35C25"/>
    <w:rsid w:val="00A35E6E"/>
    <w:rsid w:val="00A36DFB"/>
    <w:rsid w:val="00A40CE0"/>
    <w:rsid w:val="00A41E06"/>
    <w:rsid w:val="00A41FE4"/>
    <w:rsid w:val="00A42A14"/>
    <w:rsid w:val="00A42C01"/>
    <w:rsid w:val="00A42E4B"/>
    <w:rsid w:val="00A42EF3"/>
    <w:rsid w:val="00A43F4D"/>
    <w:rsid w:val="00A4475C"/>
    <w:rsid w:val="00A44891"/>
    <w:rsid w:val="00A44C00"/>
    <w:rsid w:val="00A44FF0"/>
    <w:rsid w:val="00A4538F"/>
    <w:rsid w:val="00A45772"/>
    <w:rsid w:val="00A45819"/>
    <w:rsid w:val="00A4584C"/>
    <w:rsid w:val="00A45D46"/>
    <w:rsid w:val="00A45E71"/>
    <w:rsid w:val="00A45F9A"/>
    <w:rsid w:val="00A470A6"/>
    <w:rsid w:val="00A47A5E"/>
    <w:rsid w:val="00A511FC"/>
    <w:rsid w:val="00A51521"/>
    <w:rsid w:val="00A51DD3"/>
    <w:rsid w:val="00A51EFC"/>
    <w:rsid w:val="00A52359"/>
    <w:rsid w:val="00A52587"/>
    <w:rsid w:val="00A525A8"/>
    <w:rsid w:val="00A5289A"/>
    <w:rsid w:val="00A52BD4"/>
    <w:rsid w:val="00A52E79"/>
    <w:rsid w:val="00A53860"/>
    <w:rsid w:val="00A54009"/>
    <w:rsid w:val="00A544D3"/>
    <w:rsid w:val="00A54D01"/>
    <w:rsid w:val="00A564F6"/>
    <w:rsid w:val="00A57429"/>
    <w:rsid w:val="00A60199"/>
    <w:rsid w:val="00A6106A"/>
    <w:rsid w:val="00A61844"/>
    <w:rsid w:val="00A61AF6"/>
    <w:rsid w:val="00A61EB4"/>
    <w:rsid w:val="00A62A3D"/>
    <w:rsid w:val="00A63B8F"/>
    <w:rsid w:val="00A64F73"/>
    <w:rsid w:val="00A65765"/>
    <w:rsid w:val="00A665A8"/>
    <w:rsid w:val="00A66F26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E53"/>
    <w:rsid w:val="00A734C0"/>
    <w:rsid w:val="00A73B1C"/>
    <w:rsid w:val="00A74380"/>
    <w:rsid w:val="00A74565"/>
    <w:rsid w:val="00A74D39"/>
    <w:rsid w:val="00A75655"/>
    <w:rsid w:val="00A756EC"/>
    <w:rsid w:val="00A774F2"/>
    <w:rsid w:val="00A77C0F"/>
    <w:rsid w:val="00A77C3F"/>
    <w:rsid w:val="00A80C73"/>
    <w:rsid w:val="00A80D8B"/>
    <w:rsid w:val="00A81ABF"/>
    <w:rsid w:val="00A81E20"/>
    <w:rsid w:val="00A829E2"/>
    <w:rsid w:val="00A82E79"/>
    <w:rsid w:val="00A83356"/>
    <w:rsid w:val="00A83370"/>
    <w:rsid w:val="00A83792"/>
    <w:rsid w:val="00A83A23"/>
    <w:rsid w:val="00A845A6"/>
    <w:rsid w:val="00A851DB"/>
    <w:rsid w:val="00A854E1"/>
    <w:rsid w:val="00A868C3"/>
    <w:rsid w:val="00A869EC"/>
    <w:rsid w:val="00A86B3D"/>
    <w:rsid w:val="00A87353"/>
    <w:rsid w:val="00A876FF"/>
    <w:rsid w:val="00A90BF8"/>
    <w:rsid w:val="00A913EE"/>
    <w:rsid w:val="00A914D6"/>
    <w:rsid w:val="00A91698"/>
    <w:rsid w:val="00A91B8B"/>
    <w:rsid w:val="00A92882"/>
    <w:rsid w:val="00A92D55"/>
    <w:rsid w:val="00A93938"/>
    <w:rsid w:val="00A945C9"/>
    <w:rsid w:val="00A94847"/>
    <w:rsid w:val="00A95094"/>
    <w:rsid w:val="00A951DB"/>
    <w:rsid w:val="00A95EC0"/>
    <w:rsid w:val="00A95FB3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33BE"/>
    <w:rsid w:val="00AA5016"/>
    <w:rsid w:val="00AA517F"/>
    <w:rsid w:val="00AA5A74"/>
    <w:rsid w:val="00AA5ADB"/>
    <w:rsid w:val="00AA5BDE"/>
    <w:rsid w:val="00AB0646"/>
    <w:rsid w:val="00AB0AC4"/>
    <w:rsid w:val="00AB10FC"/>
    <w:rsid w:val="00AB1795"/>
    <w:rsid w:val="00AB192D"/>
    <w:rsid w:val="00AB2B82"/>
    <w:rsid w:val="00AB31E4"/>
    <w:rsid w:val="00AB32BC"/>
    <w:rsid w:val="00AB3CFC"/>
    <w:rsid w:val="00AB3D4D"/>
    <w:rsid w:val="00AB3DF3"/>
    <w:rsid w:val="00AB4A87"/>
    <w:rsid w:val="00AB5993"/>
    <w:rsid w:val="00AB5A2C"/>
    <w:rsid w:val="00AB5BA2"/>
    <w:rsid w:val="00AB5E21"/>
    <w:rsid w:val="00AB5FB9"/>
    <w:rsid w:val="00AB6477"/>
    <w:rsid w:val="00AB6EE0"/>
    <w:rsid w:val="00AB6FCB"/>
    <w:rsid w:val="00AC07A2"/>
    <w:rsid w:val="00AC1CB6"/>
    <w:rsid w:val="00AC1D6B"/>
    <w:rsid w:val="00AC39EC"/>
    <w:rsid w:val="00AC41B5"/>
    <w:rsid w:val="00AC48D1"/>
    <w:rsid w:val="00AC53DA"/>
    <w:rsid w:val="00AC57A4"/>
    <w:rsid w:val="00AC5CBC"/>
    <w:rsid w:val="00AC5DD2"/>
    <w:rsid w:val="00AC6432"/>
    <w:rsid w:val="00AC7016"/>
    <w:rsid w:val="00AC71C5"/>
    <w:rsid w:val="00AC73DD"/>
    <w:rsid w:val="00AC78A4"/>
    <w:rsid w:val="00AD018C"/>
    <w:rsid w:val="00AD01F1"/>
    <w:rsid w:val="00AD0706"/>
    <w:rsid w:val="00AD0E86"/>
    <w:rsid w:val="00AD137C"/>
    <w:rsid w:val="00AD18E8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C19"/>
    <w:rsid w:val="00AD69C3"/>
    <w:rsid w:val="00AD70F9"/>
    <w:rsid w:val="00AD7A37"/>
    <w:rsid w:val="00AE002D"/>
    <w:rsid w:val="00AE0F69"/>
    <w:rsid w:val="00AE101F"/>
    <w:rsid w:val="00AE16EA"/>
    <w:rsid w:val="00AE186B"/>
    <w:rsid w:val="00AE1E98"/>
    <w:rsid w:val="00AE45BB"/>
    <w:rsid w:val="00AE49AB"/>
    <w:rsid w:val="00AE4DD7"/>
    <w:rsid w:val="00AE4F89"/>
    <w:rsid w:val="00AE5FAE"/>
    <w:rsid w:val="00AE6E0F"/>
    <w:rsid w:val="00AE6EF5"/>
    <w:rsid w:val="00AE6FF6"/>
    <w:rsid w:val="00AE7AD6"/>
    <w:rsid w:val="00AF0027"/>
    <w:rsid w:val="00AF003D"/>
    <w:rsid w:val="00AF05A7"/>
    <w:rsid w:val="00AF07E0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3AF5"/>
    <w:rsid w:val="00AF4FB0"/>
    <w:rsid w:val="00AF5358"/>
    <w:rsid w:val="00AF574B"/>
    <w:rsid w:val="00AF5910"/>
    <w:rsid w:val="00AF632B"/>
    <w:rsid w:val="00AF6E96"/>
    <w:rsid w:val="00B004B2"/>
    <w:rsid w:val="00B00930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3678"/>
    <w:rsid w:val="00B03A87"/>
    <w:rsid w:val="00B03F23"/>
    <w:rsid w:val="00B048EB"/>
    <w:rsid w:val="00B049D8"/>
    <w:rsid w:val="00B050ED"/>
    <w:rsid w:val="00B05323"/>
    <w:rsid w:val="00B059E5"/>
    <w:rsid w:val="00B06933"/>
    <w:rsid w:val="00B06E8A"/>
    <w:rsid w:val="00B07016"/>
    <w:rsid w:val="00B0728F"/>
    <w:rsid w:val="00B07CDB"/>
    <w:rsid w:val="00B07D0D"/>
    <w:rsid w:val="00B106C5"/>
    <w:rsid w:val="00B110B8"/>
    <w:rsid w:val="00B112CF"/>
    <w:rsid w:val="00B11AD9"/>
    <w:rsid w:val="00B11D5B"/>
    <w:rsid w:val="00B1203C"/>
    <w:rsid w:val="00B12F73"/>
    <w:rsid w:val="00B14990"/>
    <w:rsid w:val="00B14E4D"/>
    <w:rsid w:val="00B15589"/>
    <w:rsid w:val="00B17A06"/>
    <w:rsid w:val="00B17C8E"/>
    <w:rsid w:val="00B20BA3"/>
    <w:rsid w:val="00B20FFD"/>
    <w:rsid w:val="00B21510"/>
    <w:rsid w:val="00B21CF4"/>
    <w:rsid w:val="00B22074"/>
    <w:rsid w:val="00B22252"/>
    <w:rsid w:val="00B2245B"/>
    <w:rsid w:val="00B22EEA"/>
    <w:rsid w:val="00B2354D"/>
    <w:rsid w:val="00B23AF3"/>
    <w:rsid w:val="00B243B6"/>
    <w:rsid w:val="00B244AE"/>
    <w:rsid w:val="00B24873"/>
    <w:rsid w:val="00B253BE"/>
    <w:rsid w:val="00B26123"/>
    <w:rsid w:val="00B26236"/>
    <w:rsid w:val="00B26662"/>
    <w:rsid w:val="00B26714"/>
    <w:rsid w:val="00B26F1D"/>
    <w:rsid w:val="00B275C1"/>
    <w:rsid w:val="00B27BA8"/>
    <w:rsid w:val="00B30057"/>
    <w:rsid w:val="00B30591"/>
    <w:rsid w:val="00B318C7"/>
    <w:rsid w:val="00B31E78"/>
    <w:rsid w:val="00B322D9"/>
    <w:rsid w:val="00B33431"/>
    <w:rsid w:val="00B33A93"/>
    <w:rsid w:val="00B357C6"/>
    <w:rsid w:val="00B35B70"/>
    <w:rsid w:val="00B36EF8"/>
    <w:rsid w:val="00B3733C"/>
    <w:rsid w:val="00B4033F"/>
    <w:rsid w:val="00B40CA6"/>
    <w:rsid w:val="00B41088"/>
    <w:rsid w:val="00B42E29"/>
    <w:rsid w:val="00B430AC"/>
    <w:rsid w:val="00B433F1"/>
    <w:rsid w:val="00B4484F"/>
    <w:rsid w:val="00B449D7"/>
    <w:rsid w:val="00B44E8A"/>
    <w:rsid w:val="00B44FFA"/>
    <w:rsid w:val="00B45743"/>
    <w:rsid w:val="00B46D68"/>
    <w:rsid w:val="00B46E80"/>
    <w:rsid w:val="00B50595"/>
    <w:rsid w:val="00B50AC7"/>
    <w:rsid w:val="00B50F70"/>
    <w:rsid w:val="00B5166B"/>
    <w:rsid w:val="00B51D64"/>
    <w:rsid w:val="00B529D4"/>
    <w:rsid w:val="00B53357"/>
    <w:rsid w:val="00B535BB"/>
    <w:rsid w:val="00B54C43"/>
    <w:rsid w:val="00B54CCB"/>
    <w:rsid w:val="00B554A6"/>
    <w:rsid w:val="00B555B8"/>
    <w:rsid w:val="00B55685"/>
    <w:rsid w:val="00B55833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3641"/>
    <w:rsid w:val="00B63B01"/>
    <w:rsid w:val="00B64239"/>
    <w:rsid w:val="00B64C87"/>
    <w:rsid w:val="00B650D5"/>
    <w:rsid w:val="00B654C5"/>
    <w:rsid w:val="00B65643"/>
    <w:rsid w:val="00B65E49"/>
    <w:rsid w:val="00B67396"/>
    <w:rsid w:val="00B676FA"/>
    <w:rsid w:val="00B677D6"/>
    <w:rsid w:val="00B67B06"/>
    <w:rsid w:val="00B7045E"/>
    <w:rsid w:val="00B70A64"/>
    <w:rsid w:val="00B70D32"/>
    <w:rsid w:val="00B71170"/>
    <w:rsid w:val="00B71F91"/>
    <w:rsid w:val="00B71FA3"/>
    <w:rsid w:val="00B72310"/>
    <w:rsid w:val="00B72C94"/>
    <w:rsid w:val="00B72F06"/>
    <w:rsid w:val="00B743C5"/>
    <w:rsid w:val="00B74898"/>
    <w:rsid w:val="00B749E2"/>
    <w:rsid w:val="00B751BE"/>
    <w:rsid w:val="00B76768"/>
    <w:rsid w:val="00B77BD3"/>
    <w:rsid w:val="00B77D0B"/>
    <w:rsid w:val="00B811C5"/>
    <w:rsid w:val="00B811FD"/>
    <w:rsid w:val="00B81428"/>
    <w:rsid w:val="00B81589"/>
    <w:rsid w:val="00B82A42"/>
    <w:rsid w:val="00B8390E"/>
    <w:rsid w:val="00B83D24"/>
    <w:rsid w:val="00B84017"/>
    <w:rsid w:val="00B8405F"/>
    <w:rsid w:val="00B84126"/>
    <w:rsid w:val="00B841CC"/>
    <w:rsid w:val="00B84457"/>
    <w:rsid w:val="00B84F4F"/>
    <w:rsid w:val="00B85476"/>
    <w:rsid w:val="00B8580E"/>
    <w:rsid w:val="00B86324"/>
    <w:rsid w:val="00B8695E"/>
    <w:rsid w:val="00B86F71"/>
    <w:rsid w:val="00B908E4"/>
    <w:rsid w:val="00B90FEA"/>
    <w:rsid w:val="00B91BB6"/>
    <w:rsid w:val="00B91D8F"/>
    <w:rsid w:val="00B921B8"/>
    <w:rsid w:val="00B93812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5D0"/>
    <w:rsid w:val="00BA2CA9"/>
    <w:rsid w:val="00BA3F48"/>
    <w:rsid w:val="00BA45BE"/>
    <w:rsid w:val="00BA4714"/>
    <w:rsid w:val="00BA47FE"/>
    <w:rsid w:val="00BA4966"/>
    <w:rsid w:val="00BA5557"/>
    <w:rsid w:val="00BA6A5A"/>
    <w:rsid w:val="00BA71FD"/>
    <w:rsid w:val="00BA72AE"/>
    <w:rsid w:val="00BA7340"/>
    <w:rsid w:val="00BB026F"/>
    <w:rsid w:val="00BB0E52"/>
    <w:rsid w:val="00BB1148"/>
    <w:rsid w:val="00BB14CC"/>
    <w:rsid w:val="00BB2294"/>
    <w:rsid w:val="00BB2E3E"/>
    <w:rsid w:val="00BB2F7A"/>
    <w:rsid w:val="00BB344D"/>
    <w:rsid w:val="00BB35CB"/>
    <w:rsid w:val="00BB3D35"/>
    <w:rsid w:val="00BB47C3"/>
    <w:rsid w:val="00BB5A50"/>
    <w:rsid w:val="00BB5DFF"/>
    <w:rsid w:val="00BB69E2"/>
    <w:rsid w:val="00BB765A"/>
    <w:rsid w:val="00BC0829"/>
    <w:rsid w:val="00BC13AB"/>
    <w:rsid w:val="00BC3927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A32"/>
    <w:rsid w:val="00BD6EEB"/>
    <w:rsid w:val="00BD795C"/>
    <w:rsid w:val="00BE1076"/>
    <w:rsid w:val="00BE13E0"/>
    <w:rsid w:val="00BE1545"/>
    <w:rsid w:val="00BE27F3"/>
    <w:rsid w:val="00BE2BD1"/>
    <w:rsid w:val="00BE2D01"/>
    <w:rsid w:val="00BE34FF"/>
    <w:rsid w:val="00BE3E8F"/>
    <w:rsid w:val="00BE3F24"/>
    <w:rsid w:val="00BE4F12"/>
    <w:rsid w:val="00BE509C"/>
    <w:rsid w:val="00BE582C"/>
    <w:rsid w:val="00BE74E0"/>
    <w:rsid w:val="00BE774D"/>
    <w:rsid w:val="00BE7B9A"/>
    <w:rsid w:val="00BF0A57"/>
    <w:rsid w:val="00BF127F"/>
    <w:rsid w:val="00BF1775"/>
    <w:rsid w:val="00BF23E2"/>
    <w:rsid w:val="00BF2787"/>
    <w:rsid w:val="00BF30FF"/>
    <w:rsid w:val="00BF349D"/>
    <w:rsid w:val="00BF34ED"/>
    <w:rsid w:val="00BF401E"/>
    <w:rsid w:val="00BF44F3"/>
    <w:rsid w:val="00BF4EAE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1D3E"/>
    <w:rsid w:val="00C021B7"/>
    <w:rsid w:val="00C0318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10507"/>
    <w:rsid w:val="00C110D4"/>
    <w:rsid w:val="00C113FD"/>
    <w:rsid w:val="00C1256D"/>
    <w:rsid w:val="00C1283E"/>
    <w:rsid w:val="00C130B5"/>
    <w:rsid w:val="00C1444A"/>
    <w:rsid w:val="00C1482A"/>
    <w:rsid w:val="00C1546D"/>
    <w:rsid w:val="00C15637"/>
    <w:rsid w:val="00C1582E"/>
    <w:rsid w:val="00C1598E"/>
    <w:rsid w:val="00C160E8"/>
    <w:rsid w:val="00C16220"/>
    <w:rsid w:val="00C16460"/>
    <w:rsid w:val="00C1658E"/>
    <w:rsid w:val="00C16BBC"/>
    <w:rsid w:val="00C2080B"/>
    <w:rsid w:val="00C20BC5"/>
    <w:rsid w:val="00C20ED8"/>
    <w:rsid w:val="00C20F2D"/>
    <w:rsid w:val="00C2281E"/>
    <w:rsid w:val="00C2285C"/>
    <w:rsid w:val="00C22B87"/>
    <w:rsid w:val="00C232F1"/>
    <w:rsid w:val="00C23417"/>
    <w:rsid w:val="00C23A3D"/>
    <w:rsid w:val="00C23B02"/>
    <w:rsid w:val="00C23B24"/>
    <w:rsid w:val="00C23E04"/>
    <w:rsid w:val="00C2404F"/>
    <w:rsid w:val="00C243A4"/>
    <w:rsid w:val="00C24AD9"/>
    <w:rsid w:val="00C25497"/>
    <w:rsid w:val="00C26CCE"/>
    <w:rsid w:val="00C27D1A"/>
    <w:rsid w:val="00C302B6"/>
    <w:rsid w:val="00C306C0"/>
    <w:rsid w:val="00C31341"/>
    <w:rsid w:val="00C313E3"/>
    <w:rsid w:val="00C31AD4"/>
    <w:rsid w:val="00C31D33"/>
    <w:rsid w:val="00C32786"/>
    <w:rsid w:val="00C32C00"/>
    <w:rsid w:val="00C34E9B"/>
    <w:rsid w:val="00C3514E"/>
    <w:rsid w:val="00C35A6F"/>
    <w:rsid w:val="00C378CB"/>
    <w:rsid w:val="00C402A4"/>
    <w:rsid w:val="00C40919"/>
    <w:rsid w:val="00C40969"/>
    <w:rsid w:val="00C41FF8"/>
    <w:rsid w:val="00C4231B"/>
    <w:rsid w:val="00C42B39"/>
    <w:rsid w:val="00C42E56"/>
    <w:rsid w:val="00C4316F"/>
    <w:rsid w:val="00C43209"/>
    <w:rsid w:val="00C442ED"/>
    <w:rsid w:val="00C4519F"/>
    <w:rsid w:val="00C45766"/>
    <w:rsid w:val="00C46A0A"/>
    <w:rsid w:val="00C46ABC"/>
    <w:rsid w:val="00C479BB"/>
    <w:rsid w:val="00C47FDC"/>
    <w:rsid w:val="00C5030C"/>
    <w:rsid w:val="00C50361"/>
    <w:rsid w:val="00C5077B"/>
    <w:rsid w:val="00C50E5F"/>
    <w:rsid w:val="00C524D9"/>
    <w:rsid w:val="00C527A7"/>
    <w:rsid w:val="00C5305C"/>
    <w:rsid w:val="00C53119"/>
    <w:rsid w:val="00C54FE6"/>
    <w:rsid w:val="00C55629"/>
    <w:rsid w:val="00C558BC"/>
    <w:rsid w:val="00C558D1"/>
    <w:rsid w:val="00C56FCB"/>
    <w:rsid w:val="00C6125D"/>
    <w:rsid w:val="00C61AF4"/>
    <w:rsid w:val="00C61EB9"/>
    <w:rsid w:val="00C629B4"/>
    <w:rsid w:val="00C62FD8"/>
    <w:rsid w:val="00C636F4"/>
    <w:rsid w:val="00C63F6F"/>
    <w:rsid w:val="00C6437D"/>
    <w:rsid w:val="00C64589"/>
    <w:rsid w:val="00C648D0"/>
    <w:rsid w:val="00C65B0A"/>
    <w:rsid w:val="00C662D3"/>
    <w:rsid w:val="00C67242"/>
    <w:rsid w:val="00C67898"/>
    <w:rsid w:val="00C70465"/>
    <w:rsid w:val="00C70D21"/>
    <w:rsid w:val="00C70F89"/>
    <w:rsid w:val="00C71044"/>
    <w:rsid w:val="00C710A2"/>
    <w:rsid w:val="00C7166D"/>
    <w:rsid w:val="00C71EE1"/>
    <w:rsid w:val="00C72252"/>
    <w:rsid w:val="00C72AA7"/>
    <w:rsid w:val="00C739C4"/>
    <w:rsid w:val="00C75242"/>
    <w:rsid w:val="00C7577B"/>
    <w:rsid w:val="00C75BF9"/>
    <w:rsid w:val="00C77624"/>
    <w:rsid w:val="00C77B5B"/>
    <w:rsid w:val="00C77E61"/>
    <w:rsid w:val="00C8051D"/>
    <w:rsid w:val="00C809F2"/>
    <w:rsid w:val="00C80BFD"/>
    <w:rsid w:val="00C81007"/>
    <w:rsid w:val="00C8154A"/>
    <w:rsid w:val="00C81DC4"/>
    <w:rsid w:val="00C82318"/>
    <w:rsid w:val="00C82461"/>
    <w:rsid w:val="00C82785"/>
    <w:rsid w:val="00C83F2E"/>
    <w:rsid w:val="00C84136"/>
    <w:rsid w:val="00C8515C"/>
    <w:rsid w:val="00C8520B"/>
    <w:rsid w:val="00C87A21"/>
    <w:rsid w:val="00C87B02"/>
    <w:rsid w:val="00C87E1B"/>
    <w:rsid w:val="00C87F31"/>
    <w:rsid w:val="00C90138"/>
    <w:rsid w:val="00C917D9"/>
    <w:rsid w:val="00C91B9F"/>
    <w:rsid w:val="00C91D56"/>
    <w:rsid w:val="00C92BC6"/>
    <w:rsid w:val="00C935F5"/>
    <w:rsid w:val="00C93889"/>
    <w:rsid w:val="00C93C8D"/>
    <w:rsid w:val="00C94373"/>
    <w:rsid w:val="00C94387"/>
    <w:rsid w:val="00C9438E"/>
    <w:rsid w:val="00C94431"/>
    <w:rsid w:val="00C94D2C"/>
    <w:rsid w:val="00C95059"/>
    <w:rsid w:val="00C967E0"/>
    <w:rsid w:val="00C96E76"/>
    <w:rsid w:val="00CA017A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E19"/>
    <w:rsid w:val="00CA4805"/>
    <w:rsid w:val="00CA4C2C"/>
    <w:rsid w:val="00CA5659"/>
    <w:rsid w:val="00CA6239"/>
    <w:rsid w:val="00CA6C6E"/>
    <w:rsid w:val="00CA7571"/>
    <w:rsid w:val="00CA7D40"/>
    <w:rsid w:val="00CB028C"/>
    <w:rsid w:val="00CB0693"/>
    <w:rsid w:val="00CB0B59"/>
    <w:rsid w:val="00CB18EF"/>
    <w:rsid w:val="00CB2174"/>
    <w:rsid w:val="00CB27CA"/>
    <w:rsid w:val="00CB3167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6699"/>
    <w:rsid w:val="00CB669E"/>
    <w:rsid w:val="00CB6802"/>
    <w:rsid w:val="00CB6A1B"/>
    <w:rsid w:val="00CB776F"/>
    <w:rsid w:val="00CC0269"/>
    <w:rsid w:val="00CC041C"/>
    <w:rsid w:val="00CC0824"/>
    <w:rsid w:val="00CC0C1C"/>
    <w:rsid w:val="00CC1A57"/>
    <w:rsid w:val="00CC1D2B"/>
    <w:rsid w:val="00CC2A55"/>
    <w:rsid w:val="00CC2C1A"/>
    <w:rsid w:val="00CC3E2C"/>
    <w:rsid w:val="00CC438F"/>
    <w:rsid w:val="00CC56B9"/>
    <w:rsid w:val="00CC5F86"/>
    <w:rsid w:val="00CC7989"/>
    <w:rsid w:val="00CC7D5A"/>
    <w:rsid w:val="00CD0E85"/>
    <w:rsid w:val="00CD13D3"/>
    <w:rsid w:val="00CD13EC"/>
    <w:rsid w:val="00CD1E38"/>
    <w:rsid w:val="00CD209F"/>
    <w:rsid w:val="00CD2B89"/>
    <w:rsid w:val="00CD388A"/>
    <w:rsid w:val="00CD3D12"/>
    <w:rsid w:val="00CD4996"/>
    <w:rsid w:val="00CD696E"/>
    <w:rsid w:val="00CD6D7B"/>
    <w:rsid w:val="00CD6F40"/>
    <w:rsid w:val="00CD7A33"/>
    <w:rsid w:val="00CE006A"/>
    <w:rsid w:val="00CE05EE"/>
    <w:rsid w:val="00CE05F3"/>
    <w:rsid w:val="00CE1708"/>
    <w:rsid w:val="00CE1969"/>
    <w:rsid w:val="00CE1C36"/>
    <w:rsid w:val="00CE1E89"/>
    <w:rsid w:val="00CE2D8C"/>
    <w:rsid w:val="00CE37AF"/>
    <w:rsid w:val="00CE3EF6"/>
    <w:rsid w:val="00CE3F5B"/>
    <w:rsid w:val="00CE46D3"/>
    <w:rsid w:val="00CE4998"/>
    <w:rsid w:val="00CE5CFA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C03"/>
    <w:rsid w:val="00CF7F58"/>
    <w:rsid w:val="00D0339D"/>
    <w:rsid w:val="00D037F3"/>
    <w:rsid w:val="00D04086"/>
    <w:rsid w:val="00D041A7"/>
    <w:rsid w:val="00D04268"/>
    <w:rsid w:val="00D048E8"/>
    <w:rsid w:val="00D04C81"/>
    <w:rsid w:val="00D04F2F"/>
    <w:rsid w:val="00D04FC3"/>
    <w:rsid w:val="00D052EA"/>
    <w:rsid w:val="00D05A55"/>
    <w:rsid w:val="00D06879"/>
    <w:rsid w:val="00D06FF3"/>
    <w:rsid w:val="00D07CC5"/>
    <w:rsid w:val="00D07CDE"/>
    <w:rsid w:val="00D1009A"/>
    <w:rsid w:val="00D10351"/>
    <w:rsid w:val="00D10907"/>
    <w:rsid w:val="00D11409"/>
    <w:rsid w:val="00D11430"/>
    <w:rsid w:val="00D11995"/>
    <w:rsid w:val="00D11F1E"/>
    <w:rsid w:val="00D11F67"/>
    <w:rsid w:val="00D12313"/>
    <w:rsid w:val="00D12CE3"/>
    <w:rsid w:val="00D1316B"/>
    <w:rsid w:val="00D133E9"/>
    <w:rsid w:val="00D14B62"/>
    <w:rsid w:val="00D15571"/>
    <w:rsid w:val="00D1588F"/>
    <w:rsid w:val="00D15C91"/>
    <w:rsid w:val="00D16592"/>
    <w:rsid w:val="00D167AD"/>
    <w:rsid w:val="00D16E49"/>
    <w:rsid w:val="00D171FE"/>
    <w:rsid w:val="00D17607"/>
    <w:rsid w:val="00D17E3C"/>
    <w:rsid w:val="00D17F61"/>
    <w:rsid w:val="00D206E4"/>
    <w:rsid w:val="00D20843"/>
    <w:rsid w:val="00D21053"/>
    <w:rsid w:val="00D21CA2"/>
    <w:rsid w:val="00D2395A"/>
    <w:rsid w:val="00D239DB"/>
    <w:rsid w:val="00D24FA1"/>
    <w:rsid w:val="00D251F1"/>
    <w:rsid w:val="00D25381"/>
    <w:rsid w:val="00D257C2"/>
    <w:rsid w:val="00D2698F"/>
    <w:rsid w:val="00D269DB"/>
    <w:rsid w:val="00D26B26"/>
    <w:rsid w:val="00D26DC4"/>
    <w:rsid w:val="00D27A33"/>
    <w:rsid w:val="00D30917"/>
    <w:rsid w:val="00D30B0F"/>
    <w:rsid w:val="00D31175"/>
    <w:rsid w:val="00D3251F"/>
    <w:rsid w:val="00D32FEF"/>
    <w:rsid w:val="00D334B7"/>
    <w:rsid w:val="00D33A02"/>
    <w:rsid w:val="00D33E0C"/>
    <w:rsid w:val="00D34293"/>
    <w:rsid w:val="00D349FD"/>
    <w:rsid w:val="00D351AA"/>
    <w:rsid w:val="00D352AA"/>
    <w:rsid w:val="00D35887"/>
    <w:rsid w:val="00D36EA0"/>
    <w:rsid w:val="00D37755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807"/>
    <w:rsid w:val="00D4431C"/>
    <w:rsid w:val="00D44C6D"/>
    <w:rsid w:val="00D44DC9"/>
    <w:rsid w:val="00D46BC2"/>
    <w:rsid w:val="00D46D7B"/>
    <w:rsid w:val="00D47115"/>
    <w:rsid w:val="00D471B4"/>
    <w:rsid w:val="00D47518"/>
    <w:rsid w:val="00D47EC2"/>
    <w:rsid w:val="00D50557"/>
    <w:rsid w:val="00D508CE"/>
    <w:rsid w:val="00D50C0D"/>
    <w:rsid w:val="00D50D06"/>
    <w:rsid w:val="00D50FAB"/>
    <w:rsid w:val="00D51B6C"/>
    <w:rsid w:val="00D51F50"/>
    <w:rsid w:val="00D522B4"/>
    <w:rsid w:val="00D53AE0"/>
    <w:rsid w:val="00D54D59"/>
    <w:rsid w:val="00D55475"/>
    <w:rsid w:val="00D5617E"/>
    <w:rsid w:val="00D57014"/>
    <w:rsid w:val="00D57E32"/>
    <w:rsid w:val="00D602F2"/>
    <w:rsid w:val="00D6194E"/>
    <w:rsid w:val="00D62B7E"/>
    <w:rsid w:val="00D633C9"/>
    <w:rsid w:val="00D634C5"/>
    <w:rsid w:val="00D64032"/>
    <w:rsid w:val="00D64C63"/>
    <w:rsid w:val="00D653DE"/>
    <w:rsid w:val="00D6653A"/>
    <w:rsid w:val="00D6692C"/>
    <w:rsid w:val="00D66AA7"/>
    <w:rsid w:val="00D6713F"/>
    <w:rsid w:val="00D677FC"/>
    <w:rsid w:val="00D67D5E"/>
    <w:rsid w:val="00D67FCF"/>
    <w:rsid w:val="00D70709"/>
    <w:rsid w:val="00D70C1F"/>
    <w:rsid w:val="00D7185F"/>
    <w:rsid w:val="00D720F2"/>
    <w:rsid w:val="00D723CD"/>
    <w:rsid w:val="00D72F0D"/>
    <w:rsid w:val="00D73171"/>
    <w:rsid w:val="00D7328E"/>
    <w:rsid w:val="00D73733"/>
    <w:rsid w:val="00D75FD8"/>
    <w:rsid w:val="00D761AA"/>
    <w:rsid w:val="00D76515"/>
    <w:rsid w:val="00D775B7"/>
    <w:rsid w:val="00D77974"/>
    <w:rsid w:val="00D7797D"/>
    <w:rsid w:val="00D8000E"/>
    <w:rsid w:val="00D80990"/>
    <w:rsid w:val="00D81598"/>
    <w:rsid w:val="00D81725"/>
    <w:rsid w:val="00D8195C"/>
    <w:rsid w:val="00D81AFB"/>
    <w:rsid w:val="00D81DC9"/>
    <w:rsid w:val="00D81EE5"/>
    <w:rsid w:val="00D820C7"/>
    <w:rsid w:val="00D8239C"/>
    <w:rsid w:val="00D82456"/>
    <w:rsid w:val="00D82901"/>
    <w:rsid w:val="00D82C17"/>
    <w:rsid w:val="00D82E76"/>
    <w:rsid w:val="00D832B5"/>
    <w:rsid w:val="00D83902"/>
    <w:rsid w:val="00D84164"/>
    <w:rsid w:val="00D84418"/>
    <w:rsid w:val="00D84F8F"/>
    <w:rsid w:val="00D858A0"/>
    <w:rsid w:val="00D86B23"/>
    <w:rsid w:val="00D86EA4"/>
    <w:rsid w:val="00D90F9D"/>
    <w:rsid w:val="00D921A2"/>
    <w:rsid w:val="00D922CE"/>
    <w:rsid w:val="00D92B68"/>
    <w:rsid w:val="00D937AD"/>
    <w:rsid w:val="00D947C2"/>
    <w:rsid w:val="00D94AB4"/>
    <w:rsid w:val="00D94E2C"/>
    <w:rsid w:val="00D951F3"/>
    <w:rsid w:val="00D95F7F"/>
    <w:rsid w:val="00D962F2"/>
    <w:rsid w:val="00D96916"/>
    <w:rsid w:val="00D96E9E"/>
    <w:rsid w:val="00DA008F"/>
    <w:rsid w:val="00DA014D"/>
    <w:rsid w:val="00DA0B81"/>
    <w:rsid w:val="00DA1295"/>
    <w:rsid w:val="00DA27C9"/>
    <w:rsid w:val="00DA294A"/>
    <w:rsid w:val="00DA357C"/>
    <w:rsid w:val="00DA3910"/>
    <w:rsid w:val="00DA4739"/>
    <w:rsid w:val="00DA478C"/>
    <w:rsid w:val="00DA4A3C"/>
    <w:rsid w:val="00DA5ACC"/>
    <w:rsid w:val="00DA5D2F"/>
    <w:rsid w:val="00DA5D79"/>
    <w:rsid w:val="00DA5E3D"/>
    <w:rsid w:val="00DA6BEC"/>
    <w:rsid w:val="00DA75FE"/>
    <w:rsid w:val="00DA7877"/>
    <w:rsid w:val="00DA7B5F"/>
    <w:rsid w:val="00DB05A6"/>
    <w:rsid w:val="00DB0A62"/>
    <w:rsid w:val="00DB12CA"/>
    <w:rsid w:val="00DB1BF9"/>
    <w:rsid w:val="00DB223D"/>
    <w:rsid w:val="00DB2F69"/>
    <w:rsid w:val="00DB43A7"/>
    <w:rsid w:val="00DB4650"/>
    <w:rsid w:val="00DB51D7"/>
    <w:rsid w:val="00DB53CF"/>
    <w:rsid w:val="00DB5435"/>
    <w:rsid w:val="00DB5A8B"/>
    <w:rsid w:val="00DB7120"/>
    <w:rsid w:val="00DB7541"/>
    <w:rsid w:val="00DB792B"/>
    <w:rsid w:val="00DC066E"/>
    <w:rsid w:val="00DC077A"/>
    <w:rsid w:val="00DC13C0"/>
    <w:rsid w:val="00DC1B18"/>
    <w:rsid w:val="00DC1BD5"/>
    <w:rsid w:val="00DC1D95"/>
    <w:rsid w:val="00DC1ED0"/>
    <w:rsid w:val="00DC21B4"/>
    <w:rsid w:val="00DC37CE"/>
    <w:rsid w:val="00DC3EB3"/>
    <w:rsid w:val="00DC3EC5"/>
    <w:rsid w:val="00DC4A35"/>
    <w:rsid w:val="00DC4AC0"/>
    <w:rsid w:val="00DC4DDF"/>
    <w:rsid w:val="00DC5C31"/>
    <w:rsid w:val="00DC6553"/>
    <w:rsid w:val="00DC66CD"/>
    <w:rsid w:val="00DC686A"/>
    <w:rsid w:val="00DC698C"/>
    <w:rsid w:val="00DC6EF1"/>
    <w:rsid w:val="00DC7524"/>
    <w:rsid w:val="00DD00E3"/>
    <w:rsid w:val="00DD05F7"/>
    <w:rsid w:val="00DD0711"/>
    <w:rsid w:val="00DD0D01"/>
    <w:rsid w:val="00DD0FA1"/>
    <w:rsid w:val="00DD12B4"/>
    <w:rsid w:val="00DD20BE"/>
    <w:rsid w:val="00DD2647"/>
    <w:rsid w:val="00DD26C4"/>
    <w:rsid w:val="00DD28B0"/>
    <w:rsid w:val="00DD3284"/>
    <w:rsid w:val="00DD36B4"/>
    <w:rsid w:val="00DD3B25"/>
    <w:rsid w:val="00DD4952"/>
    <w:rsid w:val="00DD5DE9"/>
    <w:rsid w:val="00DD6014"/>
    <w:rsid w:val="00DD612E"/>
    <w:rsid w:val="00DD6C5F"/>
    <w:rsid w:val="00DD70A6"/>
    <w:rsid w:val="00DD769F"/>
    <w:rsid w:val="00DD7959"/>
    <w:rsid w:val="00DD7962"/>
    <w:rsid w:val="00DD7AE1"/>
    <w:rsid w:val="00DD7FCF"/>
    <w:rsid w:val="00DE236D"/>
    <w:rsid w:val="00DE3704"/>
    <w:rsid w:val="00DE3CCE"/>
    <w:rsid w:val="00DE4046"/>
    <w:rsid w:val="00DE4B1A"/>
    <w:rsid w:val="00DE553B"/>
    <w:rsid w:val="00DE5AF5"/>
    <w:rsid w:val="00DE6FC1"/>
    <w:rsid w:val="00DE7047"/>
    <w:rsid w:val="00DE7A04"/>
    <w:rsid w:val="00DE7DD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30DD"/>
    <w:rsid w:val="00DF3C9D"/>
    <w:rsid w:val="00DF3DBB"/>
    <w:rsid w:val="00DF40CC"/>
    <w:rsid w:val="00DF451C"/>
    <w:rsid w:val="00DF4BA5"/>
    <w:rsid w:val="00DF514F"/>
    <w:rsid w:val="00DF6043"/>
    <w:rsid w:val="00DF6158"/>
    <w:rsid w:val="00DF7121"/>
    <w:rsid w:val="00DF71ED"/>
    <w:rsid w:val="00DF739B"/>
    <w:rsid w:val="00DF75A8"/>
    <w:rsid w:val="00DF75EF"/>
    <w:rsid w:val="00DF76F7"/>
    <w:rsid w:val="00DF7BC0"/>
    <w:rsid w:val="00E002CE"/>
    <w:rsid w:val="00E014CE"/>
    <w:rsid w:val="00E026C7"/>
    <w:rsid w:val="00E03533"/>
    <w:rsid w:val="00E04F18"/>
    <w:rsid w:val="00E05752"/>
    <w:rsid w:val="00E05957"/>
    <w:rsid w:val="00E05EED"/>
    <w:rsid w:val="00E0622F"/>
    <w:rsid w:val="00E06B25"/>
    <w:rsid w:val="00E10039"/>
    <w:rsid w:val="00E102DB"/>
    <w:rsid w:val="00E11DC4"/>
    <w:rsid w:val="00E12064"/>
    <w:rsid w:val="00E122B8"/>
    <w:rsid w:val="00E12E3D"/>
    <w:rsid w:val="00E12F87"/>
    <w:rsid w:val="00E12F9A"/>
    <w:rsid w:val="00E131C1"/>
    <w:rsid w:val="00E13C72"/>
    <w:rsid w:val="00E13C98"/>
    <w:rsid w:val="00E14BCB"/>
    <w:rsid w:val="00E14FF2"/>
    <w:rsid w:val="00E1512C"/>
    <w:rsid w:val="00E15875"/>
    <w:rsid w:val="00E15A77"/>
    <w:rsid w:val="00E15A91"/>
    <w:rsid w:val="00E1648C"/>
    <w:rsid w:val="00E16623"/>
    <w:rsid w:val="00E16A49"/>
    <w:rsid w:val="00E1704A"/>
    <w:rsid w:val="00E17A60"/>
    <w:rsid w:val="00E2025A"/>
    <w:rsid w:val="00E20551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4787"/>
    <w:rsid w:val="00E24839"/>
    <w:rsid w:val="00E248CF"/>
    <w:rsid w:val="00E24EA8"/>
    <w:rsid w:val="00E251E1"/>
    <w:rsid w:val="00E25A23"/>
    <w:rsid w:val="00E25A92"/>
    <w:rsid w:val="00E25E27"/>
    <w:rsid w:val="00E26756"/>
    <w:rsid w:val="00E26C78"/>
    <w:rsid w:val="00E26CF2"/>
    <w:rsid w:val="00E26F55"/>
    <w:rsid w:val="00E26F80"/>
    <w:rsid w:val="00E27742"/>
    <w:rsid w:val="00E27C22"/>
    <w:rsid w:val="00E304A4"/>
    <w:rsid w:val="00E30692"/>
    <w:rsid w:val="00E317EA"/>
    <w:rsid w:val="00E32723"/>
    <w:rsid w:val="00E32B7A"/>
    <w:rsid w:val="00E32E8A"/>
    <w:rsid w:val="00E3302E"/>
    <w:rsid w:val="00E3348F"/>
    <w:rsid w:val="00E33931"/>
    <w:rsid w:val="00E339D5"/>
    <w:rsid w:val="00E33C57"/>
    <w:rsid w:val="00E34506"/>
    <w:rsid w:val="00E34ADB"/>
    <w:rsid w:val="00E34B71"/>
    <w:rsid w:val="00E3560A"/>
    <w:rsid w:val="00E3572C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1A31"/>
    <w:rsid w:val="00E426B1"/>
    <w:rsid w:val="00E428E1"/>
    <w:rsid w:val="00E42B15"/>
    <w:rsid w:val="00E43C5C"/>
    <w:rsid w:val="00E462EC"/>
    <w:rsid w:val="00E46A5E"/>
    <w:rsid w:val="00E47A26"/>
    <w:rsid w:val="00E47B36"/>
    <w:rsid w:val="00E47C7D"/>
    <w:rsid w:val="00E51BBD"/>
    <w:rsid w:val="00E51FDC"/>
    <w:rsid w:val="00E52CF3"/>
    <w:rsid w:val="00E53409"/>
    <w:rsid w:val="00E5362B"/>
    <w:rsid w:val="00E536D2"/>
    <w:rsid w:val="00E53746"/>
    <w:rsid w:val="00E53DD6"/>
    <w:rsid w:val="00E53E87"/>
    <w:rsid w:val="00E5508B"/>
    <w:rsid w:val="00E5531A"/>
    <w:rsid w:val="00E5543B"/>
    <w:rsid w:val="00E55DE3"/>
    <w:rsid w:val="00E560F1"/>
    <w:rsid w:val="00E56AD2"/>
    <w:rsid w:val="00E57B19"/>
    <w:rsid w:val="00E60790"/>
    <w:rsid w:val="00E60874"/>
    <w:rsid w:val="00E610DE"/>
    <w:rsid w:val="00E629A6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7079B"/>
    <w:rsid w:val="00E708C3"/>
    <w:rsid w:val="00E724A2"/>
    <w:rsid w:val="00E726FF"/>
    <w:rsid w:val="00E72A6E"/>
    <w:rsid w:val="00E72B87"/>
    <w:rsid w:val="00E72DA9"/>
    <w:rsid w:val="00E73EBD"/>
    <w:rsid w:val="00E7445E"/>
    <w:rsid w:val="00E747C4"/>
    <w:rsid w:val="00E74E38"/>
    <w:rsid w:val="00E757B4"/>
    <w:rsid w:val="00E76124"/>
    <w:rsid w:val="00E7615D"/>
    <w:rsid w:val="00E76682"/>
    <w:rsid w:val="00E77099"/>
    <w:rsid w:val="00E7783A"/>
    <w:rsid w:val="00E77C0F"/>
    <w:rsid w:val="00E77E06"/>
    <w:rsid w:val="00E81415"/>
    <w:rsid w:val="00E815A8"/>
    <w:rsid w:val="00E81BDF"/>
    <w:rsid w:val="00E81D1D"/>
    <w:rsid w:val="00E82168"/>
    <w:rsid w:val="00E82FDA"/>
    <w:rsid w:val="00E846DD"/>
    <w:rsid w:val="00E8554D"/>
    <w:rsid w:val="00E85B18"/>
    <w:rsid w:val="00E871FA"/>
    <w:rsid w:val="00E874F5"/>
    <w:rsid w:val="00E876D2"/>
    <w:rsid w:val="00E91078"/>
    <w:rsid w:val="00E9110C"/>
    <w:rsid w:val="00E923F7"/>
    <w:rsid w:val="00E92FCA"/>
    <w:rsid w:val="00E936FD"/>
    <w:rsid w:val="00E9370D"/>
    <w:rsid w:val="00E93965"/>
    <w:rsid w:val="00E939D9"/>
    <w:rsid w:val="00E93D56"/>
    <w:rsid w:val="00E94314"/>
    <w:rsid w:val="00E94918"/>
    <w:rsid w:val="00E94957"/>
    <w:rsid w:val="00E953F2"/>
    <w:rsid w:val="00E9579A"/>
    <w:rsid w:val="00E9781C"/>
    <w:rsid w:val="00EA025E"/>
    <w:rsid w:val="00EA14BE"/>
    <w:rsid w:val="00EA204C"/>
    <w:rsid w:val="00EA2316"/>
    <w:rsid w:val="00EA23F2"/>
    <w:rsid w:val="00EA256E"/>
    <w:rsid w:val="00EA343B"/>
    <w:rsid w:val="00EA3535"/>
    <w:rsid w:val="00EA382D"/>
    <w:rsid w:val="00EA3D04"/>
    <w:rsid w:val="00EA3FFA"/>
    <w:rsid w:val="00EA4162"/>
    <w:rsid w:val="00EA491F"/>
    <w:rsid w:val="00EA4CE0"/>
    <w:rsid w:val="00EA51B2"/>
    <w:rsid w:val="00EA5E26"/>
    <w:rsid w:val="00EA6AD4"/>
    <w:rsid w:val="00EA7227"/>
    <w:rsid w:val="00EA7D18"/>
    <w:rsid w:val="00EB00DE"/>
    <w:rsid w:val="00EB0B0F"/>
    <w:rsid w:val="00EB0B67"/>
    <w:rsid w:val="00EB0C79"/>
    <w:rsid w:val="00EB24D4"/>
    <w:rsid w:val="00EB2557"/>
    <w:rsid w:val="00EB25C3"/>
    <w:rsid w:val="00EB3067"/>
    <w:rsid w:val="00EB49C6"/>
    <w:rsid w:val="00EB5A69"/>
    <w:rsid w:val="00EB6AE9"/>
    <w:rsid w:val="00EB76C3"/>
    <w:rsid w:val="00EB7B33"/>
    <w:rsid w:val="00EB7FFA"/>
    <w:rsid w:val="00EC0384"/>
    <w:rsid w:val="00EC0436"/>
    <w:rsid w:val="00EC18AE"/>
    <w:rsid w:val="00EC18EA"/>
    <w:rsid w:val="00EC1E2E"/>
    <w:rsid w:val="00EC1EA7"/>
    <w:rsid w:val="00EC356C"/>
    <w:rsid w:val="00EC3A69"/>
    <w:rsid w:val="00EC3DC6"/>
    <w:rsid w:val="00EC487E"/>
    <w:rsid w:val="00EC66C2"/>
    <w:rsid w:val="00EC698F"/>
    <w:rsid w:val="00ED1E4A"/>
    <w:rsid w:val="00ED2035"/>
    <w:rsid w:val="00ED35C8"/>
    <w:rsid w:val="00ED3DF1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EA9"/>
    <w:rsid w:val="00EE0F2E"/>
    <w:rsid w:val="00EE10BB"/>
    <w:rsid w:val="00EE22F1"/>
    <w:rsid w:val="00EE2386"/>
    <w:rsid w:val="00EE3200"/>
    <w:rsid w:val="00EE381D"/>
    <w:rsid w:val="00EE40ED"/>
    <w:rsid w:val="00EE4C6D"/>
    <w:rsid w:val="00EE5AC1"/>
    <w:rsid w:val="00EE6262"/>
    <w:rsid w:val="00EE6489"/>
    <w:rsid w:val="00EE683C"/>
    <w:rsid w:val="00EE6FF1"/>
    <w:rsid w:val="00EE7382"/>
    <w:rsid w:val="00EE74C0"/>
    <w:rsid w:val="00EF08D7"/>
    <w:rsid w:val="00EF0CA1"/>
    <w:rsid w:val="00EF0F56"/>
    <w:rsid w:val="00EF120C"/>
    <w:rsid w:val="00EF1615"/>
    <w:rsid w:val="00EF22B5"/>
    <w:rsid w:val="00EF2382"/>
    <w:rsid w:val="00EF23EC"/>
    <w:rsid w:val="00EF250F"/>
    <w:rsid w:val="00EF264E"/>
    <w:rsid w:val="00EF2CCD"/>
    <w:rsid w:val="00EF3553"/>
    <w:rsid w:val="00EF39CC"/>
    <w:rsid w:val="00EF3B77"/>
    <w:rsid w:val="00EF3F85"/>
    <w:rsid w:val="00EF40E0"/>
    <w:rsid w:val="00EF4781"/>
    <w:rsid w:val="00EF4B1E"/>
    <w:rsid w:val="00EF547B"/>
    <w:rsid w:val="00EF6491"/>
    <w:rsid w:val="00EF6B22"/>
    <w:rsid w:val="00EF7302"/>
    <w:rsid w:val="00EF7428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6342"/>
    <w:rsid w:val="00F064D4"/>
    <w:rsid w:val="00F07156"/>
    <w:rsid w:val="00F07897"/>
    <w:rsid w:val="00F104D8"/>
    <w:rsid w:val="00F1101F"/>
    <w:rsid w:val="00F11371"/>
    <w:rsid w:val="00F11D59"/>
    <w:rsid w:val="00F120FA"/>
    <w:rsid w:val="00F126E7"/>
    <w:rsid w:val="00F13EBF"/>
    <w:rsid w:val="00F144E4"/>
    <w:rsid w:val="00F15020"/>
    <w:rsid w:val="00F168A1"/>
    <w:rsid w:val="00F16BDA"/>
    <w:rsid w:val="00F176B8"/>
    <w:rsid w:val="00F17D21"/>
    <w:rsid w:val="00F213A6"/>
    <w:rsid w:val="00F218D1"/>
    <w:rsid w:val="00F21D3E"/>
    <w:rsid w:val="00F21E16"/>
    <w:rsid w:val="00F22A73"/>
    <w:rsid w:val="00F2324C"/>
    <w:rsid w:val="00F23466"/>
    <w:rsid w:val="00F23CF2"/>
    <w:rsid w:val="00F258C5"/>
    <w:rsid w:val="00F25E63"/>
    <w:rsid w:val="00F26049"/>
    <w:rsid w:val="00F26A50"/>
    <w:rsid w:val="00F27AD8"/>
    <w:rsid w:val="00F30323"/>
    <w:rsid w:val="00F30DEA"/>
    <w:rsid w:val="00F30E40"/>
    <w:rsid w:val="00F32117"/>
    <w:rsid w:val="00F324DE"/>
    <w:rsid w:val="00F33318"/>
    <w:rsid w:val="00F33A4A"/>
    <w:rsid w:val="00F33FF6"/>
    <w:rsid w:val="00F348CA"/>
    <w:rsid w:val="00F34CB1"/>
    <w:rsid w:val="00F34E61"/>
    <w:rsid w:val="00F35673"/>
    <w:rsid w:val="00F35BEC"/>
    <w:rsid w:val="00F36A26"/>
    <w:rsid w:val="00F37E97"/>
    <w:rsid w:val="00F4053D"/>
    <w:rsid w:val="00F415E0"/>
    <w:rsid w:val="00F42595"/>
    <w:rsid w:val="00F4264D"/>
    <w:rsid w:val="00F43A2D"/>
    <w:rsid w:val="00F43A81"/>
    <w:rsid w:val="00F44137"/>
    <w:rsid w:val="00F449E4"/>
    <w:rsid w:val="00F45150"/>
    <w:rsid w:val="00F46F06"/>
    <w:rsid w:val="00F46FEF"/>
    <w:rsid w:val="00F4764E"/>
    <w:rsid w:val="00F47E1E"/>
    <w:rsid w:val="00F47FA4"/>
    <w:rsid w:val="00F502DF"/>
    <w:rsid w:val="00F50972"/>
    <w:rsid w:val="00F50B26"/>
    <w:rsid w:val="00F510AA"/>
    <w:rsid w:val="00F517E7"/>
    <w:rsid w:val="00F51B25"/>
    <w:rsid w:val="00F51F3A"/>
    <w:rsid w:val="00F535ED"/>
    <w:rsid w:val="00F54038"/>
    <w:rsid w:val="00F54A71"/>
    <w:rsid w:val="00F54F1B"/>
    <w:rsid w:val="00F5609A"/>
    <w:rsid w:val="00F6001C"/>
    <w:rsid w:val="00F60629"/>
    <w:rsid w:val="00F6082A"/>
    <w:rsid w:val="00F608FC"/>
    <w:rsid w:val="00F60DA3"/>
    <w:rsid w:val="00F611CF"/>
    <w:rsid w:val="00F61ECE"/>
    <w:rsid w:val="00F61FA4"/>
    <w:rsid w:val="00F627F5"/>
    <w:rsid w:val="00F63FB3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450B"/>
    <w:rsid w:val="00F74701"/>
    <w:rsid w:val="00F7491B"/>
    <w:rsid w:val="00F75242"/>
    <w:rsid w:val="00F764D2"/>
    <w:rsid w:val="00F76758"/>
    <w:rsid w:val="00F77CF5"/>
    <w:rsid w:val="00F80D49"/>
    <w:rsid w:val="00F8100D"/>
    <w:rsid w:val="00F816BE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87212"/>
    <w:rsid w:val="00F90F98"/>
    <w:rsid w:val="00F9141E"/>
    <w:rsid w:val="00F9165F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9563B"/>
    <w:rsid w:val="00FA221A"/>
    <w:rsid w:val="00FA2B69"/>
    <w:rsid w:val="00FA2DCB"/>
    <w:rsid w:val="00FA3EEF"/>
    <w:rsid w:val="00FA4303"/>
    <w:rsid w:val="00FA4801"/>
    <w:rsid w:val="00FA4BBE"/>
    <w:rsid w:val="00FA5838"/>
    <w:rsid w:val="00FA5E2C"/>
    <w:rsid w:val="00FA60D7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42C"/>
    <w:rsid w:val="00FB28BB"/>
    <w:rsid w:val="00FB2F2A"/>
    <w:rsid w:val="00FB43F4"/>
    <w:rsid w:val="00FB4877"/>
    <w:rsid w:val="00FB4CE3"/>
    <w:rsid w:val="00FB5131"/>
    <w:rsid w:val="00FB6943"/>
    <w:rsid w:val="00FB6F1E"/>
    <w:rsid w:val="00FB7685"/>
    <w:rsid w:val="00FB7A29"/>
    <w:rsid w:val="00FC04C1"/>
    <w:rsid w:val="00FC1514"/>
    <w:rsid w:val="00FC277A"/>
    <w:rsid w:val="00FC2BC0"/>
    <w:rsid w:val="00FC2E48"/>
    <w:rsid w:val="00FC332C"/>
    <w:rsid w:val="00FC34E8"/>
    <w:rsid w:val="00FC3A2E"/>
    <w:rsid w:val="00FC3B5E"/>
    <w:rsid w:val="00FC4719"/>
    <w:rsid w:val="00FC474A"/>
    <w:rsid w:val="00FC55A0"/>
    <w:rsid w:val="00FC5A11"/>
    <w:rsid w:val="00FC64E3"/>
    <w:rsid w:val="00FC6800"/>
    <w:rsid w:val="00FD0DAF"/>
    <w:rsid w:val="00FD0FB7"/>
    <w:rsid w:val="00FD20C3"/>
    <w:rsid w:val="00FD22C6"/>
    <w:rsid w:val="00FD293C"/>
    <w:rsid w:val="00FD3890"/>
    <w:rsid w:val="00FD3E2A"/>
    <w:rsid w:val="00FD4813"/>
    <w:rsid w:val="00FD4C4E"/>
    <w:rsid w:val="00FD5904"/>
    <w:rsid w:val="00FD6210"/>
    <w:rsid w:val="00FD6BF1"/>
    <w:rsid w:val="00FD70D6"/>
    <w:rsid w:val="00FD7565"/>
    <w:rsid w:val="00FD78F2"/>
    <w:rsid w:val="00FE0101"/>
    <w:rsid w:val="00FE023D"/>
    <w:rsid w:val="00FE03A8"/>
    <w:rsid w:val="00FE10A2"/>
    <w:rsid w:val="00FE126F"/>
    <w:rsid w:val="00FE146A"/>
    <w:rsid w:val="00FE2600"/>
    <w:rsid w:val="00FE2825"/>
    <w:rsid w:val="00FE2A46"/>
    <w:rsid w:val="00FE2DA5"/>
    <w:rsid w:val="00FE3495"/>
    <w:rsid w:val="00FE3DF1"/>
    <w:rsid w:val="00FE3FD3"/>
    <w:rsid w:val="00FE41FA"/>
    <w:rsid w:val="00FE4369"/>
    <w:rsid w:val="00FE4C61"/>
    <w:rsid w:val="00FE575C"/>
    <w:rsid w:val="00FE595A"/>
    <w:rsid w:val="00FE698D"/>
    <w:rsid w:val="00FE7D6D"/>
    <w:rsid w:val="00FE7E72"/>
    <w:rsid w:val="00FE7FB9"/>
    <w:rsid w:val="00FE7FE0"/>
    <w:rsid w:val="00FF1330"/>
    <w:rsid w:val="00FF16F7"/>
    <w:rsid w:val="00FF1E74"/>
    <w:rsid w:val="00FF20AA"/>
    <w:rsid w:val="00FF21A5"/>
    <w:rsid w:val="00FF2B95"/>
    <w:rsid w:val="00FF2FA1"/>
    <w:rsid w:val="00FF4B6B"/>
    <w:rsid w:val="00FF5928"/>
    <w:rsid w:val="00FF5B90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E142E"/>
    <w:rPr>
      <w:sz w:val="20"/>
      <w:szCs w:val="20"/>
    </w:rPr>
  </w:style>
  <w:style w:type="character" w:styleId="a5">
    <w:name w:val="footnote reference"/>
    <w:uiPriority w:val="99"/>
    <w:semiHidden/>
    <w:rsid w:val="008E142E"/>
    <w:rPr>
      <w:vertAlign w:val="superscript"/>
    </w:rPr>
  </w:style>
  <w:style w:type="paragraph" w:styleId="a6">
    <w:name w:val="footer"/>
    <w:basedOn w:val="a"/>
    <w:link w:val="a7"/>
    <w:uiPriority w:val="99"/>
    <w:rsid w:val="005F725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F7255"/>
  </w:style>
  <w:style w:type="paragraph" w:styleId="a9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3606FD"/>
    <w:rPr>
      <w:sz w:val="16"/>
      <w:szCs w:val="16"/>
    </w:rPr>
  </w:style>
  <w:style w:type="paragraph" w:styleId="ac">
    <w:name w:val="annotation text"/>
    <w:basedOn w:val="a"/>
    <w:semiHidden/>
    <w:rsid w:val="003606FD"/>
    <w:rPr>
      <w:sz w:val="20"/>
      <w:szCs w:val="20"/>
    </w:rPr>
  </w:style>
  <w:style w:type="paragraph" w:styleId="ad">
    <w:name w:val="annotation subject"/>
    <w:basedOn w:val="ac"/>
    <w:next w:val="ac"/>
    <w:semiHidden/>
    <w:rsid w:val="003606FD"/>
    <w:rPr>
      <w:b/>
      <w:bCs/>
    </w:rPr>
  </w:style>
  <w:style w:type="table" w:styleId="ae">
    <w:name w:val="Table Grid"/>
    <w:basedOn w:val="a1"/>
    <w:rsid w:val="00AC07A2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8A548A"/>
    <w:rPr>
      <w:color w:val="0000FF"/>
      <w:u w:val="single"/>
    </w:rPr>
  </w:style>
  <w:style w:type="character" w:customStyle="1" w:styleId="a7">
    <w:name w:val="כותרת תחתונה תו"/>
    <w:link w:val="a6"/>
    <w:uiPriority w:val="99"/>
    <w:rsid w:val="00D921A2"/>
    <w:rPr>
      <w:rFonts w:cs="David"/>
      <w:sz w:val="24"/>
      <w:szCs w:val="24"/>
      <w:lang w:eastAsia="he-IL"/>
    </w:rPr>
  </w:style>
  <w:style w:type="paragraph" w:styleId="af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טקסט רגיל תו"/>
    <w:basedOn w:val="a0"/>
    <w:link w:val="af0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2">
    <w:name w:val="Title"/>
    <w:basedOn w:val="a"/>
    <w:next w:val="a"/>
    <w:link w:val="af3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3">
    <w:name w:val="כותרת טקסט תו"/>
    <w:basedOn w:val="a0"/>
    <w:link w:val="af2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  <w:style w:type="character" w:customStyle="1" w:styleId="a4">
    <w:name w:val="טקסט הערת שוליים תו"/>
    <w:basedOn w:val="a0"/>
    <w:link w:val="a3"/>
    <w:uiPriority w:val="99"/>
    <w:semiHidden/>
    <w:rsid w:val="007831EE"/>
    <w:rPr>
      <w:rFonts w:cs="David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E142E"/>
    <w:rPr>
      <w:sz w:val="20"/>
      <w:szCs w:val="20"/>
    </w:rPr>
  </w:style>
  <w:style w:type="character" w:styleId="a5">
    <w:name w:val="footnote reference"/>
    <w:uiPriority w:val="99"/>
    <w:semiHidden/>
    <w:rsid w:val="008E142E"/>
    <w:rPr>
      <w:vertAlign w:val="superscript"/>
    </w:rPr>
  </w:style>
  <w:style w:type="paragraph" w:styleId="a6">
    <w:name w:val="footer"/>
    <w:basedOn w:val="a"/>
    <w:link w:val="a7"/>
    <w:uiPriority w:val="99"/>
    <w:rsid w:val="005F725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F7255"/>
  </w:style>
  <w:style w:type="paragraph" w:styleId="a9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3606FD"/>
    <w:rPr>
      <w:sz w:val="16"/>
      <w:szCs w:val="16"/>
    </w:rPr>
  </w:style>
  <w:style w:type="paragraph" w:styleId="ac">
    <w:name w:val="annotation text"/>
    <w:basedOn w:val="a"/>
    <w:semiHidden/>
    <w:rsid w:val="003606FD"/>
    <w:rPr>
      <w:sz w:val="20"/>
      <w:szCs w:val="20"/>
    </w:rPr>
  </w:style>
  <w:style w:type="paragraph" w:styleId="ad">
    <w:name w:val="annotation subject"/>
    <w:basedOn w:val="ac"/>
    <w:next w:val="ac"/>
    <w:semiHidden/>
    <w:rsid w:val="003606FD"/>
    <w:rPr>
      <w:b/>
      <w:bCs/>
    </w:rPr>
  </w:style>
  <w:style w:type="table" w:styleId="ae">
    <w:name w:val="Table Grid"/>
    <w:basedOn w:val="a1"/>
    <w:rsid w:val="00AC07A2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8A548A"/>
    <w:rPr>
      <w:color w:val="0000FF"/>
      <w:u w:val="single"/>
    </w:rPr>
  </w:style>
  <w:style w:type="character" w:customStyle="1" w:styleId="a7">
    <w:name w:val="כותרת תחתונה תו"/>
    <w:link w:val="a6"/>
    <w:uiPriority w:val="99"/>
    <w:rsid w:val="00D921A2"/>
    <w:rPr>
      <w:rFonts w:cs="David"/>
      <w:sz w:val="24"/>
      <w:szCs w:val="24"/>
      <w:lang w:eastAsia="he-IL"/>
    </w:rPr>
  </w:style>
  <w:style w:type="paragraph" w:styleId="af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טקסט רגיל תו"/>
    <w:basedOn w:val="a0"/>
    <w:link w:val="af0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2">
    <w:name w:val="Title"/>
    <w:basedOn w:val="a"/>
    <w:next w:val="a"/>
    <w:link w:val="af3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3">
    <w:name w:val="כותרת טקסט תו"/>
    <w:basedOn w:val="a0"/>
    <w:link w:val="af2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  <w:style w:type="character" w:customStyle="1" w:styleId="a4">
    <w:name w:val="טקסט הערת שוליים תו"/>
    <w:basedOn w:val="a0"/>
    <w:link w:val="a3"/>
    <w:uiPriority w:val="99"/>
    <w:semiHidden/>
    <w:rsid w:val="007831EE"/>
    <w:rPr>
      <w:rFonts w:cs="David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boi.org.il/he/DataAndStatistics/Pages/MainPage.aspx?Level=3&amp;Sid=53&amp;SubjectType=2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www.boi.org.il/he/DataAndStatistics/Pages/MainPage.aspx?Level=3&amp;Sid=49&amp;SubjectType=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boi.org.il/he/DataAndStatistics/Pages/MainPage.aspx?Level=3&amp;Sid=47&amp;SubjectType=2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a.gov.il/%D7%92%D7%95%D7%A4%D7%99%D7%9D%20%D7%9E%D7%A4%D7%95%D7%A7%D7%97%D7%99%D7%9D/Mutual_Funds/Principles%20and%20rules%20for%20determining%20the%20classification%20where%20the%20Fund/2414/Pages/default.aspx" TargetMode="External"/><Relationship Id="rId1" Type="http://schemas.openxmlformats.org/officeDocument/2006/relationships/hyperlink" Target="https://www.boi.org.il/he/DataAndStatistics/Pages/MainPage.aspx?Level=3&amp;Sid=47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50FAB-9C86-48FA-8B69-BF871272DB29}"/>
</file>

<file path=customXml/itemProps2.xml><?xml version="1.0" encoding="utf-8"?>
<ds:datastoreItem xmlns:ds="http://schemas.openxmlformats.org/officeDocument/2006/customXml" ds:itemID="{81A3EC7C-E8D8-4F74-B97B-8E2C6FAFF44E}"/>
</file>

<file path=customXml/itemProps3.xml><?xml version="1.0" encoding="utf-8"?>
<ds:datastoreItem xmlns:ds="http://schemas.openxmlformats.org/officeDocument/2006/customXml" ds:itemID="{AE8055C8-D1BF-4E13-82B4-B1BFDF07C64A}"/>
</file>

<file path=customXml/itemProps4.xml><?xml version="1.0" encoding="utf-8"?>
<ds:datastoreItem xmlns:ds="http://schemas.openxmlformats.org/officeDocument/2006/customXml" ds:itemID="{EA64D548-2D33-4A31-A9EB-14EBBB926B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4730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2019-09-25T09:38:00Z</dcterms:created>
  <dcterms:modified xsi:type="dcterms:W3CDTF">2019-09-25T09:51:00Z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  <property fmtid="{D5CDD505-2E9C-101B-9397-08002B2CF9AE}" pid="3" name="displayDestination">
    <vt:lpwstr/>
  </property>
</Properties>
</file>