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DD5923" w:rsidRPr="00DB1CBC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D87676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Default="00DD5923" w:rsidP="00D87676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Default="00A66D05" w:rsidP="00D87676">
            <w:pPr>
              <w:jc w:val="center"/>
            </w:pPr>
            <w:r>
              <w:rPr>
                <w:rFonts w:cs="David"/>
                <w:noProof/>
                <w:lang w:eastAsia="en-US"/>
              </w:rPr>
              <w:drawing>
                <wp:inline distT="0" distB="0" distL="0" distR="0" wp14:anchorId="02876097" wp14:editId="1E912D11">
                  <wp:extent cx="1200150" cy="666750"/>
                  <wp:effectExtent l="0" t="0" r="0" b="0"/>
                  <wp:docPr id="1" name="תמונה 1" descr="60Y+bank_Color_RGB_300DPI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2B447B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="00826810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762D5A">
              <w:rPr>
                <w:rFonts w:cs="David" w:hint="cs"/>
                <w:sz w:val="24"/>
                <w:szCs w:val="24"/>
                <w:rtl/>
              </w:rPr>
              <w:t>כ"</w:t>
            </w:r>
            <w:r w:rsidR="002B447B">
              <w:rPr>
                <w:rFonts w:cs="David" w:hint="cs"/>
                <w:sz w:val="24"/>
                <w:szCs w:val="24"/>
                <w:rtl/>
              </w:rPr>
              <w:t>ט</w:t>
            </w:r>
            <w:r w:rsidR="00A5716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02DD5">
              <w:rPr>
                <w:rFonts w:cs="David" w:hint="cs"/>
                <w:sz w:val="24"/>
                <w:szCs w:val="24"/>
                <w:rtl/>
              </w:rPr>
              <w:t>ב</w:t>
            </w:r>
            <w:r w:rsidR="002B447B">
              <w:rPr>
                <w:rFonts w:cs="David" w:hint="cs"/>
                <w:sz w:val="24"/>
                <w:szCs w:val="24"/>
                <w:rtl/>
              </w:rPr>
              <w:t>תמוז</w:t>
            </w:r>
            <w:r w:rsidR="004625EB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614095">
              <w:rPr>
                <w:rFonts w:cs="David" w:hint="cs"/>
                <w:sz w:val="24"/>
                <w:szCs w:val="24"/>
                <w:rtl/>
              </w:rPr>
              <w:t>ה</w:t>
            </w:r>
            <w:r w:rsidR="004625EB">
              <w:rPr>
                <w:rFonts w:cs="David"/>
                <w:sz w:val="24"/>
                <w:szCs w:val="24"/>
                <w:rtl/>
              </w:rPr>
              <w:t>תשע"</w:t>
            </w:r>
            <w:r w:rsidR="004625EB">
              <w:rPr>
                <w:rFonts w:cs="David" w:hint="cs"/>
                <w:sz w:val="24"/>
                <w:szCs w:val="24"/>
                <w:rtl/>
              </w:rPr>
              <w:t>ד</w:t>
            </w:r>
          </w:p>
          <w:p w:rsidR="00DD5923" w:rsidRPr="00DF107C" w:rsidRDefault="00DD5923" w:rsidP="002B447B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2B447B">
              <w:rPr>
                <w:rFonts w:cs="David" w:hint="cs"/>
                <w:sz w:val="24"/>
                <w:szCs w:val="24"/>
                <w:rtl/>
              </w:rPr>
              <w:t>27</w:t>
            </w:r>
            <w:r w:rsidR="00A5716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02DD5">
              <w:rPr>
                <w:rFonts w:cs="David" w:hint="cs"/>
                <w:sz w:val="24"/>
                <w:szCs w:val="24"/>
                <w:rtl/>
              </w:rPr>
              <w:t>ביו</w:t>
            </w:r>
            <w:r w:rsidR="002B447B">
              <w:rPr>
                <w:rFonts w:cs="David" w:hint="cs"/>
                <w:sz w:val="24"/>
                <w:szCs w:val="24"/>
                <w:rtl/>
              </w:rPr>
              <w:t>ל</w:t>
            </w:r>
            <w:r w:rsidR="00802DD5">
              <w:rPr>
                <w:rFonts w:cs="David" w:hint="cs"/>
                <w:sz w:val="24"/>
                <w:szCs w:val="24"/>
                <w:rtl/>
              </w:rPr>
              <w:t>י</w:t>
            </w:r>
            <w:r>
              <w:rPr>
                <w:rFonts w:cs="David"/>
                <w:sz w:val="24"/>
                <w:szCs w:val="24"/>
                <w:rtl/>
              </w:rPr>
              <w:t xml:space="preserve"> 201</w:t>
            </w:r>
            <w:r w:rsidR="00E15796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</w:tr>
    </w:tbl>
    <w:p w:rsidR="00FE034E" w:rsidRDefault="00FE034E" w:rsidP="007E18EE">
      <w:pPr>
        <w:bidi/>
        <w:rPr>
          <w:rtl/>
        </w:rPr>
      </w:pPr>
    </w:p>
    <w:p w:rsidR="007E18EE" w:rsidRDefault="007E18EE" w:rsidP="007E18EE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C04A6B" w:rsidRDefault="002C7213" w:rsidP="00A66D05">
      <w:pPr>
        <w:bidi/>
        <w:spacing w:line="360" w:lineRule="auto"/>
        <w:ind w:right="-101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2C7213">
        <w:rPr>
          <w:rFonts w:cs="David" w:hint="cs"/>
          <w:b/>
          <w:bCs/>
          <w:sz w:val="28"/>
          <w:szCs w:val="28"/>
          <w:u w:val="single"/>
          <w:rtl/>
        </w:rPr>
        <w:t xml:space="preserve">התפתחות החוב במשק </w:t>
      </w:r>
      <w:r w:rsidR="00A66D05">
        <w:rPr>
          <w:rFonts w:cs="David" w:hint="cs"/>
          <w:b/>
          <w:bCs/>
          <w:sz w:val="28"/>
          <w:szCs w:val="28"/>
          <w:u w:val="single"/>
          <w:rtl/>
        </w:rPr>
        <w:t>בחודשים</w:t>
      </w:r>
      <w:r w:rsidRPr="002C721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2B447B">
        <w:rPr>
          <w:rFonts w:cs="David" w:hint="cs"/>
          <w:b/>
          <w:bCs/>
          <w:sz w:val="28"/>
          <w:szCs w:val="28"/>
          <w:u w:val="single"/>
          <w:rtl/>
        </w:rPr>
        <w:t>מאי</w:t>
      </w:r>
      <w:r w:rsidR="00A66D05">
        <w:rPr>
          <w:rFonts w:cs="David" w:hint="cs"/>
          <w:b/>
          <w:bCs/>
          <w:sz w:val="28"/>
          <w:szCs w:val="28"/>
          <w:u w:val="single"/>
          <w:rtl/>
        </w:rPr>
        <w:t>-</w:t>
      </w:r>
      <w:r w:rsidR="002B447B">
        <w:rPr>
          <w:rFonts w:cs="David" w:hint="cs"/>
          <w:b/>
          <w:bCs/>
          <w:sz w:val="28"/>
          <w:szCs w:val="28"/>
          <w:u w:val="single"/>
          <w:rtl/>
        </w:rPr>
        <w:t>יוני</w:t>
      </w:r>
      <w:r w:rsidRPr="002C721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3B61BA">
        <w:rPr>
          <w:rFonts w:cs="David" w:hint="cs"/>
          <w:b/>
          <w:bCs/>
          <w:sz w:val="28"/>
          <w:szCs w:val="28"/>
          <w:u w:val="single"/>
          <w:rtl/>
        </w:rPr>
        <w:t>2014</w:t>
      </w:r>
    </w:p>
    <w:p w:rsidR="009F574F" w:rsidRDefault="009F574F" w:rsidP="009F574F">
      <w:pPr>
        <w:bidi/>
        <w:spacing w:line="360" w:lineRule="auto"/>
        <w:ind w:right="-101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9F574F" w:rsidRDefault="0010106E" w:rsidP="00B6481E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יתרת החוב של </w:t>
      </w:r>
      <w:r w:rsidRPr="009F574F">
        <w:rPr>
          <w:rFonts w:cs="David" w:hint="cs"/>
          <w:b/>
          <w:bCs/>
          <w:sz w:val="24"/>
          <w:szCs w:val="24"/>
          <w:rtl/>
        </w:rPr>
        <w:t>המגזר העסקי</w:t>
      </w:r>
      <w:r>
        <w:rPr>
          <w:rFonts w:cs="David" w:hint="cs"/>
          <w:sz w:val="24"/>
          <w:szCs w:val="24"/>
          <w:rtl/>
        </w:rPr>
        <w:t xml:space="preserve"> עלתה בחודש </w:t>
      </w:r>
      <w:r w:rsidR="002B447B">
        <w:rPr>
          <w:rFonts w:cs="David" w:hint="cs"/>
          <w:sz w:val="24"/>
          <w:szCs w:val="24"/>
          <w:rtl/>
        </w:rPr>
        <w:t>מאי</w:t>
      </w:r>
      <w:r>
        <w:rPr>
          <w:rFonts w:cs="David" w:hint="cs"/>
          <w:sz w:val="24"/>
          <w:szCs w:val="24"/>
          <w:rtl/>
        </w:rPr>
        <w:t xml:space="preserve"> ב-</w:t>
      </w:r>
      <w:r w:rsidR="00B6481E">
        <w:rPr>
          <w:rFonts w:cs="David" w:hint="cs"/>
          <w:sz w:val="24"/>
          <w:szCs w:val="24"/>
          <w:rtl/>
        </w:rPr>
        <w:t>0.7</w:t>
      </w:r>
      <w:r>
        <w:rPr>
          <w:rFonts w:cs="David" w:hint="cs"/>
          <w:sz w:val="24"/>
          <w:szCs w:val="24"/>
          <w:rtl/>
        </w:rPr>
        <w:t>% לרמה של כ-</w:t>
      </w:r>
      <w:r w:rsidR="00B6481E">
        <w:rPr>
          <w:rFonts w:cs="David" w:hint="cs"/>
          <w:sz w:val="24"/>
          <w:szCs w:val="24"/>
          <w:rtl/>
        </w:rPr>
        <w:t>786</w:t>
      </w:r>
      <w:r>
        <w:rPr>
          <w:rFonts w:cs="David" w:hint="cs"/>
          <w:sz w:val="24"/>
          <w:szCs w:val="24"/>
          <w:rtl/>
        </w:rPr>
        <w:t xml:space="preserve"> מיליארדי ש"ח.</w:t>
      </w:r>
      <w:r>
        <w:rPr>
          <w:rFonts w:cs="David"/>
          <w:sz w:val="24"/>
          <w:szCs w:val="24"/>
          <w:rtl/>
        </w:rPr>
        <w:br/>
      </w:r>
      <w:r w:rsidR="009F574F">
        <w:rPr>
          <w:rFonts w:cs="David" w:hint="cs"/>
          <w:sz w:val="24"/>
          <w:szCs w:val="24"/>
          <w:rtl/>
        </w:rPr>
        <w:t xml:space="preserve">יתרת החוב של </w:t>
      </w:r>
      <w:r w:rsidR="009F574F" w:rsidRPr="009F574F">
        <w:rPr>
          <w:rFonts w:cs="David" w:hint="cs"/>
          <w:b/>
          <w:bCs/>
          <w:sz w:val="24"/>
          <w:szCs w:val="24"/>
          <w:rtl/>
        </w:rPr>
        <w:t>משקי הבית</w:t>
      </w:r>
      <w:r w:rsidR="009F574F">
        <w:rPr>
          <w:rFonts w:cs="David" w:hint="cs"/>
          <w:sz w:val="24"/>
          <w:szCs w:val="24"/>
          <w:rtl/>
        </w:rPr>
        <w:t xml:space="preserve"> </w:t>
      </w:r>
      <w:r w:rsidR="00AA70E3">
        <w:rPr>
          <w:rFonts w:cs="David" w:hint="cs"/>
          <w:sz w:val="24"/>
          <w:szCs w:val="24"/>
          <w:rtl/>
        </w:rPr>
        <w:t>גדלה</w:t>
      </w:r>
      <w:r w:rsidR="009F574F">
        <w:rPr>
          <w:rFonts w:cs="David" w:hint="cs"/>
          <w:sz w:val="24"/>
          <w:szCs w:val="24"/>
          <w:rtl/>
        </w:rPr>
        <w:t xml:space="preserve"> בכ-</w:t>
      </w:r>
      <w:r w:rsidR="00B6481E">
        <w:rPr>
          <w:rFonts w:cs="David" w:hint="cs"/>
          <w:sz w:val="24"/>
          <w:szCs w:val="24"/>
          <w:rtl/>
        </w:rPr>
        <w:t>3.2</w:t>
      </w:r>
      <w:r w:rsidR="009F574F">
        <w:rPr>
          <w:rFonts w:cs="David" w:hint="cs"/>
          <w:sz w:val="24"/>
          <w:szCs w:val="24"/>
          <w:rtl/>
        </w:rPr>
        <w:t xml:space="preserve"> מיליארדי ש"ח (0.</w:t>
      </w:r>
      <w:r w:rsidR="00B6481E">
        <w:rPr>
          <w:rFonts w:cs="David" w:hint="cs"/>
          <w:sz w:val="24"/>
          <w:szCs w:val="24"/>
          <w:rtl/>
        </w:rPr>
        <w:t>8</w:t>
      </w:r>
      <w:r w:rsidR="009F574F">
        <w:rPr>
          <w:rFonts w:cs="David" w:hint="cs"/>
          <w:sz w:val="24"/>
          <w:szCs w:val="24"/>
          <w:rtl/>
        </w:rPr>
        <w:t>%) ועמדה בסוף החודש על כ-</w:t>
      </w:r>
      <w:r w:rsidR="00AA70E3">
        <w:rPr>
          <w:rFonts w:cs="David" w:hint="cs"/>
          <w:sz w:val="24"/>
          <w:szCs w:val="24"/>
          <w:rtl/>
        </w:rPr>
        <w:t>41</w:t>
      </w:r>
      <w:r w:rsidR="00B6481E">
        <w:rPr>
          <w:rFonts w:cs="David" w:hint="cs"/>
          <w:sz w:val="24"/>
          <w:szCs w:val="24"/>
          <w:rtl/>
        </w:rPr>
        <w:t>7</w:t>
      </w:r>
      <w:r w:rsidR="009F574F">
        <w:rPr>
          <w:rFonts w:cs="David" w:hint="cs"/>
          <w:sz w:val="24"/>
          <w:szCs w:val="24"/>
          <w:rtl/>
        </w:rPr>
        <w:t xml:space="preserve"> מיליארדים.</w:t>
      </w:r>
    </w:p>
    <w:p w:rsidR="009F574F" w:rsidRDefault="009F574F" w:rsidP="009F574F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9F574F" w:rsidRDefault="009F574F" w:rsidP="009F574F">
      <w:pPr>
        <w:pStyle w:val="a9"/>
        <w:numPr>
          <w:ilvl w:val="0"/>
          <w:numId w:val="1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 w:rsidRPr="009F574F">
        <w:rPr>
          <w:rFonts w:cs="David" w:hint="cs"/>
          <w:sz w:val="24"/>
          <w:szCs w:val="24"/>
          <w:u w:val="single"/>
          <w:rtl/>
        </w:rPr>
        <w:t>החוב של המגזר העסקי</w:t>
      </w:r>
    </w:p>
    <w:p w:rsidR="00AD1348" w:rsidRDefault="00AA70E3" w:rsidP="005921D5">
      <w:pPr>
        <w:pStyle w:val="a9"/>
        <w:numPr>
          <w:ilvl w:val="0"/>
          <w:numId w:val="2"/>
        </w:num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  <w:r w:rsidRPr="00AD1348">
        <w:rPr>
          <w:rFonts w:cs="David" w:hint="cs"/>
          <w:sz w:val="24"/>
          <w:szCs w:val="24"/>
          <w:rtl/>
        </w:rPr>
        <w:t xml:space="preserve">מהחטיבה למידע ולסטטיסטיקה נמסר, כי בחודש </w:t>
      </w:r>
      <w:r w:rsidR="002B447B">
        <w:rPr>
          <w:rFonts w:cs="David" w:hint="cs"/>
          <w:sz w:val="24"/>
          <w:szCs w:val="24"/>
          <w:rtl/>
        </w:rPr>
        <w:t>מאי</w:t>
      </w:r>
      <w:r w:rsidRPr="00AD1348">
        <w:rPr>
          <w:rFonts w:cs="David" w:hint="cs"/>
          <w:sz w:val="24"/>
          <w:szCs w:val="24"/>
          <w:rtl/>
        </w:rPr>
        <w:t xml:space="preserve"> </w:t>
      </w:r>
      <w:r w:rsidR="00AD1348" w:rsidRPr="00AD1348">
        <w:rPr>
          <w:rFonts w:cs="David" w:hint="cs"/>
          <w:sz w:val="24"/>
          <w:szCs w:val="24"/>
          <w:rtl/>
        </w:rPr>
        <w:t>גדלה</w:t>
      </w:r>
      <w:r w:rsidRPr="00AD1348">
        <w:rPr>
          <w:rFonts w:cs="David" w:hint="cs"/>
          <w:sz w:val="24"/>
          <w:szCs w:val="24"/>
          <w:rtl/>
        </w:rPr>
        <w:t xml:space="preserve"> יתרת החוב של המגזר העסקי בכ-</w:t>
      </w:r>
      <w:r w:rsidR="009311DE">
        <w:rPr>
          <w:rFonts w:cs="David" w:hint="cs"/>
          <w:sz w:val="24"/>
          <w:szCs w:val="24"/>
          <w:rtl/>
        </w:rPr>
        <w:t>5.5</w:t>
      </w:r>
      <w:r w:rsidRPr="00AD1348">
        <w:rPr>
          <w:rFonts w:cs="David" w:hint="cs"/>
          <w:sz w:val="24"/>
          <w:szCs w:val="24"/>
          <w:rtl/>
        </w:rPr>
        <w:t xml:space="preserve"> מיליארדי ש"ח לרמה של כ-</w:t>
      </w:r>
      <w:r w:rsidR="00AD1348" w:rsidRPr="00AD1348">
        <w:rPr>
          <w:rFonts w:cs="David" w:hint="cs"/>
          <w:sz w:val="24"/>
          <w:szCs w:val="24"/>
          <w:rtl/>
        </w:rPr>
        <w:t>78</w:t>
      </w:r>
      <w:r w:rsidR="009311DE">
        <w:rPr>
          <w:rFonts w:cs="David" w:hint="cs"/>
          <w:sz w:val="24"/>
          <w:szCs w:val="24"/>
          <w:rtl/>
        </w:rPr>
        <w:t>6</w:t>
      </w:r>
      <w:r w:rsidRPr="00AD1348">
        <w:rPr>
          <w:rFonts w:cs="David" w:hint="cs"/>
          <w:sz w:val="24"/>
          <w:szCs w:val="24"/>
          <w:rtl/>
        </w:rPr>
        <w:t xml:space="preserve"> מיליארדים (0.</w:t>
      </w:r>
      <w:r w:rsidR="009311DE">
        <w:rPr>
          <w:rFonts w:cs="David" w:hint="cs"/>
          <w:sz w:val="24"/>
          <w:szCs w:val="24"/>
          <w:rtl/>
        </w:rPr>
        <w:t>7</w:t>
      </w:r>
      <w:r w:rsidRPr="00AD1348">
        <w:rPr>
          <w:rFonts w:cs="David" w:hint="cs"/>
          <w:sz w:val="24"/>
          <w:szCs w:val="24"/>
          <w:rtl/>
        </w:rPr>
        <w:t xml:space="preserve">%). </w:t>
      </w:r>
      <w:r w:rsidR="009311DE">
        <w:rPr>
          <w:rFonts w:cs="David" w:hint="cs"/>
          <w:sz w:val="24"/>
          <w:szCs w:val="24"/>
          <w:rtl/>
        </w:rPr>
        <w:t xml:space="preserve">העלייה ביתרה נבעה </w:t>
      </w:r>
      <w:r w:rsidR="00065320">
        <w:rPr>
          <w:rFonts w:cs="David" w:hint="cs"/>
          <w:sz w:val="24"/>
          <w:szCs w:val="24"/>
          <w:rtl/>
        </w:rPr>
        <w:t xml:space="preserve">ברובה </w:t>
      </w:r>
      <w:r w:rsidR="00B63DC4">
        <w:rPr>
          <w:rFonts w:cs="David" w:hint="cs"/>
          <w:sz w:val="24"/>
          <w:szCs w:val="24"/>
          <w:rtl/>
        </w:rPr>
        <w:t xml:space="preserve">מגיוס חוב נטו, </w:t>
      </w:r>
      <w:r w:rsidR="005921D5">
        <w:rPr>
          <w:rFonts w:cs="David" w:hint="cs"/>
          <w:sz w:val="24"/>
          <w:szCs w:val="24"/>
          <w:rtl/>
        </w:rPr>
        <w:t>באמצעות</w:t>
      </w:r>
      <w:r w:rsidR="00B63DC4">
        <w:rPr>
          <w:rFonts w:cs="David" w:hint="cs"/>
          <w:sz w:val="24"/>
          <w:szCs w:val="24"/>
          <w:rtl/>
        </w:rPr>
        <w:t xml:space="preserve"> </w:t>
      </w:r>
      <w:r w:rsidR="009311DE">
        <w:rPr>
          <w:rFonts w:cs="David" w:hint="cs"/>
          <w:sz w:val="24"/>
          <w:szCs w:val="24"/>
          <w:rtl/>
        </w:rPr>
        <w:t>אג"ח סחיר ולא סחיר והלוואות לא בנקאיות.</w:t>
      </w:r>
      <w:r w:rsidR="00065320">
        <w:rPr>
          <w:rFonts w:cs="David" w:hint="cs"/>
          <w:sz w:val="24"/>
          <w:szCs w:val="24"/>
          <w:rtl/>
        </w:rPr>
        <w:t xml:space="preserve"> העלייה ביתרה נבעה גם מעליית מדד המחירים ב-0.1% ומפיחות השקל מול הדולר ב-0.3% שהגדיל את השווי השקלי של החוב הצמוד והנקוב במט"ח.</w:t>
      </w:r>
    </w:p>
    <w:p w:rsidR="009444D9" w:rsidRDefault="009444D9" w:rsidP="009444D9">
      <w:pPr>
        <w:pStyle w:val="a9"/>
        <w:numPr>
          <w:ilvl w:val="0"/>
          <w:numId w:val="2"/>
        </w:num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  <w:r w:rsidRPr="009444D9">
        <w:rPr>
          <w:rFonts w:cs="David"/>
          <w:sz w:val="24"/>
          <w:szCs w:val="24"/>
          <w:rtl/>
        </w:rPr>
        <w:t>בחודשיים האחרונים ניכרת עצירה במגמת הירידה בחוב של המגזר העסקי, לאחר יותר משנה  (ראה איור 1).</w:t>
      </w:r>
    </w:p>
    <w:p w:rsidR="00AA70E3" w:rsidRPr="007F5009" w:rsidRDefault="00AA70E3" w:rsidP="009444D9">
      <w:pPr>
        <w:pStyle w:val="a9"/>
        <w:numPr>
          <w:ilvl w:val="0"/>
          <w:numId w:val="2"/>
        </w:num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577146">
        <w:rPr>
          <w:rFonts w:cs="David" w:hint="eastAsia"/>
          <w:sz w:val="24"/>
          <w:szCs w:val="24"/>
          <w:rtl/>
        </w:rPr>
        <w:t>בחודש</w:t>
      </w:r>
      <w:r w:rsidRPr="00577146">
        <w:rPr>
          <w:rFonts w:cs="David"/>
          <w:sz w:val="24"/>
          <w:szCs w:val="24"/>
          <w:rtl/>
        </w:rPr>
        <w:t xml:space="preserve"> </w:t>
      </w:r>
      <w:r w:rsidR="00F632C4" w:rsidRPr="00577146">
        <w:rPr>
          <w:rFonts w:cs="David" w:hint="eastAsia"/>
          <w:sz w:val="24"/>
          <w:szCs w:val="24"/>
          <w:rtl/>
        </w:rPr>
        <w:t>יו</w:t>
      </w:r>
      <w:r w:rsidR="00137006" w:rsidRPr="00577146">
        <w:rPr>
          <w:rFonts w:cs="David" w:hint="cs"/>
          <w:sz w:val="24"/>
          <w:szCs w:val="24"/>
          <w:rtl/>
        </w:rPr>
        <w:t>נ</w:t>
      </w:r>
      <w:r w:rsidR="002B447B" w:rsidRPr="00577146">
        <w:rPr>
          <w:rFonts w:cs="David" w:hint="eastAsia"/>
          <w:sz w:val="24"/>
          <w:szCs w:val="24"/>
          <w:rtl/>
        </w:rPr>
        <w:t>י</w:t>
      </w:r>
      <w:r w:rsidRPr="00577146">
        <w:rPr>
          <w:rFonts w:cs="David"/>
          <w:sz w:val="24"/>
          <w:szCs w:val="24"/>
          <w:rtl/>
        </w:rPr>
        <w:t xml:space="preserve"> הנפיק המגזר</w:t>
      </w:r>
      <w:r w:rsidRPr="007F5009">
        <w:rPr>
          <w:rFonts w:cs="David"/>
          <w:sz w:val="24"/>
          <w:szCs w:val="24"/>
          <w:rtl/>
        </w:rPr>
        <w:t xml:space="preserve"> העסקי (ללא בנקים וביטוח) אג"ח בשווי של כ-</w:t>
      </w:r>
      <w:r w:rsidR="00F632C4">
        <w:rPr>
          <w:rFonts w:cs="David" w:hint="cs"/>
          <w:sz w:val="24"/>
          <w:szCs w:val="24"/>
          <w:rtl/>
        </w:rPr>
        <w:t>3.6</w:t>
      </w:r>
      <w:r w:rsidRPr="007F5009">
        <w:rPr>
          <w:rFonts w:cs="David"/>
          <w:sz w:val="24"/>
          <w:szCs w:val="24"/>
          <w:rtl/>
        </w:rPr>
        <w:t xml:space="preserve"> מיליארדי ש"ח, </w:t>
      </w:r>
      <w:r w:rsidR="00F632C4">
        <w:rPr>
          <w:rFonts w:cs="David" w:hint="cs"/>
          <w:sz w:val="24"/>
          <w:szCs w:val="24"/>
          <w:rtl/>
        </w:rPr>
        <w:t>כולן באמצעות אג"ח סחיר.</w:t>
      </w:r>
    </w:p>
    <w:p w:rsidR="000911D7" w:rsidRDefault="000911D7" w:rsidP="000911D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rtl/>
        </w:rPr>
      </w:pPr>
    </w:p>
    <w:p w:rsidR="000911D7" w:rsidRDefault="000911D7" w:rsidP="000911D7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0911D7">
        <w:rPr>
          <w:rFonts w:cs="David" w:hint="cs"/>
          <w:b/>
          <w:bCs/>
          <w:sz w:val="24"/>
          <w:szCs w:val="24"/>
          <w:rtl/>
        </w:rPr>
        <w:t xml:space="preserve">לוח 1: </w:t>
      </w:r>
      <w:r w:rsidRPr="000911D7">
        <w:rPr>
          <w:rFonts w:cs="David" w:hint="cs"/>
          <w:b/>
          <w:bCs/>
          <w:sz w:val="24"/>
          <w:szCs w:val="24"/>
          <w:u w:val="single"/>
          <w:rtl/>
        </w:rPr>
        <w:t>התפלגות החוב של המגזר העסקי</w:t>
      </w:r>
    </w:p>
    <w:p w:rsidR="000911D7" w:rsidRDefault="007C3769" w:rsidP="000911D7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</w:rPr>
      </w:pPr>
      <w:r w:rsidRPr="007C3769">
        <w:rPr>
          <w:noProof/>
          <w:lang w:eastAsia="en-US"/>
        </w:rPr>
        <w:drawing>
          <wp:inline distT="0" distB="0" distL="0" distR="0" wp14:anchorId="5181EB42" wp14:editId="002B3638">
            <wp:extent cx="5274310" cy="2675614"/>
            <wp:effectExtent l="0" t="0" r="254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769" w:rsidRDefault="007C3769" w:rsidP="00BF0E66">
      <w:pPr>
        <w:pStyle w:val="a9"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C3769" w:rsidRDefault="007C3769" w:rsidP="00BF0E66">
      <w:pPr>
        <w:pStyle w:val="a9"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C3769" w:rsidRDefault="007C3769" w:rsidP="00BF0E66">
      <w:pPr>
        <w:pStyle w:val="a9"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C3769" w:rsidRDefault="007C3769" w:rsidP="00BF0E66">
      <w:pPr>
        <w:pStyle w:val="a9"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F5509B" w:rsidRPr="00F5509B" w:rsidRDefault="00F5509B" w:rsidP="00226CF2">
      <w:pPr>
        <w:pStyle w:val="a9"/>
        <w:spacing w:line="360" w:lineRule="auto"/>
        <w:ind w:left="-284" w:right="-101"/>
        <w:jc w:val="center"/>
        <w:rPr>
          <w:rFonts w:cs="David"/>
          <w:b/>
          <w:bCs/>
          <w:u w:val="single"/>
        </w:rPr>
      </w:pPr>
      <w:r>
        <w:rPr>
          <w:rFonts w:cs="David" w:hint="cs"/>
          <w:b/>
          <w:bCs/>
          <w:sz w:val="24"/>
          <w:szCs w:val="24"/>
          <w:rtl/>
        </w:rPr>
        <w:t xml:space="preserve">איור 1: </w:t>
      </w:r>
      <w:r w:rsidR="00BF0E66">
        <w:rPr>
          <w:rFonts w:cs="David" w:hint="cs"/>
          <w:b/>
          <w:bCs/>
          <w:sz w:val="24"/>
          <w:szCs w:val="24"/>
          <w:u w:val="single"/>
          <w:rtl/>
        </w:rPr>
        <w:t>ה</w:t>
      </w:r>
      <w:r w:rsidR="00BF0E66" w:rsidRPr="00F5509B">
        <w:rPr>
          <w:rFonts w:cs="David"/>
          <w:b/>
          <w:bCs/>
          <w:sz w:val="24"/>
          <w:szCs w:val="24"/>
          <w:u w:val="single"/>
          <w:rtl/>
        </w:rPr>
        <w:t>חוב הבנקאי והחוץ-בנקאי של הסקטור</w:t>
      </w:r>
      <w:r w:rsidR="00BF0E66" w:rsidRPr="00F5509B">
        <w:rPr>
          <w:rFonts w:cs="David" w:hint="cs"/>
          <w:b/>
          <w:bCs/>
          <w:sz w:val="24"/>
          <w:szCs w:val="24"/>
          <w:u w:val="single"/>
          <w:rtl/>
        </w:rPr>
        <w:t xml:space="preserve"> העסקי</w:t>
      </w:r>
      <w:r w:rsidR="00BF0E66">
        <w:rPr>
          <w:rFonts w:cs="David" w:hint="cs"/>
          <w:b/>
          <w:bCs/>
          <w:sz w:val="24"/>
          <w:szCs w:val="24"/>
          <w:u w:val="single"/>
          <w:rtl/>
        </w:rPr>
        <w:t xml:space="preserve"> - </w:t>
      </w:r>
      <w:r w:rsidRPr="00F5509B">
        <w:rPr>
          <w:rFonts w:cs="David"/>
          <w:b/>
          <w:bCs/>
          <w:sz w:val="24"/>
          <w:szCs w:val="24"/>
          <w:u w:val="single"/>
          <w:rtl/>
        </w:rPr>
        <w:t xml:space="preserve">שיעורי השינוי </w:t>
      </w:r>
      <w:r w:rsidR="00BF0E66">
        <w:rPr>
          <w:rFonts w:cs="David"/>
          <w:b/>
          <w:bCs/>
          <w:sz w:val="24"/>
          <w:szCs w:val="24"/>
          <w:u w:val="single"/>
          <w:rtl/>
        </w:rPr>
        <w:t>לעומת החודש המקביל בשנה הקודמת</w:t>
      </w:r>
    </w:p>
    <w:p w:rsidR="00F5509B" w:rsidRDefault="007C3769" w:rsidP="00F5509B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7C3769">
        <w:rPr>
          <w:noProof/>
          <w:lang w:eastAsia="en-US"/>
        </w:rPr>
        <w:drawing>
          <wp:inline distT="0" distB="0" distL="0" distR="0" wp14:anchorId="60B575CD" wp14:editId="2C751543">
            <wp:extent cx="5274310" cy="3375803"/>
            <wp:effectExtent l="0" t="0" r="254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09B" w:rsidRDefault="00F5509B" w:rsidP="00F5509B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F5509B" w:rsidRDefault="00F5509B" w:rsidP="00F5509B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0911D7" w:rsidRDefault="000911D7" w:rsidP="00F5509B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0911D7">
        <w:rPr>
          <w:rFonts w:cs="David" w:hint="cs"/>
          <w:b/>
          <w:bCs/>
          <w:sz w:val="24"/>
          <w:szCs w:val="24"/>
          <w:rtl/>
        </w:rPr>
        <w:t xml:space="preserve">לוח </w:t>
      </w:r>
      <w:r>
        <w:rPr>
          <w:rFonts w:cs="David" w:hint="cs"/>
          <w:b/>
          <w:bCs/>
          <w:sz w:val="24"/>
          <w:szCs w:val="24"/>
          <w:rtl/>
        </w:rPr>
        <w:t>2</w:t>
      </w:r>
      <w:r w:rsidRPr="000911D7">
        <w:rPr>
          <w:rFonts w:cs="David" w:hint="cs"/>
          <w:b/>
          <w:bCs/>
          <w:sz w:val="24"/>
          <w:szCs w:val="24"/>
          <w:rtl/>
        </w:rPr>
        <w:t xml:space="preserve">: </w:t>
      </w:r>
      <w:r>
        <w:rPr>
          <w:rFonts w:cs="David" w:hint="cs"/>
          <w:b/>
          <w:bCs/>
          <w:sz w:val="24"/>
          <w:szCs w:val="24"/>
          <w:u w:val="single"/>
          <w:rtl/>
        </w:rPr>
        <w:t>התפלגות החוב לפי בסיסי הצמדה</w:t>
      </w:r>
    </w:p>
    <w:p w:rsidR="000911D7" w:rsidRDefault="007C3769" w:rsidP="000911D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  <w:rtl/>
        </w:rPr>
      </w:pPr>
      <w:r w:rsidRPr="007C3769">
        <w:rPr>
          <w:noProof/>
          <w:lang w:eastAsia="en-US"/>
        </w:rPr>
        <w:drawing>
          <wp:inline distT="0" distB="0" distL="0" distR="0" wp14:anchorId="32E13075" wp14:editId="040CBB7E">
            <wp:extent cx="5274310" cy="1209917"/>
            <wp:effectExtent l="0" t="0" r="2540" b="9525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1D7" w:rsidRDefault="000911D7" w:rsidP="000911D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  <w:rtl/>
        </w:rPr>
      </w:pPr>
    </w:p>
    <w:p w:rsidR="00F5509B" w:rsidRDefault="00F5509B" w:rsidP="00F5509B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rtl/>
        </w:rPr>
      </w:pPr>
    </w:p>
    <w:p w:rsidR="00F5509B" w:rsidRDefault="00F5509B" w:rsidP="00F5509B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rtl/>
        </w:rPr>
      </w:pPr>
    </w:p>
    <w:p w:rsidR="00F5509B" w:rsidRDefault="00F5509B" w:rsidP="00F5509B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rtl/>
        </w:rPr>
      </w:pPr>
    </w:p>
    <w:p w:rsidR="00F5509B" w:rsidRDefault="00F5509B" w:rsidP="00F5509B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rtl/>
        </w:rPr>
      </w:pPr>
    </w:p>
    <w:p w:rsidR="00F5509B" w:rsidRDefault="00F5509B" w:rsidP="00F5509B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rtl/>
        </w:rPr>
      </w:pPr>
    </w:p>
    <w:p w:rsidR="00F5509B" w:rsidRDefault="00F5509B" w:rsidP="00F5509B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rtl/>
        </w:rPr>
      </w:pPr>
    </w:p>
    <w:p w:rsidR="00F5509B" w:rsidRDefault="00F5509B" w:rsidP="00F5509B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rtl/>
        </w:rPr>
      </w:pPr>
    </w:p>
    <w:p w:rsidR="00F5509B" w:rsidRDefault="00F5509B" w:rsidP="00F5509B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rtl/>
        </w:rPr>
      </w:pPr>
    </w:p>
    <w:p w:rsidR="007C3769" w:rsidRDefault="007C3769" w:rsidP="007C376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rtl/>
        </w:rPr>
      </w:pPr>
    </w:p>
    <w:p w:rsidR="007C3769" w:rsidRDefault="007C3769" w:rsidP="007C376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rtl/>
        </w:rPr>
      </w:pPr>
    </w:p>
    <w:p w:rsidR="007C3769" w:rsidRDefault="007C3769" w:rsidP="007C376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rtl/>
        </w:rPr>
      </w:pPr>
    </w:p>
    <w:p w:rsidR="007C3769" w:rsidRDefault="007C3769" w:rsidP="007C376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rtl/>
        </w:rPr>
      </w:pPr>
    </w:p>
    <w:p w:rsidR="00781240" w:rsidRDefault="00781240" w:rsidP="00F5509B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איור </w:t>
      </w:r>
      <w:r w:rsidR="00F5509B">
        <w:rPr>
          <w:rFonts w:cs="David" w:hint="cs"/>
          <w:b/>
          <w:bCs/>
          <w:sz w:val="24"/>
          <w:szCs w:val="24"/>
          <w:rtl/>
        </w:rPr>
        <w:t>2</w:t>
      </w:r>
      <w:r>
        <w:rPr>
          <w:rFonts w:cs="David" w:hint="cs"/>
          <w:b/>
          <w:bCs/>
          <w:sz w:val="24"/>
          <w:szCs w:val="24"/>
          <w:rtl/>
        </w:rPr>
        <w:t xml:space="preserve">: </w:t>
      </w:r>
      <w:r>
        <w:rPr>
          <w:rFonts w:cs="David" w:hint="cs"/>
          <w:b/>
          <w:bCs/>
          <w:sz w:val="24"/>
          <w:szCs w:val="24"/>
          <w:u w:val="single"/>
          <w:rtl/>
        </w:rPr>
        <w:t>הנפקות אג"ח של הסקטור העסקי הלא פיננסי</w:t>
      </w:r>
    </w:p>
    <w:p w:rsidR="00781240" w:rsidRDefault="00784F91" w:rsidP="00FA6355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784F91">
        <w:rPr>
          <w:noProof/>
          <w:lang w:eastAsia="en-US"/>
        </w:rPr>
        <w:drawing>
          <wp:inline distT="0" distB="0" distL="0" distR="0" wp14:anchorId="3241C328" wp14:editId="1FE890E0">
            <wp:extent cx="5274310" cy="4234709"/>
            <wp:effectExtent l="0" t="0" r="2540" b="0"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3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769" w:rsidRPr="00FA6355" w:rsidRDefault="007C3769" w:rsidP="007C376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</w:rPr>
      </w:pPr>
    </w:p>
    <w:p w:rsidR="009F574F" w:rsidRDefault="009F574F" w:rsidP="000911D7">
      <w:pPr>
        <w:pStyle w:val="a9"/>
        <w:numPr>
          <w:ilvl w:val="0"/>
          <w:numId w:val="1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>
        <w:rPr>
          <w:rFonts w:cs="David" w:hint="cs"/>
          <w:sz w:val="24"/>
          <w:szCs w:val="24"/>
          <w:u w:val="single"/>
          <w:rtl/>
        </w:rPr>
        <w:t>החוב של משקי הבית</w:t>
      </w:r>
    </w:p>
    <w:p w:rsidR="004F16EA" w:rsidRPr="00943887" w:rsidRDefault="004F16EA" w:rsidP="00B63DC4">
      <w:pPr>
        <w:pStyle w:val="a9"/>
        <w:numPr>
          <w:ilvl w:val="0"/>
          <w:numId w:val="2"/>
        </w:num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943887">
        <w:rPr>
          <w:rFonts w:cs="David" w:hint="cs"/>
          <w:sz w:val="24"/>
          <w:szCs w:val="24"/>
          <w:rtl/>
        </w:rPr>
        <w:t xml:space="preserve">יתרת החוב של משקי הבית גדלה בחודש </w:t>
      </w:r>
      <w:r w:rsidR="002B447B" w:rsidRPr="00943887">
        <w:rPr>
          <w:rFonts w:cs="David" w:hint="cs"/>
          <w:sz w:val="24"/>
          <w:szCs w:val="24"/>
          <w:rtl/>
        </w:rPr>
        <w:t>מאי</w:t>
      </w:r>
      <w:r w:rsidRPr="00943887">
        <w:rPr>
          <w:rFonts w:cs="David" w:hint="cs"/>
          <w:sz w:val="24"/>
          <w:szCs w:val="24"/>
          <w:rtl/>
        </w:rPr>
        <w:t xml:space="preserve"> בכ-</w:t>
      </w:r>
      <w:r w:rsidR="0025408D" w:rsidRPr="00943887">
        <w:rPr>
          <w:rFonts w:cs="David" w:hint="cs"/>
          <w:sz w:val="24"/>
          <w:szCs w:val="24"/>
          <w:rtl/>
        </w:rPr>
        <w:t>3.2</w:t>
      </w:r>
      <w:r w:rsidRPr="00943887">
        <w:rPr>
          <w:rFonts w:cs="David" w:hint="cs"/>
          <w:sz w:val="24"/>
          <w:szCs w:val="24"/>
          <w:rtl/>
        </w:rPr>
        <w:t xml:space="preserve"> מיליארדי ש"ח לרמה של כ-41</w:t>
      </w:r>
      <w:r w:rsidR="0025408D" w:rsidRPr="00943887">
        <w:rPr>
          <w:rFonts w:cs="David" w:hint="cs"/>
          <w:sz w:val="24"/>
          <w:szCs w:val="24"/>
          <w:rtl/>
        </w:rPr>
        <w:t>7</w:t>
      </w:r>
      <w:r w:rsidRPr="00943887">
        <w:rPr>
          <w:rFonts w:cs="David" w:hint="cs"/>
          <w:sz w:val="24"/>
          <w:szCs w:val="24"/>
          <w:rtl/>
        </w:rPr>
        <w:t xml:space="preserve"> </w:t>
      </w:r>
      <w:r w:rsidRPr="00577146">
        <w:rPr>
          <w:rFonts w:cs="David" w:hint="cs"/>
          <w:sz w:val="24"/>
          <w:szCs w:val="24"/>
          <w:rtl/>
        </w:rPr>
        <w:t>מיליארדים (0.</w:t>
      </w:r>
      <w:r w:rsidR="0025408D" w:rsidRPr="00577146">
        <w:rPr>
          <w:rFonts w:cs="David" w:hint="cs"/>
          <w:sz w:val="24"/>
          <w:szCs w:val="24"/>
          <w:rtl/>
        </w:rPr>
        <w:t>8</w:t>
      </w:r>
      <w:r w:rsidRPr="00577146">
        <w:rPr>
          <w:rFonts w:cs="David" w:hint="cs"/>
          <w:sz w:val="24"/>
          <w:szCs w:val="24"/>
          <w:rtl/>
        </w:rPr>
        <w:t xml:space="preserve">%). </w:t>
      </w:r>
      <w:r w:rsidR="0025408D" w:rsidRPr="00577146">
        <w:rPr>
          <w:rFonts w:cs="David" w:hint="cs"/>
          <w:sz w:val="24"/>
          <w:szCs w:val="24"/>
          <w:rtl/>
        </w:rPr>
        <w:t>יתרת החוב לדיור מסך החוב של משקי הבית עלתה בכ-1.6 מיליארדי</w:t>
      </w:r>
      <w:r w:rsidR="0025408D" w:rsidRPr="00943887">
        <w:rPr>
          <w:rFonts w:cs="David" w:hint="cs"/>
          <w:sz w:val="24"/>
          <w:szCs w:val="24"/>
          <w:rtl/>
        </w:rPr>
        <w:t xml:space="preserve"> ש"ח ועמד</w:t>
      </w:r>
      <w:r w:rsidR="005921D5">
        <w:rPr>
          <w:rFonts w:cs="David" w:hint="cs"/>
          <w:sz w:val="24"/>
          <w:szCs w:val="24"/>
          <w:rtl/>
        </w:rPr>
        <w:t xml:space="preserve">ה בסוף מאי </w:t>
      </w:r>
      <w:r w:rsidR="0025408D" w:rsidRPr="00943887">
        <w:rPr>
          <w:rFonts w:cs="David" w:hint="cs"/>
          <w:sz w:val="24"/>
          <w:szCs w:val="24"/>
          <w:rtl/>
        </w:rPr>
        <w:t>על כ-293 מיליארדים.</w:t>
      </w:r>
    </w:p>
    <w:p w:rsidR="00C94676" w:rsidRPr="00AA70E3" w:rsidRDefault="00C94676" w:rsidP="00B63DC4">
      <w:pPr>
        <w:pStyle w:val="a9"/>
        <w:numPr>
          <w:ilvl w:val="0"/>
          <w:numId w:val="2"/>
        </w:num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  <w:r w:rsidRPr="00AA70E3">
        <w:rPr>
          <w:rFonts w:cs="David" w:hint="cs"/>
          <w:sz w:val="24"/>
          <w:szCs w:val="24"/>
          <w:rtl/>
        </w:rPr>
        <w:t xml:space="preserve">בחודש </w:t>
      </w:r>
      <w:r w:rsidR="002B447B">
        <w:rPr>
          <w:rFonts w:cs="David"/>
          <w:sz w:val="24"/>
          <w:szCs w:val="24"/>
          <w:rtl/>
        </w:rPr>
        <w:t>יוני</w:t>
      </w:r>
      <w:r w:rsidR="00B63DC4">
        <w:rPr>
          <w:rFonts w:cs="David" w:hint="cs"/>
          <w:sz w:val="24"/>
          <w:szCs w:val="24"/>
          <w:rtl/>
        </w:rPr>
        <w:t xml:space="preserve"> </w:t>
      </w:r>
      <w:r w:rsidR="005921D5">
        <w:rPr>
          <w:rFonts w:cs="David" w:hint="cs"/>
          <w:sz w:val="24"/>
          <w:szCs w:val="24"/>
          <w:rtl/>
        </w:rPr>
        <w:t>הסתכמו</w:t>
      </w:r>
      <w:r w:rsidR="0097338C" w:rsidRPr="00AA70E3">
        <w:rPr>
          <w:rFonts w:cs="David"/>
          <w:sz w:val="24"/>
          <w:szCs w:val="24"/>
          <w:rtl/>
        </w:rPr>
        <w:t xml:space="preserve"> ביצועי המשכנ</w:t>
      </w:r>
      <w:r w:rsidR="007E14D9">
        <w:rPr>
          <w:rFonts w:cs="David"/>
          <w:sz w:val="24"/>
          <w:szCs w:val="24"/>
          <w:rtl/>
        </w:rPr>
        <w:t>תאות (נטילות של משכנתאות חדשות)</w:t>
      </w:r>
      <w:r w:rsidR="00B63DC4">
        <w:rPr>
          <w:rFonts w:cs="David" w:hint="cs"/>
          <w:sz w:val="24"/>
          <w:szCs w:val="24"/>
          <w:rtl/>
        </w:rPr>
        <w:t xml:space="preserve"> </w:t>
      </w:r>
      <w:r w:rsidR="00943887">
        <w:rPr>
          <w:rFonts w:cs="David" w:hint="cs"/>
          <w:sz w:val="24"/>
          <w:szCs w:val="24"/>
          <w:rtl/>
        </w:rPr>
        <w:t>ב</w:t>
      </w:r>
      <w:r w:rsidR="0097338C" w:rsidRPr="00AA70E3">
        <w:rPr>
          <w:rFonts w:cs="David"/>
          <w:sz w:val="24"/>
          <w:szCs w:val="24"/>
          <w:rtl/>
        </w:rPr>
        <w:t>כ-</w:t>
      </w:r>
      <w:r w:rsidR="005C5F1D">
        <w:rPr>
          <w:rFonts w:cs="David" w:hint="cs"/>
          <w:sz w:val="24"/>
          <w:szCs w:val="24"/>
          <w:rtl/>
        </w:rPr>
        <w:t>4.</w:t>
      </w:r>
      <w:r w:rsidR="00943887">
        <w:rPr>
          <w:rFonts w:cs="David" w:hint="cs"/>
          <w:sz w:val="24"/>
          <w:szCs w:val="24"/>
          <w:rtl/>
        </w:rPr>
        <w:t>6</w:t>
      </w:r>
      <w:r w:rsidR="0097338C" w:rsidRPr="00AA70E3">
        <w:rPr>
          <w:rFonts w:cs="David"/>
          <w:sz w:val="24"/>
          <w:szCs w:val="24"/>
          <w:rtl/>
        </w:rPr>
        <w:t xml:space="preserve"> מיליארדי ש"ח</w:t>
      </w:r>
      <w:r w:rsidR="005C5F1D">
        <w:rPr>
          <w:rFonts w:cs="David" w:hint="cs"/>
          <w:sz w:val="24"/>
          <w:szCs w:val="24"/>
          <w:rtl/>
        </w:rPr>
        <w:t>. ממוצע הביצועים מתחילת השנה עומד על כ-4.</w:t>
      </w:r>
      <w:r w:rsidR="00943887">
        <w:rPr>
          <w:rFonts w:cs="David" w:hint="cs"/>
          <w:sz w:val="24"/>
          <w:szCs w:val="24"/>
          <w:rtl/>
        </w:rPr>
        <w:t>3</w:t>
      </w:r>
      <w:r w:rsidR="005C5F1D">
        <w:rPr>
          <w:rFonts w:cs="David" w:hint="cs"/>
          <w:sz w:val="24"/>
          <w:szCs w:val="24"/>
          <w:rtl/>
        </w:rPr>
        <w:t xml:space="preserve"> מיליארדים.</w:t>
      </w:r>
    </w:p>
    <w:p w:rsidR="00781240" w:rsidRDefault="00781240">
      <w:pPr>
        <w:spacing w:after="200" w:line="276" w:lineRule="auto"/>
        <w:rPr>
          <w:rFonts w:cs="David"/>
          <w:sz w:val="24"/>
          <w:szCs w:val="24"/>
          <w:u w:val="single"/>
        </w:rPr>
      </w:pPr>
      <w:r>
        <w:rPr>
          <w:rFonts w:cs="David"/>
          <w:sz w:val="24"/>
          <w:szCs w:val="24"/>
          <w:u w:val="single"/>
          <w:rtl/>
        </w:rPr>
        <w:br w:type="page"/>
      </w:r>
    </w:p>
    <w:p w:rsidR="00781240" w:rsidRDefault="00781240" w:rsidP="00781240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0911D7">
        <w:rPr>
          <w:rFonts w:cs="David" w:hint="cs"/>
          <w:b/>
          <w:bCs/>
          <w:sz w:val="24"/>
          <w:szCs w:val="24"/>
          <w:rtl/>
        </w:rPr>
        <w:lastRenderedPageBreak/>
        <w:t xml:space="preserve">לוח </w:t>
      </w:r>
      <w:r>
        <w:rPr>
          <w:rFonts w:cs="David" w:hint="cs"/>
          <w:b/>
          <w:bCs/>
          <w:sz w:val="24"/>
          <w:szCs w:val="24"/>
          <w:rtl/>
        </w:rPr>
        <w:t>3</w:t>
      </w:r>
      <w:r w:rsidRPr="000911D7">
        <w:rPr>
          <w:rFonts w:cs="David" w:hint="cs"/>
          <w:b/>
          <w:bCs/>
          <w:sz w:val="24"/>
          <w:szCs w:val="24"/>
          <w:rtl/>
        </w:rPr>
        <w:t xml:space="preserve">: </w:t>
      </w:r>
      <w:r>
        <w:rPr>
          <w:rFonts w:cs="David" w:hint="cs"/>
          <w:b/>
          <w:bCs/>
          <w:sz w:val="24"/>
          <w:szCs w:val="24"/>
          <w:u w:val="single"/>
          <w:rtl/>
        </w:rPr>
        <w:t>יתרות החוב של משקי הבית</w:t>
      </w:r>
    </w:p>
    <w:p w:rsidR="00781240" w:rsidRDefault="007C3769" w:rsidP="00781240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</w:rPr>
      </w:pPr>
      <w:r w:rsidRPr="007C3769">
        <w:rPr>
          <w:noProof/>
          <w:lang w:eastAsia="en-US"/>
        </w:rPr>
        <w:drawing>
          <wp:inline distT="0" distB="0" distL="0" distR="0" wp14:anchorId="68B36591" wp14:editId="454C4883">
            <wp:extent cx="5274310" cy="4141310"/>
            <wp:effectExtent l="0" t="0" r="2540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4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240" w:rsidRDefault="00781240" w:rsidP="00781240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  <w:rtl/>
        </w:rPr>
      </w:pPr>
    </w:p>
    <w:p w:rsidR="002F2629" w:rsidRDefault="002F2629" w:rsidP="00F5509B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איור </w:t>
      </w:r>
      <w:r w:rsidR="00F5509B">
        <w:rPr>
          <w:rFonts w:cs="David" w:hint="cs"/>
          <w:b/>
          <w:bCs/>
          <w:sz w:val="24"/>
          <w:szCs w:val="24"/>
          <w:rtl/>
        </w:rPr>
        <w:t>3</w:t>
      </w:r>
      <w:r>
        <w:rPr>
          <w:rFonts w:cs="David" w:hint="cs"/>
          <w:b/>
          <w:bCs/>
          <w:sz w:val="24"/>
          <w:szCs w:val="24"/>
          <w:rtl/>
        </w:rPr>
        <w:t xml:space="preserve">: </w:t>
      </w:r>
      <w:r>
        <w:rPr>
          <w:rFonts w:cs="David" w:hint="cs"/>
          <w:b/>
          <w:bCs/>
          <w:sz w:val="24"/>
          <w:szCs w:val="24"/>
          <w:u w:val="single"/>
          <w:rtl/>
        </w:rPr>
        <w:t>נטילת משכנתאות חדשות מבנקים לפי סוגי הצמדה</w:t>
      </w:r>
    </w:p>
    <w:p w:rsidR="002F2629" w:rsidRDefault="007C3769" w:rsidP="002F262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7C3769">
        <w:rPr>
          <w:noProof/>
          <w:lang w:eastAsia="en-US"/>
        </w:rPr>
        <w:drawing>
          <wp:inline distT="0" distB="0" distL="0" distR="0" wp14:anchorId="27D0F444" wp14:editId="16378F4D">
            <wp:extent cx="5274310" cy="3747568"/>
            <wp:effectExtent l="0" t="0" r="2540" b="5715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0F6" w:rsidRDefault="002430F6" w:rsidP="002430F6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9F574F" w:rsidRDefault="009F574F" w:rsidP="00781240">
      <w:pPr>
        <w:pStyle w:val="a9"/>
        <w:numPr>
          <w:ilvl w:val="0"/>
          <w:numId w:val="1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>
        <w:rPr>
          <w:rFonts w:cs="David" w:hint="cs"/>
          <w:sz w:val="24"/>
          <w:szCs w:val="24"/>
          <w:u w:val="single"/>
          <w:rtl/>
        </w:rPr>
        <w:t>עלויות החוב במשק</w:t>
      </w:r>
    </w:p>
    <w:p w:rsidR="0010106E" w:rsidRPr="0097338C" w:rsidRDefault="0010106E" w:rsidP="00943887">
      <w:pPr>
        <w:pStyle w:val="a9"/>
        <w:numPr>
          <w:ilvl w:val="0"/>
          <w:numId w:val="4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 w:rsidRPr="0097338C">
        <w:rPr>
          <w:rFonts w:cs="David" w:hint="cs"/>
          <w:sz w:val="24"/>
          <w:szCs w:val="24"/>
          <w:rtl/>
        </w:rPr>
        <w:t xml:space="preserve">בחודש </w:t>
      </w:r>
      <w:r w:rsidR="002B447B">
        <w:rPr>
          <w:rFonts w:cs="David" w:hint="cs"/>
          <w:sz w:val="24"/>
          <w:szCs w:val="24"/>
          <w:rtl/>
        </w:rPr>
        <w:t>מאי</w:t>
      </w:r>
      <w:r w:rsidRPr="0097338C">
        <w:rPr>
          <w:rFonts w:cs="David" w:hint="cs"/>
          <w:sz w:val="24"/>
          <w:szCs w:val="24"/>
          <w:rtl/>
        </w:rPr>
        <w:t xml:space="preserve"> פער הריביות במגזר הלא צמוד </w:t>
      </w:r>
      <w:r w:rsidR="00943887">
        <w:rPr>
          <w:rFonts w:cs="David" w:hint="cs"/>
          <w:sz w:val="24"/>
          <w:szCs w:val="24"/>
          <w:rtl/>
        </w:rPr>
        <w:t>הצטמצם בכ-0.04 נק' האחוז, בעיקר כתוצאה מירידה בריבית על יתרת האשראי</w:t>
      </w:r>
      <w:r w:rsidRPr="0097338C">
        <w:rPr>
          <w:rFonts w:cs="David" w:hint="cs"/>
          <w:sz w:val="24"/>
          <w:szCs w:val="24"/>
          <w:rtl/>
        </w:rPr>
        <w:t>.</w:t>
      </w:r>
    </w:p>
    <w:p w:rsidR="001316A1" w:rsidRPr="001503F7" w:rsidRDefault="00B80AE5" w:rsidP="00943887">
      <w:pPr>
        <w:pStyle w:val="a9"/>
        <w:numPr>
          <w:ilvl w:val="0"/>
          <w:numId w:val="4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 w:rsidRPr="001503F7">
        <w:rPr>
          <w:rFonts w:cs="David" w:hint="cs"/>
          <w:sz w:val="24"/>
          <w:szCs w:val="24"/>
          <w:rtl/>
        </w:rPr>
        <w:t xml:space="preserve">הפער בין הריבית על האשראי הבנקאי החדש שניתן והריבית על הפיקדונות במגזר הצמוד למדד </w:t>
      </w:r>
      <w:r w:rsidR="00943887">
        <w:rPr>
          <w:rFonts w:cs="David" w:hint="cs"/>
          <w:sz w:val="24"/>
          <w:szCs w:val="24"/>
          <w:rtl/>
        </w:rPr>
        <w:t>הצטמצם</w:t>
      </w:r>
      <w:r w:rsidRPr="001503F7">
        <w:rPr>
          <w:rFonts w:cs="David" w:hint="cs"/>
          <w:sz w:val="24"/>
          <w:szCs w:val="24"/>
          <w:rtl/>
        </w:rPr>
        <w:t xml:space="preserve"> בחודש </w:t>
      </w:r>
      <w:r w:rsidR="002B447B">
        <w:rPr>
          <w:rFonts w:cs="David" w:hint="cs"/>
          <w:sz w:val="24"/>
          <w:szCs w:val="24"/>
          <w:rtl/>
        </w:rPr>
        <w:t>מאי</w:t>
      </w:r>
      <w:r w:rsidRPr="001503F7">
        <w:rPr>
          <w:rFonts w:cs="David" w:hint="cs"/>
          <w:sz w:val="24"/>
          <w:szCs w:val="24"/>
          <w:rtl/>
        </w:rPr>
        <w:t xml:space="preserve"> בכ-</w:t>
      </w:r>
      <w:r w:rsidR="00943887">
        <w:rPr>
          <w:rFonts w:cs="David" w:hint="cs"/>
          <w:sz w:val="24"/>
          <w:szCs w:val="24"/>
          <w:rtl/>
        </w:rPr>
        <w:t>0.11</w:t>
      </w:r>
      <w:r w:rsidR="0033214F" w:rsidRPr="001503F7">
        <w:rPr>
          <w:rFonts w:cs="David" w:hint="cs"/>
          <w:sz w:val="24"/>
          <w:szCs w:val="24"/>
          <w:rtl/>
        </w:rPr>
        <w:t xml:space="preserve"> </w:t>
      </w:r>
      <w:r w:rsidRPr="001503F7">
        <w:rPr>
          <w:rFonts w:cs="David" w:hint="cs"/>
          <w:sz w:val="24"/>
          <w:szCs w:val="24"/>
          <w:rtl/>
        </w:rPr>
        <w:t xml:space="preserve">נק' אחוז, </w:t>
      </w:r>
      <w:r w:rsidR="0097338C" w:rsidRPr="001503F7">
        <w:rPr>
          <w:rFonts w:cs="David" w:hint="cs"/>
          <w:sz w:val="24"/>
          <w:szCs w:val="24"/>
          <w:rtl/>
        </w:rPr>
        <w:t xml:space="preserve">זאת </w:t>
      </w:r>
      <w:r w:rsidR="001503F7" w:rsidRPr="001503F7">
        <w:rPr>
          <w:rFonts w:cs="David" w:hint="cs"/>
          <w:sz w:val="24"/>
          <w:szCs w:val="24"/>
          <w:rtl/>
        </w:rPr>
        <w:t xml:space="preserve">בעיקר </w:t>
      </w:r>
      <w:r w:rsidRPr="001503F7">
        <w:rPr>
          <w:rFonts w:cs="David" w:hint="cs"/>
          <w:sz w:val="24"/>
          <w:szCs w:val="24"/>
          <w:rtl/>
        </w:rPr>
        <w:t xml:space="preserve">עקב </w:t>
      </w:r>
      <w:r w:rsidR="00943887">
        <w:rPr>
          <w:rFonts w:cs="David" w:hint="cs"/>
          <w:sz w:val="24"/>
          <w:szCs w:val="24"/>
          <w:rtl/>
        </w:rPr>
        <w:t>עלייה</w:t>
      </w:r>
      <w:r w:rsidR="00BB4550" w:rsidRPr="001503F7">
        <w:rPr>
          <w:rFonts w:cs="David" w:hint="cs"/>
          <w:sz w:val="24"/>
          <w:szCs w:val="24"/>
          <w:rtl/>
        </w:rPr>
        <w:t xml:space="preserve"> </w:t>
      </w:r>
      <w:r w:rsidRPr="001503F7">
        <w:rPr>
          <w:rFonts w:cs="David" w:hint="cs"/>
          <w:sz w:val="24"/>
          <w:szCs w:val="24"/>
          <w:rtl/>
        </w:rPr>
        <w:t xml:space="preserve">בריבית על </w:t>
      </w:r>
      <w:r w:rsidR="001503F7" w:rsidRPr="001503F7">
        <w:rPr>
          <w:rFonts w:cs="David" w:hint="cs"/>
          <w:sz w:val="24"/>
          <w:szCs w:val="24"/>
          <w:rtl/>
        </w:rPr>
        <w:t>הפיקדונות</w:t>
      </w:r>
      <w:r w:rsidR="00040066">
        <w:rPr>
          <w:rFonts w:cs="David" w:hint="cs"/>
          <w:sz w:val="24"/>
          <w:szCs w:val="24"/>
          <w:rtl/>
        </w:rPr>
        <w:t>.</w:t>
      </w:r>
    </w:p>
    <w:p w:rsidR="00B80AE5" w:rsidRPr="001503F7" w:rsidRDefault="002D1779" w:rsidP="002D1779">
      <w:pPr>
        <w:pStyle w:val="a9"/>
        <w:numPr>
          <w:ilvl w:val="0"/>
          <w:numId w:val="4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>
        <w:rPr>
          <w:rFonts w:cs="David" w:hint="cs"/>
          <w:sz w:val="24"/>
          <w:szCs w:val="24"/>
          <w:rtl/>
        </w:rPr>
        <w:t>בחודש מאי ממוצע</w:t>
      </w:r>
      <w:r w:rsidR="00D25967" w:rsidRPr="001503F7">
        <w:rPr>
          <w:rFonts w:cs="David" w:hint="cs"/>
          <w:sz w:val="24"/>
          <w:szCs w:val="24"/>
          <w:rtl/>
        </w:rPr>
        <w:t xml:space="preserve"> </w:t>
      </w:r>
      <w:r w:rsidR="00F1596F" w:rsidRPr="001503F7">
        <w:rPr>
          <w:rFonts w:cs="David" w:hint="cs"/>
          <w:sz w:val="24"/>
          <w:szCs w:val="24"/>
          <w:rtl/>
        </w:rPr>
        <w:t>המרווח בין תשואת מדד האג"ח הקונצרני הצמוד, תל בונד 60, לבין ממוצע תשואות האג"ח הממשלתיות הצמודות</w:t>
      </w:r>
      <w:r>
        <w:rPr>
          <w:rFonts w:cs="David" w:hint="cs"/>
          <w:sz w:val="24"/>
          <w:szCs w:val="24"/>
          <w:rtl/>
        </w:rPr>
        <w:t xml:space="preserve"> נותר כמעט ללא שינוי לעומת המרווח בחודש הקודם ועומד על </w:t>
      </w:r>
      <w:r w:rsidR="00F1596F" w:rsidRPr="001503F7">
        <w:rPr>
          <w:rFonts w:cs="David" w:hint="cs"/>
          <w:sz w:val="24"/>
          <w:szCs w:val="24"/>
          <w:rtl/>
        </w:rPr>
        <w:t>רמה של 1.</w:t>
      </w:r>
      <w:r>
        <w:rPr>
          <w:rFonts w:cs="David" w:hint="cs"/>
          <w:sz w:val="24"/>
          <w:szCs w:val="24"/>
          <w:rtl/>
        </w:rPr>
        <w:t>2</w:t>
      </w:r>
      <w:r w:rsidR="00F1596F" w:rsidRPr="001503F7">
        <w:rPr>
          <w:rFonts w:cs="David" w:hint="cs"/>
          <w:sz w:val="24"/>
          <w:szCs w:val="24"/>
          <w:rtl/>
        </w:rPr>
        <w:t xml:space="preserve"> נק'</w:t>
      </w:r>
      <w:r w:rsidR="008B10B8" w:rsidRPr="001503F7">
        <w:rPr>
          <w:rFonts w:cs="David" w:hint="cs"/>
          <w:sz w:val="24"/>
          <w:szCs w:val="24"/>
          <w:rtl/>
        </w:rPr>
        <w:t xml:space="preserve"> אחוז</w:t>
      </w:r>
      <w:r>
        <w:rPr>
          <w:rFonts w:cs="David" w:hint="cs"/>
          <w:sz w:val="24"/>
          <w:szCs w:val="24"/>
          <w:rtl/>
        </w:rPr>
        <w:t>.</w:t>
      </w:r>
    </w:p>
    <w:p w:rsidR="002F2629" w:rsidRPr="00A66D05" w:rsidRDefault="008B2B4C" w:rsidP="00B9279C">
      <w:pPr>
        <w:pStyle w:val="a9"/>
        <w:numPr>
          <w:ilvl w:val="0"/>
          <w:numId w:val="4"/>
        </w:num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  <w:r w:rsidRPr="00A66D05">
        <w:rPr>
          <w:rFonts w:cs="David" w:hint="cs"/>
          <w:sz w:val="24"/>
          <w:szCs w:val="24"/>
          <w:rtl/>
        </w:rPr>
        <w:t xml:space="preserve">בחודש </w:t>
      </w:r>
      <w:r w:rsidR="002B447B" w:rsidRPr="00A66D05">
        <w:rPr>
          <w:rFonts w:cs="David" w:hint="cs"/>
          <w:sz w:val="24"/>
          <w:szCs w:val="24"/>
          <w:rtl/>
        </w:rPr>
        <w:t>יוני</w:t>
      </w:r>
      <w:r w:rsidRPr="00A66D05">
        <w:rPr>
          <w:rFonts w:cs="David" w:hint="cs"/>
          <w:sz w:val="24"/>
          <w:szCs w:val="24"/>
          <w:rtl/>
        </w:rPr>
        <w:t xml:space="preserve"> הריבית הממוצעת על משכנתאות חדשות צמודות </w:t>
      </w:r>
      <w:r w:rsidR="00B9279C" w:rsidRPr="00A66D05">
        <w:rPr>
          <w:rFonts w:cs="David" w:hint="cs"/>
          <w:sz w:val="24"/>
          <w:szCs w:val="24"/>
          <w:rtl/>
        </w:rPr>
        <w:t>למדד ירדה בכ-0.07 נק' אחוז</w:t>
      </w:r>
      <w:r w:rsidR="00127335" w:rsidRPr="00A66D05">
        <w:rPr>
          <w:rFonts w:cs="David" w:hint="cs"/>
          <w:sz w:val="24"/>
          <w:szCs w:val="24"/>
          <w:rtl/>
        </w:rPr>
        <w:t>.</w:t>
      </w:r>
      <w:r w:rsidRPr="00A66D05">
        <w:rPr>
          <w:rFonts w:cs="David" w:hint="cs"/>
          <w:sz w:val="24"/>
          <w:szCs w:val="24"/>
          <w:rtl/>
        </w:rPr>
        <w:t xml:space="preserve"> הריבית על משכנתאות חדשות </w:t>
      </w:r>
      <w:r w:rsidR="00B9279C" w:rsidRPr="00A66D05">
        <w:rPr>
          <w:rFonts w:cs="David" w:hint="cs"/>
          <w:sz w:val="24"/>
          <w:szCs w:val="24"/>
          <w:rtl/>
        </w:rPr>
        <w:t xml:space="preserve">לא </w:t>
      </w:r>
      <w:r w:rsidRPr="00A66D05">
        <w:rPr>
          <w:rFonts w:cs="David" w:hint="cs"/>
          <w:sz w:val="24"/>
          <w:szCs w:val="24"/>
          <w:rtl/>
        </w:rPr>
        <w:t xml:space="preserve">צמודות </w:t>
      </w:r>
      <w:r w:rsidR="00063601" w:rsidRPr="00A66D05">
        <w:rPr>
          <w:rFonts w:cs="David" w:hint="cs"/>
          <w:sz w:val="24"/>
          <w:szCs w:val="24"/>
          <w:rtl/>
        </w:rPr>
        <w:t>ירדה</w:t>
      </w:r>
      <w:r w:rsidRPr="00A66D05">
        <w:rPr>
          <w:rFonts w:cs="David" w:hint="cs"/>
          <w:sz w:val="24"/>
          <w:szCs w:val="24"/>
          <w:rtl/>
        </w:rPr>
        <w:t xml:space="preserve"> בכ-</w:t>
      </w:r>
      <w:r w:rsidR="00127335" w:rsidRPr="00A66D05">
        <w:rPr>
          <w:rFonts w:cs="David" w:hint="cs"/>
          <w:sz w:val="24"/>
          <w:szCs w:val="24"/>
          <w:rtl/>
        </w:rPr>
        <w:t>0.</w:t>
      </w:r>
      <w:r w:rsidR="002D1779" w:rsidRPr="00A66D05">
        <w:rPr>
          <w:rFonts w:cs="David" w:hint="cs"/>
          <w:sz w:val="24"/>
          <w:szCs w:val="24"/>
          <w:rtl/>
        </w:rPr>
        <w:t>0</w:t>
      </w:r>
      <w:r w:rsidR="00B9279C" w:rsidRPr="00A66D05">
        <w:rPr>
          <w:rFonts w:cs="David" w:hint="cs"/>
          <w:sz w:val="24"/>
          <w:szCs w:val="24"/>
          <w:rtl/>
        </w:rPr>
        <w:t>2</w:t>
      </w:r>
      <w:r w:rsidR="00E67ECB" w:rsidRPr="00A66D05">
        <w:rPr>
          <w:rFonts w:cs="David" w:hint="cs"/>
          <w:sz w:val="24"/>
          <w:szCs w:val="24"/>
          <w:rtl/>
        </w:rPr>
        <w:t xml:space="preserve"> נק' אחוז.</w:t>
      </w:r>
      <w:r w:rsidR="001543AD" w:rsidRPr="00A66D05">
        <w:rPr>
          <w:rFonts w:cs="David" w:hint="cs"/>
          <w:sz w:val="24"/>
          <w:szCs w:val="24"/>
          <w:rtl/>
        </w:rPr>
        <w:t xml:space="preserve"> </w:t>
      </w:r>
    </w:p>
    <w:p w:rsidR="00470630" w:rsidRPr="00127335" w:rsidRDefault="00470630" w:rsidP="00470630">
      <w:pPr>
        <w:pStyle w:val="a9"/>
        <w:bidi/>
        <w:spacing w:line="360" w:lineRule="auto"/>
        <w:ind w:left="1080" w:right="-101"/>
        <w:jc w:val="both"/>
        <w:rPr>
          <w:rFonts w:cs="David"/>
          <w:sz w:val="24"/>
          <w:szCs w:val="24"/>
          <w:rtl/>
        </w:rPr>
      </w:pPr>
    </w:p>
    <w:p w:rsidR="002F2629" w:rsidRDefault="002F2629" w:rsidP="002F262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0911D7">
        <w:rPr>
          <w:rFonts w:cs="David" w:hint="cs"/>
          <w:b/>
          <w:bCs/>
          <w:sz w:val="24"/>
          <w:szCs w:val="24"/>
          <w:rtl/>
        </w:rPr>
        <w:t xml:space="preserve">לוח </w:t>
      </w:r>
      <w:r>
        <w:rPr>
          <w:rFonts w:cs="David" w:hint="cs"/>
          <w:b/>
          <w:bCs/>
          <w:sz w:val="24"/>
          <w:szCs w:val="24"/>
          <w:rtl/>
        </w:rPr>
        <w:t>4</w:t>
      </w:r>
      <w:r w:rsidRPr="000911D7">
        <w:rPr>
          <w:rFonts w:cs="David" w:hint="cs"/>
          <w:b/>
          <w:bCs/>
          <w:sz w:val="24"/>
          <w:szCs w:val="24"/>
          <w:rtl/>
        </w:rPr>
        <w:t xml:space="preserve">: </w:t>
      </w:r>
      <w:r>
        <w:rPr>
          <w:rFonts w:cs="David" w:hint="cs"/>
          <w:b/>
          <w:bCs/>
          <w:sz w:val="24"/>
          <w:szCs w:val="24"/>
          <w:u w:val="single"/>
          <w:rtl/>
        </w:rPr>
        <w:t>עלויות החוב והמרווחים</w:t>
      </w:r>
    </w:p>
    <w:p w:rsidR="002F2629" w:rsidRDefault="00B34583" w:rsidP="002F262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</w:rPr>
      </w:pPr>
      <w:r w:rsidRPr="00B34583">
        <w:rPr>
          <w:noProof/>
          <w:lang w:eastAsia="en-US"/>
        </w:rPr>
        <w:drawing>
          <wp:inline distT="0" distB="0" distL="0" distR="0" wp14:anchorId="7DF5DB3E" wp14:editId="5BE8CDBC">
            <wp:extent cx="5274310" cy="2526663"/>
            <wp:effectExtent l="0" t="0" r="2540" b="7620"/>
            <wp:docPr id="21" name="תמונה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629" w:rsidRDefault="002F2629" w:rsidP="002F2629">
      <w:pPr>
        <w:pStyle w:val="a9"/>
        <w:bidi/>
        <w:spacing w:line="360" w:lineRule="auto"/>
        <w:ind w:left="1080" w:right="-101"/>
        <w:jc w:val="both"/>
        <w:rPr>
          <w:rFonts w:cs="David"/>
          <w:sz w:val="24"/>
          <w:szCs w:val="24"/>
          <w:u w:val="single"/>
          <w:rtl/>
        </w:rPr>
      </w:pPr>
    </w:p>
    <w:p w:rsidR="002F2629" w:rsidRDefault="002F2629">
      <w:pPr>
        <w:spacing w:after="200" w:line="276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2F2629" w:rsidRDefault="002F2629" w:rsidP="00F5509B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 xml:space="preserve">איור </w:t>
      </w:r>
      <w:r w:rsidR="00F5509B">
        <w:rPr>
          <w:rFonts w:cs="David" w:hint="cs"/>
          <w:b/>
          <w:bCs/>
          <w:sz w:val="24"/>
          <w:szCs w:val="24"/>
          <w:rtl/>
        </w:rPr>
        <w:t>4</w:t>
      </w:r>
      <w:r>
        <w:rPr>
          <w:rFonts w:cs="David" w:hint="cs"/>
          <w:b/>
          <w:bCs/>
          <w:sz w:val="24"/>
          <w:szCs w:val="24"/>
          <w:rtl/>
        </w:rPr>
        <w:t xml:space="preserve">: </w:t>
      </w:r>
      <w:r>
        <w:rPr>
          <w:rFonts w:cs="David" w:hint="cs"/>
          <w:b/>
          <w:bCs/>
          <w:sz w:val="24"/>
          <w:szCs w:val="24"/>
          <w:u w:val="single"/>
          <w:rtl/>
        </w:rPr>
        <w:t>המרווח בין אג"ח חברות צמוד (תל בונד 60) לאג"ח ממשלתי צמוד</w:t>
      </w:r>
      <w:r w:rsidR="007C3769">
        <w:rPr>
          <w:rFonts w:cs="David" w:hint="cs"/>
          <w:b/>
          <w:bCs/>
          <w:sz w:val="24"/>
          <w:szCs w:val="24"/>
          <w:u w:val="single"/>
          <w:rtl/>
        </w:rPr>
        <w:t xml:space="preserve"> (ממוצע חודשי)</w:t>
      </w:r>
    </w:p>
    <w:p w:rsidR="002F2629" w:rsidRDefault="003D04A2" w:rsidP="002F2629">
      <w:pPr>
        <w:pStyle w:val="a9"/>
        <w:bidi/>
        <w:spacing w:line="360" w:lineRule="auto"/>
        <w:ind w:left="84" w:right="-101"/>
        <w:jc w:val="center"/>
        <w:rPr>
          <w:rFonts w:cs="David"/>
          <w:sz w:val="24"/>
          <w:szCs w:val="24"/>
          <w:u w:val="single"/>
          <w:rtl/>
        </w:rPr>
      </w:pPr>
      <w:r w:rsidRPr="003D04A2">
        <w:rPr>
          <w:noProof/>
          <w:lang w:eastAsia="en-US"/>
        </w:rPr>
        <w:drawing>
          <wp:inline distT="0" distB="0" distL="0" distR="0" wp14:anchorId="3636B3EC" wp14:editId="6BA127F1">
            <wp:extent cx="5274310" cy="3446005"/>
            <wp:effectExtent l="0" t="0" r="2540" b="254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629" w:rsidRDefault="002F2629" w:rsidP="002F2629">
      <w:pPr>
        <w:pStyle w:val="a9"/>
        <w:bidi/>
        <w:spacing w:line="360" w:lineRule="auto"/>
        <w:ind w:left="84" w:right="-101"/>
        <w:jc w:val="center"/>
        <w:rPr>
          <w:rFonts w:cs="David"/>
          <w:sz w:val="24"/>
          <w:szCs w:val="24"/>
          <w:u w:val="single"/>
          <w:rtl/>
        </w:rPr>
      </w:pPr>
    </w:p>
    <w:p w:rsidR="002F2629" w:rsidRDefault="002F2629" w:rsidP="00F5509B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איור </w:t>
      </w:r>
      <w:r w:rsidR="00F5509B">
        <w:rPr>
          <w:rFonts w:cs="David" w:hint="cs"/>
          <w:b/>
          <w:bCs/>
          <w:sz w:val="24"/>
          <w:szCs w:val="24"/>
          <w:rtl/>
        </w:rPr>
        <w:t>5</w:t>
      </w:r>
      <w:r>
        <w:rPr>
          <w:rFonts w:cs="David" w:hint="cs"/>
          <w:b/>
          <w:bCs/>
          <w:sz w:val="24"/>
          <w:szCs w:val="24"/>
          <w:rtl/>
        </w:rPr>
        <w:t xml:space="preserve">: 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ריביות על משכנתאות חדשות מבנקים </w:t>
      </w:r>
      <w:r>
        <w:rPr>
          <w:rFonts w:cs="David"/>
          <w:b/>
          <w:bCs/>
          <w:sz w:val="24"/>
          <w:szCs w:val="24"/>
          <w:u w:val="single"/>
          <w:rtl/>
        </w:rPr>
        <w:t>–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המגזר הלא צמוד</w:t>
      </w:r>
    </w:p>
    <w:p w:rsidR="00DE4BB3" w:rsidRDefault="007C3769" w:rsidP="00DE4BB3">
      <w:pPr>
        <w:pStyle w:val="a9"/>
        <w:bidi/>
        <w:spacing w:line="360" w:lineRule="auto"/>
        <w:ind w:left="84" w:right="-101"/>
        <w:jc w:val="center"/>
        <w:rPr>
          <w:rFonts w:cs="David"/>
          <w:sz w:val="24"/>
          <w:szCs w:val="24"/>
          <w:u w:val="single"/>
        </w:rPr>
      </w:pPr>
      <w:r w:rsidRPr="007C3769">
        <w:rPr>
          <w:noProof/>
          <w:lang w:eastAsia="en-US"/>
        </w:rPr>
        <w:drawing>
          <wp:inline distT="0" distB="0" distL="0" distR="0" wp14:anchorId="4302226C" wp14:editId="43EF56C9">
            <wp:extent cx="5274310" cy="3508881"/>
            <wp:effectExtent l="0" t="0" r="2540" b="0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BB3" w:rsidRDefault="00DE4BB3">
      <w:pPr>
        <w:spacing w:after="200" w:line="276" w:lineRule="auto"/>
        <w:rPr>
          <w:rFonts w:cs="David"/>
          <w:sz w:val="24"/>
          <w:szCs w:val="24"/>
          <w:u w:val="single"/>
        </w:rPr>
      </w:pPr>
      <w:r>
        <w:rPr>
          <w:rFonts w:cs="David"/>
          <w:sz w:val="24"/>
          <w:szCs w:val="24"/>
          <w:u w:val="single"/>
        </w:rPr>
        <w:br w:type="page"/>
      </w:r>
    </w:p>
    <w:p w:rsidR="00DE4BB3" w:rsidRDefault="00DE4BB3" w:rsidP="00F5509B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 xml:space="preserve">איור </w:t>
      </w:r>
      <w:r w:rsidR="00F5509B">
        <w:rPr>
          <w:rFonts w:cs="David" w:hint="cs"/>
          <w:b/>
          <w:bCs/>
          <w:sz w:val="24"/>
          <w:szCs w:val="24"/>
          <w:rtl/>
        </w:rPr>
        <w:t>6</w:t>
      </w:r>
      <w:r>
        <w:rPr>
          <w:rFonts w:cs="David" w:hint="cs"/>
          <w:b/>
          <w:bCs/>
          <w:sz w:val="24"/>
          <w:szCs w:val="24"/>
          <w:rtl/>
        </w:rPr>
        <w:t xml:space="preserve">: 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ריביות על משכנתאות חדשות מבנקים </w:t>
      </w:r>
      <w:r>
        <w:rPr>
          <w:rFonts w:cs="David"/>
          <w:b/>
          <w:bCs/>
          <w:sz w:val="24"/>
          <w:szCs w:val="24"/>
          <w:u w:val="single"/>
          <w:rtl/>
        </w:rPr>
        <w:t>–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המגזר צמוד המדד</w:t>
      </w:r>
    </w:p>
    <w:p w:rsidR="00DE4BB3" w:rsidRDefault="00464A9A" w:rsidP="00DE4BB3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</w:rPr>
      </w:pPr>
      <w:r w:rsidRPr="00464A9A">
        <w:rPr>
          <w:noProof/>
          <w:lang w:eastAsia="en-US"/>
        </w:rPr>
        <w:drawing>
          <wp:inline distT="0" distB="0" distL="0" distR="0" wp14:anchorId="77AFFA38" wp14:editId="351F2F6E">
            <wp:extent cx="5274310" cy="3239672"/>
            <wp:effectExtent l="0" t="0" r="2540" b="0"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281" w:rsidRDefault="00FC1281" w:rsidP="00520122">
      <w:pPr>
        <w:pStyle w:val="a9"/>
        <w:bidi/>
        <w:spacing w:line="360" w:lineRule="auto"/>
        <w:ind w:left="360" w:right="-101"/>
        <w:rPr>
          <w:rFonts w:cs="David"/>
          <w:b/>
          <w:bCs/>
          <w:sz w:val="24"/>
          <w:szCs w:val="24"/>
          <w:u w:val="single"/>
          <w:rtl/>
        </w:rPr>
      </w:pPr>
    </w:p>
    <w:p w:rsidR="00FC1281" w:rsidRDefault="00FC1281" w:rsidP="00FC1281">
      <w:pPr>
        <w:pStyle w:val="a9"/>
        <w:bidi/>
        <w:spacing w:line="360" w:lineRule="auto"/>
        <w:ind w:left="360" w:right="-101"/>
        <w:rPr>
          <w:rFonts w:cs="David"/>
          <w:b/>
          <w:bCs/>
          <w:sz w:val="24"/>
          <w:szCs w:val="24"/>
          <w:u w:val="single"/>
          <w:rtl/>
        </w:rPr>
      </w:pPr>
    </w:p>
    <w:p w:rsidR="00DE4BB3" w:rsidRDefault="00F2699B" w:rsidP="008B10B8">
      <w:pPr>
        <w:pStyle w:val="a9"/>
        <w:bidi/>
        <w:spacing w:line="360" w:lineRule="auto"/>
        <w:ind w:left="360" w:right="-10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רא</w:t>
      </w:r>
      <w:r w:rsidR="008B10B8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 xml:space="preserve"> קישור למידע נוסף בנושא המופיע באתר הבנק בדף </w:t>
      </w:r>
      <w:hyperlink r:id="rId20" w:history="1">
        <w:r w:rsidRPr="00F2699B">
          <w:rPr>
            <w:rStyle w:val="Hyperlink"/>
            <w:rFonts w:cs="David" w:hint="cs"/>
            <w:sz w:val="24"/>
            <w:szCs w:val="24"/>
            <w:rtl/>
          </w:rPr>
          <w:t>יתרות האשראי במשק</w:t>
        </w:r>
      </w:hyperlink>
    </w:p>
    <w:p w:rsidR="00F2699B" w:rsidRPr="00F2699B" w:rsidRDefault="00F2699B" w:rsidP="00F2699B">
      <w:pPr>
        <w:pStyle w:val="a9"/>
        <w:bidi/>
        <w:spacing w:line="360" w:lineRule="auto"/>
        <w:ind w:left="360" w:right="-10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קישור </w:t>
      </w:r>
      <w:hyperlink r:id="rId21" w:history="1">
        <w:r w:rsidRPr="00F2699B">
          <w:rPr>
            <w:rStyle w:val="Hyperlink"/>
            <w:rFonts w:cs="David" w:hint="cs"/>
            <w:sz w:val="24"/>
            <w:szCs w:val="24"/>
            <w:rtl/>
          </w:rPr>
          <w:t>לנתוני משכנתאות</w:t>
        </w:r>
      </w:hyperlink>
    </w:p>
    <w:p w:rsidR="002F2629" w:rsidRPr="009F574F" w:rsidRDefault="002F2629" w:rsidP="00DE4BB3">
      <w:pPr>
        <w:pStyle w:val="a9"/>
        <w:bidi/>
        <w:spacing w:line="360" w:lineRule="auto"/>
        <w:ind w:left="84" w:right="-101"/>
        <w:jc w:val="center"/>
        <w:rPr>
          <w:rFonts w:cs="David"/>
          <w:sz w:val="24"/>
          <w:szCs w:val="24"/>
          <w:u w:val="single"/>
        </w:rPr>
      </w:pPr>
      <w:bookmarkStart w:id="0" w:name="_GoBack"/>
      <w:bookmarkEnd w:id="0"/>
    </w:p>
    <w:sectPr w:rsidR="002F2629" w:rsidRPr="009F574F" w:rsidSect="00AE591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9A4" w:rsidRDefault="002B39A4" w:rsidP="00C04A6B">
      <w:r>
        <w:separator/>
      </w:r>
    </w:p>
  </w:endnote>
  <w:endnote w:type="continuationSeparator" w:id="0">
    <w:p w:rsidR="002B39A4" w:rsidRDefault="002B39A4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128" w:rsidRDefault="009B012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rtl/>
      </w:rPr>
      <w:id w:val="1001085329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2438E2" w:rsidRDefault="002438E2" w:rsidP="009B0128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cs="David"/>
                <w:rtl/>
                <w:cs/>
              </w:rPr>
            </w:pPr>
            <w:r>
              <w:rPr>
                <w:rFonts w:cs="David" w:hint="cs"/>
                <w:rtl/>
                <w:cs/>
                <w:lang w:val="he-IL"/>
              </w:rPr>
              <w:t xml:space="preserve">התפתחות החוב במשק </w:t>
            </w:r>
            <w:r>
              <w:rPr>
                <w:rFonts w:cs="David"/>
                <w:rtl/>
                <w:lang w:val="he-IL"/>
              </w:rPr>
              <w:t>–</w:t>
            </w:r>
            <w:r>
              <w:rPr>
                <w:rFonts w:cs="David" w:hint="cs"/>
                <w:rtl/>
                <w:cs/>
                <w:lang w:val="he-IL"/>
              </w:rPr>
              <w:t xml:space="preserve"> </w:t>
            </w:r>
            <w:r w:rsidR="002B447B">
              <w:rPr>
                <w:rFonts w:cs="David" w:hint="cs"/>
                <w:rtl/>
                <w:lang w:val="he-IL"/>
              </w:rPr>
              <w:t>מאי</w:t>
            </w:r>
            <w:r w:rsidR="009F574F" w:rsidRPr="009F574F">
              <w:rPr>
                <w:rFonts w:cs="David" w:hint="cs"/>
                <w:rtl/>
                <w:cs/>
                <w:lang w:val="he-IL"/>
              </w:rPr>
              <w:t>/</w:t>
            </w:r>
            <w:r w:rsidR="002B447B">
              <w:rPr>
                <w:rFonts w:cs="David" w:hint="cs"/>
                <w:rtl/>
                <w:lang w:val="he-IL"/>
              </w:rPr>
              <w:t>יוני</w:t>
            </w:r>
            <w:r w:rsidR="009F574F" w:rsidRPr="009F574F">
              <w:rPr>
                <w:rFonts w:cs="David" w:hint="cs"/>
                <w:rtl/>
                <w:cs/>
                <w:lang w:val="he-IL"/>
              </w:rPr>
              <w:t xml:space="preserve"> 201</w:t>
            </w:r>
            <w:r w:rsidR="00C47A82">
              <w:rPr>
                <w:rFonts w:cs="David" w:hint="cs"/>
                <w:rtl/>
                <w:cs/>
                <w:lang w:val="he-IL"/>
              </w:rPr>
              <w:t>4</w:t>
            </w:r>
            <w:r w:rsidRPr="009F574F">
              <w:rPr>
                <w:rFonts w:cs="David" w:hint="cs"/>
                <w:rtl/>
                <w:cs/>
                <w:lang w:val="he-IL"/>
              </w:rPr>
              <w:t xml:space="preserve"> </w:t>
            </w:r>
            <w:r>
              <w:rPr>
                <w:rFonts w:cs="David" w:hint="cs"/>
                <w:rtl/>
                <w:cs/>
                <w:lang w:val="he-IL"/>
              </w:rPr>
              <w:tab/>
            </w:r>
            <w:r>
              <w:rPr>
                <w:rFonts w:cs="David" w:hint="cs"/>
                <w:rtl/>
                <w:cs/>
                <w:lang w:val="he-IL"/>
              </w:rPr>
              <w:tab/>
            </w:r>
            <w:r w:rsidRPr="002438E2">
              <w:rPr>
                <w:rFonts w:cs="David"/>
                <w:rtl/>
                <w:cs/>
                <w:lang w:val="he-IL"/>
              </w:rPr>
              <w:t xml:space="preserve">עמוד </w:t>
            </w:r>
            <w:r w:rsidRPr="002438E2">
              <w:rPr>
                <w:rFonts w:cs="David"/>
                <w:b/>
                <w:bCs/>
              </w:rPr>
              <w:fldChar w:fldCharType="begin"/>
            </w:r>
            <w:r w:rsidRPr="002438E2">
              <w:rPr>
                <w:rFonts w:cs="David"/>
                <w:b/>
                <w:bCs/>
                <w:rtl/>
                <w:cs/>
              </w:rPr>
              <w:instrText>PAGE</w:instrText>
            </w:r>
            <w:r w:rsidRPr="002438E2">
              <w:rPr>
                <w:rFonts w:cs="David"/>
                <w:b/>
                <w:bCs/>
              </w:rPr>
              <w:fldChar w:fldCharType="separate"/>
            </w:r>
            <w:r w:rsidR="00DB3B37">
              <w:rPr>
                <w:rFonts w:cs="David"/>
                <w:b/>
                <w:bCs/>
                <w:noProof/>
                <w:rtl/>
              </w:rPr>
              <w:t>7</w:t>
            </w:r>
            <w:r w:rsidRPr="002438E2">
              <w:rPr>
                <w:rFonts w:cs="David"/>
                <w:b/>
                <w:bCs/>
              </w:rPr>
              <w:fldChar w:fldCharType="end"/>
            </w:r>
            <w:r w:rsidRPr="002438E2">
              <w:rPr>
                <w:rFonts w:cs="David"/>
                <w:rtl/>
                <w:cs/>
                <w:lang w:val="he-IL"/>
              </w:rPr>
              <w:t xml:space="preserve"> מתוך </w:t>
            </w:r>
            <w:r w:rsidRPr="002438E2">
              <w:rPr>
                <w:rFonts w:cs="David"/>
                <w:b/>
                <w:bCs/>
              </w:rPr>
              <w:fldChar w:fldCharType="begin"/>
            </w:r>
            <w:r w:rsidRPr="002438E2">
              <w:rPr>
                <w:rFonts w:cs="David"/>
                <w:b/>
                <w:bCs/>
                <w:rtl/>
                <w:cs/>
              </w:rPr>
              <w:instrText>NUMPAGES</w:instrText>
            </w:r>
            <w:r w:rsidRPr="002438E2">
              <w:rPr>
                <w:rFonts w:cs="David"/>
                <w:b/>
                <w:bCs/>
              </w:rPr>
              <w:fldChar w:fldCharType="separate"/>
            </w:r>
            <w:r w:rsidR="00DB3B37">
              <w:rPr>
                <w:rFonts w:cs="David"/>
                <w:b/>
                <w:bCs/>
                <w:noProof/>
                <w:rtl/>
              </w:rPr>
              <w:t>7</w:t>
            </w:r>
            <w:r w:rsidRPr="002438E2">
              <w:rPr>
                <w:rFonts w:cs="David"/>
                <w:b/>
                <w:bCs/>
              </w:rPr>
              <w:fldChar w:fldCharType="end"/>
            </w:r>
          </w:p>
        </w:sdtContent>
      </w:sdt>
    </w:sdtContent>
  </w:sdt>
  <w:p w:rsidR="00C04A6B" w:rsidRDefault="00C04A6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128" w:rsidRDefault="009B01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9A4" w:rsidRDefault="002B39A4" w:rsidP="00C04A6B">
      <w:r>
        <w:separator/>
      </w:r>
    </w:p>
  </w:footnote>
  <w:footnote w:type="continuationSeparator" w:id="0">
    <w:p w:rsidR="002B39A4" w:rsidRDefault="002B39A4" w:rsidP="00C04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128" w:rsidRDefault="009B012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128" w:rsidRDefault="009B012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128" w:rsidRDefault="009B012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AE6066"/>
    <w:multiLevelType w:val="hybridMultilevel"/>
    <w:tmpl w:val="06B0D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6772"/>
    <w:rsid w:val="00016D86"/>
    <w:rsid w:val="00020DFD"/>
    <w:rsid w:val="00040066"/>
    <w:rsid w:val="00063601"/>
    <w:rsid w:val="00065320"/>
    <w:rsid w:val="000911D7"/>
    <w:rsid w:val="000C62F4"/>
    <w:rsid w:val="000F0D97"/>
    <w:rsid w:val="000F5E2D"/>
    <w:rsid w:val="000F7FFC"/>
    <w:rsid w:val="0010106E"/>
    <w:rsid w:val="00107D10"/>
    <w:rsid w:val="00115A82"/>
    <w:rsid w:val="00127335"/>
    <w:rsid w:val="00127CE7"/>
    <w:rsid w:val="001316A1"/>
    <w:rsid w:val="00137006"/>
    <w:rsid w:val="001503F7"/>
    <w:rsid w:val="001543AD"/>
    <w:rsid w:val="00177686"/>
    <w:rsid w:val="00180E8A"/>
    <w:rsid w:val="001A5488"/>
    <w:rsid w:val="001D0E31"/>
    <w:rsid w:val="001D7646"/>
    <w:rsid w:val="001E5A00"/>
    <w:rsid w:val="00207EF6"/>
    <w:rsid w:val="00210333"/>
    <w:rsid w:val="00226CF2"/>
    <w:rsid w:val="002430F6"/>
    <w:rsid w:val="002438E2"/>
    <w:rsid w:val="0025408D"/>
    <w:rsid w:val="00264230"/>
    <w:rsid w:val="00265361"/>
    <w:rsid w:val="002B39A4"/>
    <w:rsid w:val="002B3FB0"/>
    <w:rsid w:val="002B447B"/>
    <w:rsid w:val="002C3A77"/>
    <w:rsid w:val="002C7213"/>
    <w:rsid w:val="002C756B"/>
    <w:rsid w:val="002D1779"/>
    <w:rsid w:val="002F2629"/>
    <w:rsid w:val="003055E7"/>
    <w:rsid w:val="00320FD1"/>
    <w:rsid w:val="0033214F"/>
    <w:rsid w:val="003509EF"/>
    <w:rsid w:val="003537B9"/>
    <w:rsid w:val="003713E8"/>
    <w:rsid w:val="0038353E"/>
    <w:rsid w:val="003901E0"/>
    <w:rsid w:val="003A242C"/>
    <w:rsid w:val="003A315C"/>
    <w:rsid w:val="003B61BA"/>
    <w:rsid w:val="003D04A2"/>
    <w:rsid w:val="003D54D0"/>
    <w:rsid w:val="003E68CF"/>
    <w:rsid w:val="00400630"/>
    <w:rsid w:val="00420F93"/>
    <w:rsid w:val="0044713E"/>
    <w:rsid w:val="00460712"/>
    <w:rsid w:val="004625EB"/>
    <w:rsid w:val="00464A9A"/>
    <w:rsid w:val="00470630"/>
    <w:rsid w:val="00472EDE"/>
    <w:rsid w:val="00497BD0"/>
    <w:rsid w:val="004B5D8D"/>
    <w:rsid w:val="004D63EE"/>
    <w:rsid w:val="004F06E0"/>
    <w:rsid w:val="004F16EA"/>
    <w:rsid w:val="004F426F"/>
    <w:rsid w:val="00502068"/>
    <w:rsid w:val="00513C0C"/>
    <w:rsid w:val="00516A2C"/>
    <w:rsid w:val="00520122"/>
    <w:rsid w:val="00521DE3"/>
    <w:rsid w:val="00577146"/>
    <w:rsid w:val="005921D5"/>
    <w:rsid w:val="005958D0"/>
    <w:rsid w:val="005A5B31"/>
    <w:rsid w:val="005A7029"/>
    <w:rsid w:val="005C32B3"/>
    <w:rsid w:val="005C5F1D"/>
    <w:rsid w:val="005D0E2A"/>
    <w:rsid w:val="005E409F"/>
    <w:rsid w:val="00604E10"/>
    <w:rsid w:val="00614095"/>
    <w:rsid w:val="00626A71"/>
    <w:rsid w:val="006C01FB"/>
    <w:rsid w:val="006E7116"/>
    <w:rsid w:val="006E7BF6"/>
    <w:rsid w:val="007102C4"/>
    <w:rsid w:val="00737755"/>
    <w:rsid w:val="00762D5A"/>
    <w:rsid w:val="00781240"/>
    <w:rsid w:val="0078308F"/>
    <w:rsid w:val="00784F91"/>
    <w:rsid w:val="0079675B"/>
    <w:rsid w:val="007C2446"/>
    <w:rsid w:val="007C3769"/>
    <w:rsid w:val="007E13A9"/>
    <w:rsid w:val="007E14D9"/>
    <w:rsid w:val="007E18EE"/>
    <w:rsid w:val="007F5009"/>
    <w:rsid w:val="00802DD5"/>
    <w:rsid w:val="008121D7"/>
    <w:rsid w:val="00826810"/>
    <w:rsid w:val="008427A8"/>
    <w:rsid w:val="00843E29"/>
    <w:rsid w:val="00852D44"/>
    <w:rsid w:val="0086330B"/>
    <w:rsid w:val="00881EF7"/>
    <w:rsid w:val="008B0765"/>
    <w:rsid w:val="008B10B8"/>
    <w:rsid w:val="008B2B4C"/>
    <w:rsid w:val="008B55E9"/>
    <w:rsid w:val="008D2EA6"/>
    <w:rsid w:val="0090225A"/>
    <w:rsid w:val="009065F1"/>
    <w:rsid w:val="009311DE"/>
    <w:rsid w:val="00943670"/>
    <w:rsid w:val="00943887"/>
    <w:rsid w:val="009444D9"/>
    <w:rsid w:val="009516D8"/>
    <w:rsid w:val="00961EFC"/>
    <w:rsid w:val="0097338C"/>
    <w:rsid w:val="009818C2"/>
    <w:rsid w:val="009A7195"/>
    <w:rsid w:val="009B0128"/>
    <w:rsid w:val="009C1434"/>
    <w:rsid w:val="009C16BD"/>
    <w:rsid w:val="009C24AF"/>
    <w:rsid w:val="009F574F"/>
    <w:rsid w:val="00A32A72"/>
    <w:rsid w:val="00A45303"/>
    <w:rsid w:val="00A46B0C"/>
    <w:rsid w:val="00A57161"/>
    <w:rsid w:val="00A66D05"/>
    <w:rsid w:val="00A96BDC"/>
    <w:rsid w:val="00AA3E80"/>
    <w:rsid w:val="00AA51B0"/>
    <w:rsid w:val="00AA70E3"/>
    <w:rsid w:val="00AB409F"/>
    <w:rsid w:val="00AB5B06"/>
    <w:rsid w:val="00AC75BF"/>
    <w:rsid w:val="00AD1348"/>
    <w:rsid w:val="00AD4F67"/>
    <w:rsid w:val="00AD5FFC"/>
    <w:rsid w:val="00AD759C"/>
    <w:rsid w:val="00AE591E"/>
    <w:rsid w:val="00AF126A"/>
    <w:rsid w:val="00B01C0D"/>
    <w:rsid w:val="00B058F3"/>
    <w:rsid w:val="00B2503D"/>
    <w:rsid w:val="00B2798D"/>
    <w:rsid w:val="00B31EFB"/>
    <w:rsid w:val="00B34583"/>
    <w:rsid w:val="00B62933"/>
    <w:rsid w:val="00B63DC4"/>
    <w:rsid w:val="00B6481E"/>
    <w:rsid w:val="00B801AB"/>
    <w:rsid w:val="00B80AE5"/>
    <w:rsid w:val="00B84BD7"/>
    <w:rsid w:val="00B9279C"/>
    <w:rsid w:val="00BB4550"/>
    <w:rsid w:val="00BD3A1C"/>
    <w:rsid w:val="00BE235C"/>
    <w:rsid w:val="00BE49A2"/>
    <w:rsid w:val="00BF0E66"/>
    <w:rsid w:val="00C04A6B"/>
    <w:rsid w:val="00C25C1C"/>
    <w:rsid w:val="00C45C9C"/>
    <w:rsid w:val="00C4703E"/>
    <w:rsid w:val="00C47A82"/>
    <w:rsid w:val="00C5174C"/>
    <w:rsid w:val="00C656C3"/>
    <w:rsid w:val="00C84B20"/>
    <w:rsid w:val="00C87F91"/>
    <w:rsid w:val="00C9110B"/>
    <w:rsid w:val="00C94676"/>
    <w:rsid w:val="00CB1B2B"/>
    <w:rsid w:val="00CE0B3C"/>
    <w:rsid w:val="00D04887"/>
    <w:rsid w:val="00D25967"/>
    <w:rsid w:val="00D3721C"/>
    <w:rsid w:val="00D40D4B"/>
    <w:rsid w:val="00D81866"/>
    <w:rsid w:val="00D86BF0"/>
    <w:rsid w:val="00D87DC1"/>
    <w:rsid w:val="00DA3CE5"/>
    <w:rsid w:val="00DA54B7"/>
    <w:rsid w:val="00DB3B37"/>
    <w:rsid w:val="00DB6C55"/>
    <w:rsid w:val="00DC3BC8"/>
    <w:rsid w:val="00DD5923"/>
    <w:rsid w:val="00DE4BB3"/>
    <w:rsid w:val="00DE6ABB"/>
    <w:rsid w:val="00E15796"/>
    <w:rsid w:val="00E577A9"/>
    <w:rsid w:val="00E67ECB"/>
    <w:rsid w:val="00E73497"/>
    <w:rsid w:val="00E85E11"/>
    <w:rsid w:val="00E870DD"/>
    <w:rsid w:val="00EC65F0"/>
    <w:rsid w:val="00ED153D"/>
    <w:rsid w:val="00EE6255"/>
    <w:rsid w:val="00EF13BA"/>
    <w:rsid w:val="00F1596F"/>
    <w:rsid w:val="00F2699B"/>
    <w:rsid w:val="00F35B9D"/>
    <w:rsid w:val="00F36EA0"/>
    <w:rsid w:val="00F5509B"/>
    <w:rsid w:val="00F632C4"/>
    <w:rsid w:val="00F852D0"/>
    <w:rsid w:val="00F96916"/>
    <w:rsid w:val="00FA6355"/>
    <w:rsid w:val="00FC1281"/>
    <w:rsid w:val="00FE034E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semiHidden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semiHidden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e.boi.org.il/he/BankingSupervision/Data/Pages/Tables.aspx?ChapterId=13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e.boi.org.il/he/DataAndStatistics/Pages/MainPage.aspx?Level=4&amp;Sid=53&amp;SubjectType=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32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E171AA1-5FF1-4865-ABDB-7276437D296F}"/>
</file>

<file path=customXml/itemProps2.xml><?xml version="1.0" encoding="utf-8"?>
<ds:datastoreItem xmlns:ds="http://schemas.openxmlformats.org/officeDocument/2006/customXml" ds:itemID="{F6CFE85A-5853-40B2-93FB-B306B245324D}"/>
</file>

<file path=customXml/itemProps3.xml><?xml version="1.0" encoding="utf-8"?>
<ds:datastoreItem xmlns:ds="http://schemas.openxmlformats.org/officeDocument/2006/customXml" ds:itemID="{D2423463-43B6-4C85-8627-5816AD9C4223}"/>
</file>

<file path=customXml/itemProps4.xml><?xml version="1.0" encoding="utf-8"?>
<ds:datastoreItem xmlns:ds="http://schemas.openxmlformats.org/officeDocument/2006/customXml" ds:itemID="{5A9A964B-3772-4302-8754-BECD38B795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446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2014-07-27T06:17:00Z</dcterms:created>
  <dcterms:modified xsi:type="dcterms:W3CDTF">2014-07-27T06:17:00Z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