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outside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EF2C2B" w:rsidRPr="00B144B2" w:rsidTr="00E35D1D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B144B2" w:rsidRDefault="00EF2C2B" w:rsidP="00E35D1D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144B2">
              <w:rPr>
                <w:rFonts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EF2C2B" w:rsidRPr="00B144B2" w:rsidRDefault="00EF2C2B" w:rsidP="00E35D1D">
            <w:pPr>
              <w:spacing w:line="360" w:lineRule="auto"/>
              <w:ind w:right="-101"/>
              <w:jc w:val="center"/>
              <w:rPr>
                <w:rFonts w:cstheme="minorHAnsi"/>
              </w:rPr>
            </w:pPr>
            <w:r w:rsidRPr="00B144B2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F2C2B" w:rsidRPr="00B144B2" w:rsidRDefault="00EF2C2B" w:rsidP="00E35D1D">
            <w:pPr>
              <w:jc w:val="center"/>
              <w:rPr>
                <w:rFonts w:cstheme="minorHAnsi"/>
              </w:rPr>
            </w:pPr>
            <w:r w:rsidRPr="00B144B2">
              <w:rPr>
                <w:rFonts w:cstheme="minorHAnsi"/>
                <w:noProof/>
              </w:rPr>
              <w:drawing>
                <wp:inline distT="0" distB="0" distL="0" distR="0" wp14:anchorId="14939B11" wp14:editId="7DB0A70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B144B2" w:rsidRDefault="00EF2C2B" w:rsidP="00E35D1D">
            <w:pPr>
              <w:spacing w:line="480" w:lineRule="auto"/>
              <w:jc w:val="right"/>
              <w:rPr>
                <w:rFonts w:cstheme="minorHAnsi"/>
              </w:rPr>
            </w:pPr>
            <w:r w:rsidRPr="00B144B2">
              <w:rPr>
                <w:rFonts w:cstheme="minorHAnsi"/>
                <w:rtl/>
              </w:rPr>
              <w:t xml:space="preserve">‏ירושלים, כ"ב באלול, </w:t>
            </w:r>
            <w:proofErr w:type="spellStart"/>
            <w:r w:rsidRPr="00B144B2">
              <w:rPr>
                <w:rFonts w:cstheme="minorHAnsi"/>
                <w:rtl/>
              </w:rPr>
              <w:t>התשפ"ד</w:t>
            </w:r>
            <w:proofErr w:type="spellEnd"/>
          </w:p>
          <w:p w:rsidR="00EF2C2B" w:rsidRPr="00B144B2" w:rsidRDefault="00EF2C2B" w:rsidP="00E35D1D">
            <w:pPr>
              <w:spacing w:line="480" w:lineRule="auto"/>
              <w:jc w:val="right"/>
              <w:rPr>
                <w:rFonts w:cstheme="minorHAnsi"/>
              </w:rPr>
            </w:pPr>
            <w:r w:rsidRPr="00B144B2">
              <w:rPr>
                <w:rFonts w:cstheme="minorHAnsi"/>
                <w:rtl/>
              </w:rPr>
              <w:t>‏‏25 בספטמבר 2024</w:t>
            </w:r>
          </w:p>
        </w:tc>
      </w:tr>
    </w:tbl>
    <w:p w:rsidR="00EF2C2B" w:rsidRPr="00B144B2" w:rsidRDefault="00EF2C2B" w:rsidP="00371212">
      <w:pPr>
        <w:jc w:val="center"/>
        <w:rPr>
          <w:rFonts w:cstheme="minorHAnsi"/>
          <w:sz w:val="24"/>
          <w:szCs w:val="24"/>
          <w:rtl/>
        </w:rPr>
      </w:pPr>
    </w:p>
    <w:p w:rsidR="007C0D19" w:rsidRPr="00B144B2" w:rsidRDefault="00FE3BFB" w:rsidP="00EF2C2B">
      <w:pPr>
        <w:rPr>
          <w:rFonts w:cstheme="minorHAnsi"/>
          <w:sz w:val="24"/>
          <w:szCs w:val="24"/>
          <w:rtl/>
        </w:rPr>
      </w:pPr>
      <w:r w:rsidRPr="00B144B2">
        <w:rPr>
          <w:rFonts w:cstheme="minorHAnsi"/>
          <w:sz w:val="24"/>
          <w:szCs w:val="24"/>
          <w:rtl/>
        </w:rPr>
        <w:t xml:space="preserve">הודעה לעיתונות: </w:t>
      </w:r>
    </w:p>
    <w:p w:rsidR="00A21AE2" w:rsidRPr="00B144B2" w:rsidRDefault="00FE3BFB" w:rsidP="00371212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B144B2">
        <w:rPr>
          <w:rFonts w:cstheme="minorHAnsi"/>
          <w:b/>
          <w:bCs/>
          <w:sz w:val="24"/>
          <w:szCs w:val="24"/>
          <w:rtl/>
        </w:rPr>
        <w:t>ד"ר זיו נאור מונתה לדוברת בנק ישראל</w:t>
      </w:r>
    </w:p>
    <w:p w:rsidR="00FE3BFB" w:rsidRPr="00B144B2" w:rsidRDefault="00FE3BFB">
      <w:pPr>
        <w:rPr>
          <w:rFonts w:cstheme="minorHAnsi"/>
          <w:sz w:val="24"/>
          <w:szCs w:val="24"/>
          <w:rtl/>
        </w:rPr>
      </w:pPr>
    </w:p>
    <w:p w:rsidR="00536446" w:rsidRPr="00B144B2" w:rsidRDefault="00FE3BFB" w:rsidP="00EF2C2B">
      <w:p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B144B2">
        <w:rPr>
          <w:rFonts w:cstheme="minorHAnsi"/>
          <w:sz w:val="24"/>
          <w:szCs w:val="24"/>
          <w:rtl/>
        </w:rPr>
        <w:t>בתום הליך מכרזי</w:t>
      </w:r>
      <w:r w:rsidR="00536446" w:rsidRPr="00B144B2">
        <w:rPr>
          <w:rFonts w:cstheme="minorHAnsi"/>
          <w:sz w:val="24"/>
          <w:szCs w:val="24"/>
          <w:rtl/>
        </w:rPr>
        <w:t xml:space="preserve"> פנימי בבנק ישראל, מונתה ד"ר זיו נאור ל</w:t>
      </w:r>
      <w:r w:rsidR="007C0D19" w:rsidRPr="00B144B2">
        <w:rPr>
          <w:rFonts w:cstheme="minorHAnsi"/>
          <w:sz w:val="24"/>
          <w:szCs w:val="24"/>
          <w:rtl/>
        </w:rPr>
        <w:t>ת</w:t>
      </w:r>
      <w:r w:rsidR="00536446" w:rsidRPr="00B144B2">
        <w:rPr>
          <w:rFonts w:cstheme="minorHAnsi"/>
          <w:sz w:val="24"/>
          <w:szCs w:val="24"/>
          <w:rtl/>
        </w:rPr>
        <w:t xml:space="preserve">פקיד דוברת הבנק </w:t>
      </w:r>
      <w:r w:rsidR="007C0D19" w:rsidRPr="00B144B2">
        <w:rPr>
          <w:rFonts w:cstheme="minorHAnsi"/>
          <w:sz w:val="24"/>
          <w:szCs w:val="24"/>
          <w:rtl/>
        </w:rPr>
        <w:t xml:space="preserve">ומנהלת אגף דוברות והסברה כלכלית </w:t>
      </w:r>
      <w:r w:rsidR="00536446" w:rsidRPr="00B144B2">
        <w:rPr>
          <w:rFonts w:cstheme="minorHAnsi"/>
          <w:sz w:val="24"/>
          <w:szCs w:val="24"/>
          <w:rtl/>
        </w:rPr>
        <w:t>במחלקת תקשורת וקשרי קהילה, בראשות נורית פלתר-איתן.</w:t>
      </w:r>
      <w:r w:rsidR="007C0D19" w:rsidRPr="00B144B2">
        <w:rPr>
          <w:rFonts w:cstheme="minorHAnsi"/>
          <w:sz w:val="24"/>
          <w:szCs w:val="24"/>
          <w:rtl/>
        </w:rPr>
        <w:t xml:space="preserve"> </w:t>
      </w:r>
      <w:r w:rsidR="00536446" w:rsidRPr="00B144B2">
        <w:rPr>
          <w:rFonts w:cstheme="minorHAnsi"/>
          <w:sz w:val="24"/>
          <w:szCs w:val="24"/>
          <w:rtl/>
        </w:rPr>
        <w:t xml:space="preserve">נאור תחליף בתפקידה את אורי ברזני, שכיהן בתפקיד </w:t>
      </w:r>
      <w:r w:rsidR="007C0D19" w:rsidRPr="00B144B2">
        <w:rPr>
          <w:rFonts w:cstheme="minorHAnsi"/>
          <w:sz w:val="24"/>
          <w:szCs w:val="24"/>
          <w:rtl/>
        </w:rPr>
        <w:t>מתחילת שנת 2020 ומונה לתפקיד ראש מטה ואסטרטגיה בפיקוח על הבנקים</w:t>
      </w:r>
      <w:r w:rsidR="00536446" w:rsidRPr="00B144B2">
        <w:rPr>
          <w:rFonts w:cstheme="minorHAnsi"/>
          <w:sz w:val="24"/>
          <w:szCs w:val="24"/>
          <w:rtl/>
        </w:rPr>
        <w:t>.</w:t>
      </w:r>
      <w:r w:rsidR="007C0D19" w:rsidRPr="00B144B2">
        <w:rPr>
          <w:rFonts w:cstheme="minorHAnsi"/>
          <w:sz w:val="24"/>
          <w:szCs w:val="24"/>
          <w:rtl/>
        </w:rPr>
        <w:t xml:space="preserve"> נאור תיכנס לתפקידה בתום תהליך חפיפה מסודר.</w:t>
      </w:r>
    </w:p>
    <w:p w:rsidR="00536446" w:rsidRPr="00B144B2" w:rsidRDefault="00536446" w:rsidP="00EF2C2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B144B2">
        <w:rPr>
          <w:rFonts w:asciiTheme="minorHAnsi" w:hAnsiTheme="minorHAnsi" w:cstheme="minorHAnsi"/>
          <w:color w:val="222222"/>
          <w:rtl/>
        </w:rPr>
        <w:t xml:space="preserve">ד"ר זיו נאור החלה את דרכה בבנק ישראל לפני כחמש עשרה שנים כחוקרת </w:t>
      </w:r>
      <w:r w:rsidRPr="00B144B2">
        <w:rPr>
          <w:rFonts w:asciiTheme="minorHAnsi" w:hAnsiTheme="minorHAnsi" w:cstheme="minorHAnsi"/>
          <w:color w:val="000000" w:themeColor="text1"/>
          <w:rtl/>
        </w:rPr>
        <w:t xml:space="preserve">באגפים המוניטרי והפיננסי </w:t>
      </w:r>
      <w:r w:rsidRPr="00B144B2">
        <w:rPr>
          <w:rFonts w:asciiTheme="minorHAnsi" w:hAnsiTheme="minorHAnsi" w:cstheme="minorHAnsi"/>
          <w:color w:val="222222"/>
          <w:rtl/>
        </w:rPr>
        <w:t xml:space="preserve">בחטיבת המחקר של בנק ישראל. בשנת 2017 מונתה למנהלת היחידה הכלכלית בפיקוח על הבנקים ובתפקידה הייתה </w:t>
      </w:r>
      <w:r w:rsidRPr="00B144B2">
        <w:rPr>
          <w:rFonts w:asciiTheme="minorHAnsi" w:hAnsiTheme="minorHAnsi" w:cstheme="minorHAnsi"/>
          <w:rtl/>
        </w:rPr>
        <w:t>שותפה לחשיבה האסטרטגית של הפיקוח על הבנקים לרבות יזום, הוצאה לפועל והסברה של צעדי מדיניות, כמו גם להליכי</w:t>
      </w:r>
      <w:r w:rsidR="00371212" w:rsidRPr="00B144B2">
        <w:rPr>
          <w:rFonts w:asciiTheme="minorHAnsi" w:hAnsiTheme="minorHAnsi" w:cstheme="minorHAnsi"/>
          <w:rtl/>
        </w:rPr>
        <w:t xml:space="preserve"> חקיקה מול ועדות </w:t>
      </w:r>
      <w:r w:rsidR="00C83759" w:rsidRPr="00B144B2">
        <w:rPr>
          <w:rFonts w:asciiTheme="minorHAnsi" w:hAnsiTheme="minorHAnsi" w:cstheme="minorHAnsi"/>
          <w:rtl/>
        </w:rPr>
        <w:t>ה</w:t>
      </w:r>
      <w:r w:rsidR="00371212" w:rsidRPr="00B144B2">
        <w:rPr>
          <w:rFonts w:asciiTheme="minorHAnsi" w:hAnsiTheme="minorHAnsi" w:cstheme="minorHAnsi"/>
          <w:rtl/>
        </w:rPr>
        <w:t>כנסת</w:t>
      </w:r>
      <w:r w:rsidR="007C0D19" w:rsidRPr="00B144B2">
        <w:rPr>
          <w:rFonts w:asciiTheme="minorHAnsi" w:hAnsiTheme="minorHAnsi" w:cstheme="minorHAnsi"/>
          <w:rtl/>
        </w:rPr>
        <w:t>. נאור</w:t>
      </w:r>
      <w:r w:rsidRPr="00B144B2">
        <w:rPr>
          <w:rFonts w:asciiTheme="minorHAnsi" w:hAnsiTheme="minorHAnsi" w:cstheme="minorHAnsi"/>
          <w:rtl/>
        </w:rPr>
        <w:t xml:space="preserve"> הובילה </w:t>
      </w:r>
      <w:r w:rsidRPr="00B144B2">
        <w:rPr>
          <w:rFonts w:asciiTheme="minorHAnsi" w:hAnsiTheme="minorHAnsi" w:cstheme="minorHAnsi"/>
          <w:color w:val="000000" w:themeColor="text1"/>
          <w:rtl/>
        </w:rPr>
        <w:t xml:space="preserve">את </w:t>
      </w:r>
      <w:r w:rsidR="00C83759" w:rsidRPr="00B144B2">
        <w:rPr>
          <w:rFonts w:asciiTheme="minorHAnsi" w:hAnsiTheme="minorHAnsi" w:cstheme="minorHAnsi"/>
          <w:color w:val="000000" w:themeColor="text1"/>
          <w:rtl/>
        </w:rPr>
        <w:t xml:space="preserve">תהליך </w:t>
      </w:r>
      <w:r w:rsidRPr="00B144B2">
        <w:rPr>
          <w:rFonts w:asciiTheme="minorHAnsi" w:hAnsiTheme="minorHAnsi" w:cstheme="minorHAnsi"/>
          <w:color w:val="000000" w:themeColor="text1"/>
          <w:rtl/>
        </w:rPr>
        <w:t xml:space="preserve">מבחני </w:t>
      </w:r>
      <w:r w:rsidRPr="00B144B2">
        <w:rPr>
          <w:rFonts w:asciiTheme="minorHAnsi" w:hAnsiTheme="minorHAnsi" w:cstheme="minorHAnsi"/>
          <w:rtl/>
        </w:rPr>
        <w:t>הקיצון למערכת הבנקאות בשנים אלו ואת כתיבתה של סקירת הפיקוח על הבנקים.</w:t>
      </w:r>
    </w:p>
    <w:p w:rsidR="00536446" w:rsidRPr="00B144B2" w:rsidRDefault="00536446" w:rsidP="00EF2C2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  <w:r w:rsidRPr="00B144B2">
        <w:rPr>
          <w:rFonts w:asciiTheme="minorHAnsi" w:hAnsiTheme="minorHAnsi" w:cstheme="minorHAnsi"/>
          <w:color w:val="222222"/>
          <w:rtl/>
        </w:rPr>
        <w:t xml:space="preserve">לנאור תואר ראשון בכלכלה וניהול מאוניברסיטת תל אביב במסגרת העתודה האקדמית, תארים שני ושלישי בכלכלה מאוניברסיטת תל-אביב, והיא בוגרת תכנית </w:t>
      </w:r>
      <w:proofErr w:type="spellStart"/>
      <w:r w:rsidRPr="00B144B2">
        <w:rPr>
          <w:rFonts w:asciiTheme="minorHAnsi" w:hAnsiTheme="minorHAnsi" w:cstheme="minorHAnsi"/>
          <w:color w:val="222222"/>
          <w:rtl/>
        </w:rPr>
        <w:t>מב"ל</w:t>
      </w:r>
      <w:proofErr w:type="spellEnd"/>
      <w:r w:rsidRPr="00B144B2">
        <w:rPr>
          <w:rFonts w:asciiTheme="minorHAnsi" w:hAnsiTheme="minorHAnsi" w:cstheme="minorHAnsi"/>
          <w:color w:val="222222"/>
          <w:rtl/>
        </w:rPr>
        <w:t xml:space="preserve"> מחזור נ"א. היא מתגוררת ברמת גן, נשואה </w:t>
      </w:r>
      <w:proofErr w:type="spellStart"/>
      <w:r w:rsidRPr="00B144B2">
        <w:rPr>
          <w:rFonts w:asciiTheme="minorHAnsi" w:hAnsiTheme="minorHAnsi" w:cstheme="minorHAnsi"/>
          <w:color w:val="222222"/>
          <w:rtl/>
        </w:rPr>
        <w:t>ואמא</w:t>
      </w:r>
      <w:proofErr w:type="spellEnd"/>
      <w:r w:rsidRPr="00B144B2">
        <w:rPr>
          <w:rFonts w:asciiTheme="minorHAnsi" w:hAnsiTheme="minorHAnsi" w:cstheme="minorHAnsi"/>
          <w:color w:val="222222"/>
          <w:rtl/>
        </w:rPr>
        <w:t xml:space="preserve"> לשלושה ילדים</w:t>
      </w:r>
      <w:r w:rsidRPr="00B144B2">
        <w:rPr>
          <w:rFonts w:asciiTheme="minorHAnsi" w:hAnsiTheme="minorHAnsi" w:cstheme="minorHAnsi"/>
          <w:color w:val="222222"/>
        </w:rPr>
        <w:t>.</w:t>
      </w:r>
    </w:p>
    <w:p w:rsidR="007C0D19" w:rsidRDefault="00536446" w:rsidP="00EF2C2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  <w:r w:rsidRPr="00B144B2">
        <w:rPr>
          <w:rFonts w:asciiTheme="minorHAnsi" w:hAnsiTheme="minorHAnsi" w:cstheme="minorHAnsi"/>
          <w:b/>
          <w:bCs/>
          <w:color w:val="222222"/>
          <w:rtl/>
        </w:rPr>
        <w:t>נגיד בנק ישראל, פרופ' אמיר ירון:</w:t>
      </w:r>
      <w:r w:rsidRPr="00B144B2">
        <w:rPr>
          <w:rFonts w:asciiTheme="minorHAnsi" w:hAnsiTheme="minorHAnsi" w:cstheme="minorHAnsi"/>
          <w:color w:val="222222"/>
          <w:rtl/>
        </w:rPr>
        <w:t xml:space="preserve"> "</w:t>
      </w:r>
      <w:r w:rsidR="007C0D19" w:rsidRPr="00B144B2">
        <w:rPr>
          <w:rFonts w:asciiTheme="minorHAnsi" w:hAnsiTheme="minorHAnsi" w:cstheme="minorHAnsi"/>
          <w:color w:val="222222"/>
          <w:rtl/>
        </w:rPr>
        <w:t xml:space="preserve">עבודת ההסברה הכלכלית היא חלק מהותי באפקטיביות צעדי המדיניות השונים שבהם נוקט בנק ישראל, ומהווה רכיב חשוב בשמירה על מוניטין הבנק והאמון שרוכש לו הציבור. </w:t>
      </w:r>
      <w:r w:rsidRPr="00B144B2">
        <w:rPr>
          <w:rFonts w:asciiTheme="minorHAnsi" w:hAnsiTheme="minorHAnsi" w:cstheme="minorHAnsi"/>
          <w:color w:val="222222"/>
          <w:rtl/>
        </w:rPr>
        <w:t xml:space="preserve">זיו נכנסת לתפקידה </w:t>
      </w:r>
      <w:r w:rsidR="007C0D19" w:rsidRPr="00B144B2">
        <w:rPr>
          <w:rFonts w:asciiTheme="minorHAnsi" w:hAnsiTheme="minorHAnsi" w:cstheme="minorHAnsi"/>
          <w:color w:val="222222"/>
          <w:rtl/>
        </w:rPr>
        <w:t>בעיצומה של תקופה מאתגרת ל</w:t>
      </w:r>
      <w:r w:rsidRPr="00B144B2">
        <w:rPr>
          <w:rFonts w:asciiTheme="minorHAnsi" w:hAnsiTheme="minorHAnsi" w:cstheme="minorHAnsi"/>
          <w:color w:val="222222"/>
          <w:rtl/>
        </w:rPr>
        <w:t xml:space="preserve">כלכלת ישראל. הניסיון </w:t>
      </w:r>
      <w:r w:rsidR="007C0D19" w:rsidRPr="00B144B2">
        <w:rPr>
          <w:rFonts w:asciiTheme="minorHAnsi" w:hAnsiTheme="minorHAnsi" w:cstheme="minorHAnsi"/>
          <w:color w:val="222222"/>
          <w:rtl/>
        </w:rPr>
        <w:t xml:space="preserve">המקצועי </w:t>
      </w:r>
      <w:r w:rsidRPr="00B144B2">
        <w:rPr>
          <w:rFonts w:asciiTheme="minorHAnsi" w:hAnsiTheme="minorHAnsi" w:cstheme="minorHAnsi"/>
          <w:color w:val="222222"/>
          <w:rtl/>
        </w:rPr>
        <w:t>שצברה, לצד הרקע האקדמי של</w:t>
      </w:r>
      <w:r w:rsidR="007C0D19" w:rsidRPr="00B144B2">
        <w:rPr>
          <w:rFonts w:asciiTheme="minorHAnsi" w:hAnsiTheme="minorHAnsi" w:cstheme="minorHAnsi"/>
          <w:color w:val="222222"/>
          <w:rtl/>
        </w:rPr>
        <w:t xml:space="preserve">ה, והבנתה במגוון סוגיות </w:t>
      </w:r>
      <w:r w:rsidRPr="00B144B2">
        <w:rPr>
          <w:rFonts w:asciiTheme="minorHAnsi" w:hAnsiTheme="minorHAnsi" w:cstheme="minorHAnsi"/>
          <w:color w:val="222222"/>
          <w:rtl/>
        </w:rPr>
        <w:t xml:space="preserve">ליבה שבהן עוסק הבנק יאפשרו לה להתמודד בהצלחה עם אתגרי התפקיד. אני </w:t>
      </w:r>
      <w:r w:rsidR="007C0D19" w:rsidRPr="00B144B2">
        <w:rPr>
          <w:rFonts w:asciiTheme="minorHAnsi" w:hAnsiTheme="minorHAnsi" w:cstheme="minorHAnsi"/>
          <w:color w:val="222222"/>
          <w:rtl/>
        </w:rPr>
        <w:t xml:space="preserve"> מאחל לה הצלחה בתפקיד החשוב. בהזדמנות זו ברצוני להודות לאורי, על תפקודו המיטבי כדובר הבנק</w:t>
      </w:r>
      <w:r w:rsidR="00C83759" w:rsidRPr="00B144B2">
        <w:rPr>
          <w:rFonts w:asciiTheme="minorHAnsi" w:hAnsiTheme="minorHAnsi" w:cstheme="minorHAnsi"/>
          <w:color w:val="222222"/>
          <w:rtl/>
        </w:rPr>
        <w:t xml:space="preserve"> וחלקו בתהליכים הכלכליים שהוביל בנק ישראל</w:t>
      </w:r>
      <w:r w:rsidR="007C0D19" w:rsidRPr="00B144B2">
        <w:rPr>
          <w:rFonts w:asciiTheme="minorHAnsi" w:hAnsiTheme="minorHAnsi" w:cstheme="minorHAnsi"/>
          <w:color w:val="222222"/>
          <w:rtl/>
        </w:rPr>
        <w:t xml:space="preserve"> באחת מהתקופות הסוערות שידעה כלכלת ישראל, </w:t>
      </w:r>
      <w:r w:rsidR="00C83759" w:rsidRPr="00B144B2">
        <w:rPr>
          <w:rFonts w:asciiTheme="minorHAnsi" w:hAnsiTheme="minorHAnsi" w:cstheme="minorHAnsi"/>
          <w:color w:val="222222"/>
          <w:rtl/>
        </w:rPr>
        <w:t>ועל עבודתו הצמודה אליי בשנים האחרונות."</w:t>
      </w:r>
    </w:p>
    <w:p w:rsidR="00FA213B" w:rsidRDefault="00FA213B" w:rsidP="00FA213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</w:p>
    <w:p w:rsidR="00FA213B" w:rsidRDefault="00FA213B" w:rsidP="00FA213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</w:p>
    <w:p w:rsidR="00FA213B" w:rsidRPr="00FA213B" w:rsidRDefault="00FA213B" w:rsidP="009E311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theme="minorHAnsi"/>
          <w:color w:val="222222"/>
        </w:rPr>
      </w:pPr>
      <w:r w:rsidRPr="00FA213B">
        <w:rPr>
          <w:rFonts w:cstheme="minorHAnsi"/>
          <w:color w:val="222222"/>
          <w:rtl/>
        </w:rPr>
        <w:lastRenderedPageBreak/>
        <w:t>ד"ר זיו נאור</w:t>
      </w:r>
    </w:p>
    <w:p w:rsidR="00FA213B" w:rsidRPr="009E311F" w:rsidRDefault="00FA213B" w:rsidP="00E0705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theme="minorHAnsi"/>
          <w:color w:val="222222"/>
          <w:rtl/>
        </w:rPr>
      </w:pPr>
      <w:r w:rsidRPr="00FA213B">
        <w:rPr>
          <w:rFonts w:cstheme="minorHAnsi"/>
          <w:color w:val="222222"/>
          <w:rtl/>
        </w:rPr>
        <w:t>קרדיט</w:t>
      </w:r>
      <w:r w:rsidR="00E0705F">
        <w:rPr>
          <w:rFonts w:cstheme="minorHAnsi" w:hint="cs"/>
          <w:color w:val="222222"/>
          <w:rtl/>
        </w:rPr>
        <w:t>:</w:t>
      </w:r>
      <w:r w:rsidRPr="00FA213B">
        <w:rPr>
          <w:rFonts w:cstheme="minorHAnsi"/>
          <w:color w:val="222222"/>
          <w:rtl/>
        </w:rPr>
        <w:t xml:space="preserve"> דוברות בנק ישראל</w:t>
      </w:r>
    </w:p>
    <w:p w:rsidR="00FA213B" w:rsidRDefault="00FA213B" w:rsidP="00FA213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  <w:r>
        <w:rPr>
          <w:rFonts w:asciiTheme="minorHAnsi" w:hAnsiTheme="minorHAnsi" w:cstheme="minorHAnsi"/>
          <w:noProof/>
          <w:color w:val="222222"/>
          <w:rtl/>
        </w:rPr>
        <w:drawing>
          <wp:inline distT="0" distB="0" distL="0" distR="0">
            <wp:extent cx="2770202" cy="2770202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זיו נאו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430" cy="27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1F" w:rsidRDefault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theme="minorHAnsi"/>
          <w:color w:val="222222"/>
          <w:rtl/>
        </w:rPr>
      </w:pPr>
    </w:p>
    <w:p w:rsidR="009E311F" w:rsidRDefault="009E311F" w:rsidP="009E311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theme="minorHAnsi" w:hint="cs"/>
          <w:color w:val="222222"/>
          <w:rtl/>
        </w:rPr>
      </w:pPr>
      <w:r w:rsidRPr="009E311F">
        <w:rPr>
          <w:rFonts w:cstheme="minorHAnsi"/>
          <w:color w:val="222222"/>
        </w:rPr>
        <w:br/>
      </w:r>
      <w:r>
        <w:rPr>
          <w:rFonts w:cstheme="minorHAnsi" w:hint="cs"/>
          <w:color w:val="222222"/>
          <w:rtl/>
        </w:rPr>
        <w:t>א</w:t>
      </w:r>
      <w:r w:rsidR="000A7606">
        <w:rPr>
          <w:rFonts w:cstheme="minorHAnsi" w:hint="cs"/>
          <w:color w:val="222222"/>
          <w:rtl/>
        </w:rPr>
        <w:t>ורי ברזני, דובר בנק ישראל היוצא</w:t>
      </w:r>
      <w:r w:rsidR="000A03C4">
        <w:rPr>
          <w:rFonts w:cstheme="minorHAnsi" w:hint="cs"/>
          <w:color w:val="222222"/>
          <w:rtl/>
        </w:rPr>
        <w:t>.</w:t>
      </w:r>
      <w:bookmarkStart w:id="0" w:name="_GoBack"/>
      <w:bookmarkEnd w:id="0"/>
    </w:p>
    <w:p w:rsidR="009E311F" w:rsidRDefault="009E311F" w:rsidP="009E311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theme="minorHAnsi"/>
          <w:color w:val="222222"/>
          <w:rtl/>
        </w:rPr>
      </w:pPr>
      <w:r w:rsidRPr="009E311F">
        <w:rPr>
          <w:rFonts w:cstheme="minorHAnsi"/>
          <w:color w:val="222222"/>
          <w:rtl/>
        </w:rPr>
        <w:t xml:space="preserve">קרדיט: רמי </w:t>
      </w:r>
      <w:proofErr w:type="spellStart"/>
      <w:r w:rsidRPr="009E311F">
        <w:rPr>
          <w:rFonts w:cstheme="minorHAnsi"/>
          <w:color w:val="222222"/>
          <w:rtl/>
        </w:rPr>
        <w:t>זרנגר</w:t>
      </w:r>
      <w:proofErr w:type="spellEnd"/>
    </w:p>
    <w:p w:rsidR="009E311F" w:rsidRPr="009E311F" w:rsidRDefault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inline distT="0" distB="0" distL="0" distR="0">
            <wp:extent cx="1978925" cy="2970293"/>
            <wp:effectExtent l="0" t="0" r="2540" b="190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אורי ברזנ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50" cy="29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1F" w:rsidRPr="009E311F" w:rsidRDefault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theme="minorHAnsi"/>
          <w:color w:val="222222"/>
        </w:rPr>
      </w:pPr>
      <w:r w:rsidRPr="009E311F">
        <w:rPr>
          <w:rFonts w:cstheme="minorHAnsi"/>
          <w:color w:val="222222"/>
        </w:rPr>
        <w:t> </w:t>
      </w:r>
    </w:p>
    <w:p w:rsidR="009E311F" w:rsidRPr="00B144B2" w:rsidRDefault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</w:p>
    <w:sectPr w:rsidR="009E311F" w:rsidRPr="00B144B2" w:rsidSect="00F008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FB"/>
    <w:rsid w:val="00011231"/>
    <w:rsid w:val="000119F2"/>
    <w:rsid w:val="00012666"/>
    <w:rsid w:val="00012DA2"/>
    <w:rsid w:val="0001426B"/>
    <w:rsid w:val="00015C95"/>
    <w:rsid w:val="000274C5"/>
    <w:rsid w:val="00044865"/>
    <w:rsid w:val="00045AE6"/>
    <w:rsid w:val="00047A62"/>
    <w:rsid w:val="00051820"/>
    <w:rsid w:val="000705F3"/>
    <w:rsid w:val="0007219B"/>
    <w:rsid w:val="00080021"/>
    <w:rsid w:val="000A03C4"/>
    <w:rsid w:val="000A3DCD"/>
    <w:rsid w:val="000A5D8D"/>
    <w:rsid w:val="000A737D"/>
    <w:rsid w:val="000A7606"/>
    <w:rsid w:val="000B1D81"/>
    <w:rsid w:val="000B2653"/>
    <w:rsid w:val="000C285A"/>
    <w:rsid w:val="000C5B46"/>
    <w:rsid w:val="000D4A0F"/>
    <w:rsid w:val="000F609B"/>
    <w:rsid w:val="000F7ADE"/>
    <w:rsid w:val="00114F7D"/>
    <w:rsid w:val="0012002E"/>
    <w:rsid w:val="00126B26"/>
    <w:rsid w:val="0013012B"/>
    <w:rsid w:val="001426A1"/>
    <w:rsid w:val="0016304E"/>
    <w:rsid w:val="00184F13"/>
    <w:rsid w:val="001F0585"/>
    <w:rsid w:val="001F26D6"/>
    <w:rsid w:val="001F74CE"/>
    <w:rsid w:val="001F7E28"/>
    <w:rsid w:val="002028A3"/>
    <w:rsid w:val="00202DE6"/>
    <w:rsid w:val="00210665"/>
    <w:rsid w:val="0021428B"/>
    <w:rsid w:val="00224646"/>
    <w:rsid w:val="0022584B"/>
    <w:rsid w:val="00225EB8"/>
    <w:rsid w:val="00226FB6"/>
    <w:rsid w:val="00227240"/>
    <w:rsid w:val="002275C4"/>
    <w:rsid w:val="00236C36"/>
    <w:rsid w:val="0024184E"/>
    <w:rsid w:val="00242E33"/>
    <w:rsid w:val="002504A0"/>
    <w:rsid w:val="00261F26"/>
    <w:rsid w:val="00262FB8"/>
    <w:rsid w:val="00271509"/>
    <w:rsid w:val="00284050"/>
    <w:rsid w:val="00295BCA"/>
    <w:rsid w:val="002D2994"/>
    <w:rsid w:val="002D336B"/>
    <w:rsid w:val="002D488F"/>
    <w:rsid w:val="002D5C13"/>
    <w:rsid w:val="002E764C"/>
    <w:rsid w:val="002F0294"/>
    <w:rsid w:val="002F774F"/>
    <w:rsid w:val="00305023"/>
    <w:rsid w:val="00312301"/>
    <w:rsid w:val="00313743"/>
    <w:rsid w:val="0032577A"/>
    <w:rsid w:val="00347DBE"/>
    <w:rsid w:val="00357368"/>
    <w:rsid w:val="00371212"/>
    <w:rsid w:val="0037431E"/>
    <w:rsid w:val="003756F9"/>
    <w:rsid w:val="003A6904"/>
    <w:rsid w:val="003B2412"/>
    <w:rsid w:val="003B6DED"/>
    <w:rsid w:val="003D5A6D"/>
    <w:rsid w:val="003F37A7"/>
    <w:rsid w:val="003F3847"/>
    <w:rsid w:val="00405C6B"/>
    <w:rsid w:val="00426CC1"/>
    <w:rsid w:val="00426DB7"/>
    <w:rsid w:val="00451BFA"/>
    <w:rsid w:val="00454786"/>
    <w:rsid w:val="00462FB6"/>
    <w:rsid w:val="00467689"/>
    <w:rsid w:val="004809EE"/>
    <w:rsid w:val="00481CA2"/>
    <w:rsid w:val="00485D67"/>
    <w:rsid w:val="004A01BC"/>
    <w:rsid w:val="004A51A4"/>
    <w:rsid w:val="004B44A3"/>
    <w:rsid w:val="004C20D3"/>
    <w:rsid w:val="004C475D"/>
    <w:rsid w:val="004C6580"/>
    <w:rsid w:val="004E0231"/>
    <w:rsid w:val="004E2A99"/>
    <w:rsid w:val="004E43BA"/>
    <w:rsid w:val="004E5BC0"/>
    <w:rsid w:val="005149F2"/>
    <w:rsid w:val="0052630D"/>
    <w:rsid w:val="00536446"/>
    <w:rsid w:val="005556F3"/>
    <w:rsid w:val="00567D4C"/>
    <w:rsid w:val="005853F1"/>
    <w:rsid w:val="00597AF9"/>
    <w:rsid w:val="005B0463"/>
    <w:rsid w:val="005B3CE2"/>
    <w:rsid w:val="005C25FB"/>
    <w:rsid w:val="005D2E36"/>
    <w:rsid w:val="005D5CCB"/>
    <w:rsid w:val="005D60EC"/>
    <w:rsid w:val="0060279C"/>
    <w:rsid w:val="0060382E"/>
    <w:rsid w:val="00647AFD"/>
    <w:rsid w:val="0066454E"/>
    <w:rsid w:val="00677CC6"/>
    <w:rsid w:val="00682744"/>
    <w:rsid w:val="006856F3"/>
    <w:rsid w:val="00687931"/>
    <w:rsid w:val="00692031"/>
    <w:rsid w:val="006B021A"/>
    <w:rsid w:val="006B1A65"/>
    <w:rsid w:val="006C3E81"/>
    <w:rsid w:val="006C5940"/>
    <w:rsid w:val="006C7825"/>
    <w:rsid w:val="006E6716"/>
    <w:rsid w:val="006F1402"/>
    <w:rsid w:val="00704911"/>
    <w:rsid w:val="007208A0"/>
    <w:rsid w:val="007238AE"/>
    <w:rsid w:val="00724001"/>
    <w:rsid w:val="0072614F"/>
    <w:rsid w:val="007354D4"/>
    <w:rsid w:val="00737989"/>
    <w:rsid w:val="00747495"/>
    <w:rsid w:val="0075129D"/>
    <w:rsid w:val="00752F1B"/>
    <w:rsid w:val="00770690"/>
    <w:rsid w:val="007850E6"/>
    <w:rsid w:val="00787EFE"/>
    <w:rsid w:val="00787FB1"/>
    <w:rsid w:val="007A2339"/>
    <w:rsid w:val="007A6C36"/>
    <w:rsid w:val="007A7CFB"/>
    <w:rsid w:val="007A7D02"/>
    <w:rsid w:val="007B2E10"/>
    <w:rsid w:val="007B625D"/>
    <w:rsid w:val="007C0D19"/>
    <w:rsid w:val="00802C87"/>
    <w:rsid w:val="00803591"/>
    <w:rsid w:val="00867563"/>
    <w:rsid w:val="008730AF"/>
    <w:rsid w:val="00883262"/>
    <w:rsid w:val="00885C9C"/>
    <w:rsid w:val="00894528"/>
    <w:rsid w:val="008A08AC"/>
    <w:rsid w:val="008D715E"/>
    <w:rsid w:val="008E36A2"/>
    <w:rsid w:val="008F00F5"/>
    <w:rsid w:val="008F0390"/>
    <w:rsid w:val="008F073E"/>
    <w:rsid w:val="008F1025"/>
    <w:rsid w:val="008F3C67"/>
    <w:rsid w:val="008F6387"/>
    <w:rsid w:val="00901F00"/>
    <w:rsid w:val="009068F3"/>
    <w:rsid w:val="00907696"/>
    <w:rsid w:val="00910D72"/>
    <w:rsid w:val="00926A19"/>
    <w:rsid w:val="00972B97"/>
    <w:rsid w:val="00975777"/>
    <w:rsid w:val="009839D4"/>
    <w:rsid w:val="009946B7"/>
    <w:rsid w:val="009A390F"/>
    <w:rsid w:val="009C0D14"/>
    <w:rsid w:val="009C30A1"/>
    <w:rsid w:val="009C7F4C"/>
    <w:rsid w:val="009E311F"/>
    <w:rsid w:val="009E470D"/>
    <w:rsid w:val="009F4DEC"/>
    <w:rsid w:val="00A21AE2"/>
    <w:rsid w:val="00A26740"/>
    <w:rsid w:val="00A303DC"/>
    <w:rsid w:val="00A3433C"/>
    <w:rsid w:val="00A35183"/>
    <w:rsid w:val="00A45DF9"/>
    <w:rsid w:val="00A4649E"/>
    <w:rsid w:val="00A64DCD"/>
    <w:rsid w:val="00A65684"/>
    <w:rsid w:val="00A720B8"/>
    <w:rsid w:val="00A9388B"/>
    <w:rsid w:val="00A95499"/>
    <w:rsid w:val="00AA5034"/>
    <w:rsid w:val="00AA58A5"/>
    <w:rsid w:val="00AB19FE"/>
    <w:rsid w:val="00AB3511"/>
    <w:rsid w:val="00AB5B93"/>
    <w:rsid w:val="00B04A30"/>
    <w:rsid w:val="00B05264"/>
    <w:rsid w:val="00B11EB9"/>
    <w:rsid w:val="00B144B2"/>
    <w:rsid w:val="00B310BE"/>
    <w:rsid w:val="00B34AE7"/>
    <w:rsid w:val="00B370C2"/>
    <w:rsid w:val="00B42A9A"/>
    <w:rsid w:val="00B47B48"/>
    <w:rsid w:val="00B6421E"/>
    <w:rsid w:val="00B7715A"/>
    <w:rsid w:val="00B90A63"/>
    <w:rsid w:val="00B90E61"/>
    <w:rsid w:val="00BA42CE"/>
    <w:rsid w:val="00BB279F"/>
    <w:rsid w:val="00BC3FD4"/>
    <w:rsid w:val="00BD0AA0"/>
    <w:rsid w:val="00BD2B16"/>
    <w:rsid w:val="00BD4CD6"/>
    <w:rsid w:val="00BD5616"/>
    <w:rsid w:val="00BF0DE4"/>
    <w:rsid w:val="00C35D98"/>
    <w:rsid w:val="00C502AB"/>
    <w:rsid w:val="00C6308D"/>
    <w:rsid w:val="00C717DB"/>
    <w:rsid w:val="00C83759"/>
    <w:rsid w:val="00C84702"/>
    <w:rsid w:val="00C870BA"/>
    <w:rsid w:val="00CA0E1B"/>
    <w:rsid w:val="00CA6FFD"/>
    <w:rsid w:val="00CF7890"/>
    <w:rsid w:val="00D01925"/>
    <w:rsid w:val="00D03BD1"/>
    <w:rsid w:val="00D103EC"/>
    <w:rsid w:val="00D20A9F"/>
    <w:rsid w:val="00D62AD0"/>
    <w:rsid w:val="00D66683"/>
    <w:rsid w:val="00D70D54"/>
    <w:rsid w:val="00DB1E9A"/>
    <w:rsid w:val="00DB4DA8"/>
    <w:rsid w:val="00DC67AF"/>
    <w:rsid w:val="00DD73B6"/>
    <w:rsid w:val="00DD78A0"/>
    <w:rsid w:val="00DE0496"/>
    <w:rsid w:val="00E0204A"/>
    <w:rsid w:val="00E0705F"/>
    <w:rsid w:val="00E26694"/>
    <w:rsid w:val="00E4003A"/>
    <w:rsid w:val="00E433EF"/>
    <w:rsid w:val="00E43EE3"/>
    <w:rsid w:val="00E43F1D"/>
    <w:rsid w:val="00E53E56"/>
    <w:rsid w:val="00E5648B"/>
    <w:rsid w:val="00E6103B"/>
    <w:rsid w:val="00E70443"/>
    <w:rsid w:val="00E93DA0"/>
    <w:rsid w:val="00E96AF6"/>
    <w:rsid w:val="00EA17C6"/>
    <w:rsid w:val="00EA2259"/>
    <w:rsid w:val="00EB3371"/>
    <w:rsid w:val="00EB6546"/>
    <w:rsid w:val="00ED31D7"/>
    <w:rsid w:val="00EE1AA5"/>
    <w:rsid w:val="00EF2C2B"/>
    <w:rsid w:val="00F008DA"/>
    <w:rsid w:val="00F04CBD"/>
    <w:rsid w:val="00F0691E"/>
    <w:rsid w:val="00F41DE8"/>
    <w:rsid w:val="00F504BB"/>
    <w:rsid w:val="00F50919"/>
    <w:rsid w:val="00F66472"/>
    <w:rsid w:val="00F66EFF"/>
    <w:rsid w:val="00F7158E"/>
    <w:rsid w:val="00F7515A"/>
    <w:rsid w:val="00F75200"/>
    <w:rsid w:val="00F8294A"/>
    <w:rsid w:val="00F86EE0"/>
    <w:rsid w:val="00F90410"/>
    <w:rsid w:val="00FA213B"/>
    <w:rsid w:val="00FA269D"/>
    <w:rsid w:val="00FE0A1F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436E"/>
  <w15:chartTrackingRefBased/>
  <w15:docId w15:val="{CA29EF98-3F4A-4846-9E6F-F81C40DB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364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נורית פלתר איתן</dc:creator>
  <cp:keywords/>
  <dc:description/>
  <cp:lastModifiedBy>לירון דהן</cp:lastModifiedBy>
  <cp:revision>9</cp:revision>
  <dcterms:created xsi:type="dcterms:W3CDTF">2024-09-25T07:35:00Z</dcterms:created>
  <dcterms:modified xsi:type="dcterms:W3CDTF">2024-09-25T08:26:00Z</dcterms:modified>
</cp:coreProperties>
</file>