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2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55052" w:rsidRPr="00DB1CBC" w:rsidTr="00D55052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52" w:rsidRPr="00520BB4" w:rsidRDefault="00D55052" w:rsidP="00D55052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55052" w:rsidRDefault="00D55052" w:rsidP="00D55052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55052" w:rsidRDefault="00D55052" w:rsidP="00D55052">
            <w:pPr>
              <w:jc w:val="center"/>
            </w:pPr>
            <w:r w:rsidRPr="006858A0">
              <w:rPr>
                <w:noProof/>
              </w:rPr>
              <w:drawing>
                <wp:inline distT="0" distB="0" distL="0" distR="0" wp14:anchorId="172BB7FA" wp14:editId="033DBE1A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52" w:rsidRDefault="00D55052" w:rsidP="00D55052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ז</w:t>
            </w:r>
            <w:r>
              <w:rPr>
                <w:rFonts w:cs="David" w:hint="cs"/>
                <w:sz w:val="24"/>
                <w:szCs w:val="24"/>
                <w:rtl/>
              </w:rPr>
              <w:t>' באדר ב', תשע"ט</w:t>
            </w:r>
          </w:p>
          <w:p w:rsidR="00D55052" w:rsidRPr="00DF107C" w:rsidRDefault="00D55052" w:rsidP="00D55052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14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במרץ 2019</w:t>
            </w:r>
          </w:p>
        </w:tc>
      </w:tr>
    </w:tbl>
    <w:p w:rsidR="006E4A40" w:rsidRDefault="006E4A40" w:rsidP="00682A6E">
      <w:pPr>
        <w:jc w:val="both"/>
        <w:rPr>
          <w:b/>
          <w:bCs/>
          <w:rtl/>
        </w:rPr>
      </w:pPr>
      <w:r w:rsidRPr="00A67536">
        <w:rPr>
          <w:rFonts w:cs="David" w:hint="cs"/>
          <w:sz w:val="24"/>
          <w:szCs w:val="24"/>
          <w:rtl/>
        </w:rPr>
        <w:t>הודעה לעיתונות:</w:t>
      </w:r>
    </w:p>
    <w:p w:rsidR="00F62F43" w:rsidRPr="00D55052" w:rsidRDefault="00964D0D" w:rsidP="00D55052">
      <w:pPr>
        <w:jc w:val="center"/>
        <w:rPr>
          <w:rFonts w:cs="David"/>
          <w:b/>
          <w:bCs/>
          <w:sz w:val="28"/>
          <w:szCs w:val="28"/>
          <w:rtl/>
        </w:rPr>
      </w:pPr>
      <w:r w:rsidRPr="00D55052">
        <w:rPr>
          <w:rFonts w:cs="David" w:hint="cs"/>
          <w:b/>
          <w:bCs/>
          <w:sz w:val="28"/>
          <w:szCs w:val="28"/>
          <w:rtl/>
        </w:rPr>
        <w:t xml:space="preserve">החטיבה למידע ולסטטיסטיקה בבנק ישראל מפרסמת היום את </w:t>
      </w:r>
      <w:r w:rsidR="00316DB3" w:rsidRPr="00D55052">
        <w:rPr>
          <w:rFonts w:cs="David" w:hint="cs"/>
          <w:b/>
          <w:bCs/>
          <w:sz w:val="28"/>
          <w:szCs w:val="28"/>
          <w:rtl/>
        </w:rPr>
        <w:t xml:space="preserve">דו"ח </w:t>
      </w:r>
      <w:r w:rsidR="00F62F43" w:rsidRPr="00D55052">
        <w:rPr>
          <w:rFonts w:cs="David" w:hint="cs"/>
          <w:b/>
          <w:bCs/>
          <w:sz w:val="28"/>
          <w:szCs w:val="28"/>
          <w:rtl/>
        </w:rPr>
        <w:t>'מבט סטטיסטי</w:t>
      </w:r>
      <w:r w:rsidR="00316DB3" w:rsidRPr="00D55052">
        <w:rPr>
          <w:rFonts w:cs="David" w:hint="cs"/>
          <w:b/>
          <w:bCs/>
          <w:sz w:val="28"/>
          <w:szCs w:val="28"/>
          <w:rtl/>
        </w:rPr>
        <w:t>' לשנת</w:t>
      </w:r>
      <w:r w:rsidR="00F62F43" w:rsidRPr="00D55052">
        <w:rPr>
          <w:rFonts w:cs="David" w:hint="cs"/>
          <w:b/>
          <w:bCs/>
          <w:sz w:val="28"/>
          <w:szCs w:val="28"/>
          <w:rtl/>
        </w:rPr>
        <w:t xml:space="preserve"> </w:t>
      </w:r>
      <w:r w:rsidR="000973EF" w:rsidRPr="00D55052">
        <w:rPr>
          <w:rFonts w:cs="David" w:hint="cs"/>
          <w:b/>
          <w:bCs/>
          <w:sz w:val="28"/>
          <w:szCs w:val="28"/>
          <w:rtl/>
        </w:rPr>
        <w:t>2018</w:t>
      </w:r>
    </w:p>
    <w:p w:rsidR="00D55052" w:rsidRPr="00D55052" w:rsidRDefault="00D55052" w:rsidP="00630DB3">
      <w:pPr>
        <w:jc w:val="both"/>
        <w:rPr>
          <w:rFonts w:cs="David" w:hint="cs"/>
          <w:sz w:val="28"/>
          <w:szCs w:val="28"/>
          <w:rtl/>
        </w:rPr>
      </w:pPr>
    </w:p>
    <w:p w:rsidR="00F62F43" w:rsidRPr="00D55052" w:rsidRDefault="00316DB3" w:rsidP="00630DB3">
      <w:pPr>
        <w:jc w:val="both"/>
        <w:rPr>
          <w:rFonts w:cs="David"/>
          <w:b/>
          <w:bCs/>
          <w:sz w:val="24"/>
          <w:szCs w:val="24"/>
          <w:rtl/>
        </w:rPr>
      </w:pPr>
      <w:r w:rsidRPr="00D55052">
        <w:rPr>
          <w:rFonts w:cs="David" w:hint="cs"/>
          <w:b/>
          <w:bCs/>
          <w:sz w:val="24"/>
          <w:szCs w:val="24"/>
          <w:rtl/>
        </w:rPr>
        <w:t xml:space="preserve">הדו"ח מכיל </w:t>
      </w:r>
      <w:r w:rsidR="00F62F43" w:rsidRPr="00D55052">
        <w:rPr>
          <w:rFonts w:cs="David" w:hint="cs"/>
          <w:b/>
          <w:bCs/>
          <w:sz w:val="24"/>
          <w:szCs w:val="24"/>
          <w:rtl/>
        </w:rPr>
        <w:t>פרסום ראשון של הנתונים והמצרפים הפיננסיים המרכזיים במשק</w:t>
      </w:r>
      <w:r w:rsidR="008D7EF6" w:rsidRPr="00D55052">
        <w:rPr>
          <w:rFonts w:cs="David" w:hint="cs"/>
          <w:b/>
          <w:bCs/>
          <w:sz w:val="24"/>
          <w:szCs w:val="24"/>
          <w:rtl/>
        </w:rPr>
        <w:t xml:space="preserve"> לשנת </w:t>
      </w:r>
      <w:r w:rsidR="00630DB3" w:rsidRPr="00D55052">
        <w:rPr>
          <w:rFonts w:cs="David" w:hint="cs"/>
          <w:b/>
          <w:bCs/>
          <w:sz w:val="24"/>
          <w:szCs w:val="24"/>
          <w:rtl/>
        </w:rPr>
        <w:t>2018</w:t>
      </w:r>
      <w:r w:rsidR="00CC3C00" w:rsidRPr="00D55052">
        <w:rPr>
          <w:rFonts w:cs="David" w:hint="cs"/>
          <w:b/>
          <w:bCs/>
          <w:sz w:val="24"/>
          <w:szCs w:val="24"/>
          <w:rtl/>
        </w:rPr>
        <w:t xml:space="preserve"> </w:t>
      </w:r>
      <w:r w:rsidR="00CC3C00" w:rsidRPr="00D55052">
        <w:rPr>
          <w:rFonts w:cs="David"/>
          <w:b/>
          <w:bCs/>
          <w:sz w:val="24"/>
          <w:szCs w:val="24"/>
          <w:rtl/>
        </w:rPr>
        <w:t>–</w:t>
      </w:r>
      <w:r w:rsidR="00CC3C00" w:rsidRPr="00D55052">
        <w:rPr>
          <w:rFonts w:cs="David" w:hint="cs"/>
          <w:b/>
          <w:bCs/>
          <w:sz w:val="24"/>
          <w:szCs w:val="24"/>
          <w:rtl/>
        </w:rPr>
        <w:t xml:space="preserve"> </w:t>
      </w:r>
      <w:r w:rsidR="00F35C66" w:rsidRPr="00D55052">
        <w:rPr>
          <w:rFonts w:cs="David" w:hint="cs"/>
          <w:b/>
          <w:bCs/>
          <w:sz w:val="24"/>
          <w:szCs w:val="24"/>
          <w:rtl/>
        </w:rPr>
        <w:t xml:space="preserve">תיק הנכסים הפיננסיים של הציבור, </w:t>
      </w:r>
      <w:r w:rsidR="004D694C" w:rsidRPr="00D55052">
        <w:rPr>
          <w:rFonts w:cs="David" w:hint="cs"/>
          <w:b/>
          <w:bCs/>
          <w:sz w:val="24"/>
          <w:szCs w:val="24"/>
          <w:rtl/>
        </w:rPr>
        <w:t>החוב של המגזר הפרטי הלא-פיננסי</w:t>
      </w:r>
      <w:r w:rsidR="00CC3C00" w:rsidRPr="00D55052">
        <w:rPr>
          <w:rFonts w:cs="David" w:hint="cs"/>
          <w:b/>
          <w:bCs/>
          <w:sz w:val="24"/>
          <w:szCs w:val="24"/>
          <w:rtl/>
        </w:rPr>
        <w:t xml:space="preserve">, </w:t>
      </w:r>
      <w:r w:rsidR="00F35C66" w:rsidRPr="00D55052">
        <w:rPr>
          <w:rFonts w:cs="David" w:hint="cs"/>
          <w:b/>
          <w:bCs/>
          <w:sz w:val="24"/>
          <w:szCs w:val="24"/>
          <w:rtl/>
        </w:rPr>
        <w:t>פעילות מול חו"ל ו</w:t>
      </w:r>
      <w:r w:rsidR="00CC3C00" w:rsidRPr="00D55052">
        <w:rPr>
          <w:rFonts w:cs="David" w:hint="cs"/>
          <w:b/>
          <w:bCs/>
          <w:sz w:val="24"/>
          <w:szCs w:val="24"/>
          <w:rtl/>
        </w:rPr>
        <w:t>שוק מטבע חוץ</w:t>
      </w:r>
      <w:r w:rsidR="00F35C66" w:rsidRPr="00D55052">
        <w:rPr>
          <w:rFonts w:cs="David" w:hint="cs"/>
          <w:b/>
          <w:bCs/>
          <w:sz w:val="24"/>
          <w:szCs w:val="24"/>
          <w:rtl/>
        </w:rPr>
        <w:t>.</w:t>
      </w:r>
      <w:r w:rsidR="000A3948" w:rsidRPr="00D55052">
        <w:rPr>
          <w:rFonts w:cs="David" w:hint="cs"/>
          <w:b/>
          <w:bCs/>
          <w:sz w:val="24"/>
          <w:szCs w:val="24"/>
          <w:rtl/>
        </w:rPr>
        <w:t xml:space="preserve"> </w:t>
      </w:r>
      <w:r w:rsidR="00C871E2" w:rsidRPr="00D55052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1A1017" w:rsidRDefault="000A3948" w:rsidP="00630DB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ה</w:t>
      </w:r>
      <w:r w:rsidR="00716312" w:rsidRPr="006E4A40">
        <w:rPr>
          <w:rFonts w:cs="David" w:hint="cs"/>
          <w:b/>
          <w:bCs/>
          <w:sz w:val="24"/>
          <w:szCs w:val="24"/>
          <w:rtl/>
        </w:rPr>
        <w:t xml:space="preserve">חלק הראשון של 'מבט סטטיסטי </w:t>
      </w:r>
      <w:r w:rsidR="004E30FA">
        <w:rPr>
          <w:rFonts w:cs="David" w:hint="cs"/>
          <w:b/>
          <w:bCs/>
          <w:sz w:val="24"/>
          <w:szCs w:val="24"/>
          <w:rtl/>
        </w:rPr>
        <w:t>201</w:t>
      </w:r>
      <w:r w:rsidR="00630DB3">
        <w:rPr>
          <w:rFonts w:cs="David" w:hint="cs"/>
          <w:b/>
          <w:bCs/>
          <w:sz w:val="24"/>
          <w:szCs w:val="24"/>
          <w:rtl/>
        </w:rPr>
        <w:t>8</w:t>
      </w:r>
      <w:r w:rsidR="00F35C66" w:rsidRPr="006E4A40">
        <w:rPr>
          <w:rFonts w:cs="David" w:hint="cs"/>
          <w:b/>
          <w:bCs/>
          <w:sz w:val="24"/>
          <w:szCs w:val="24"/>
          <w:rtl/>
        </w:rPr>
        <w:t>'</w:t>
      </w:r>
      <w:r w:rsidR="004E30FA">
        <w:rPr>
          <w:rFonts w:cs="David" w:hint="cs"/>
          <w:sz w:val="24"/>
          <w:szCs w:val="24"/>
          <w:rtl/>
        </w:rPr>
        <w:t xml:space="preserve"> </w:t>
      </w:r>
      <w:r w:rsidR="001A1017">
        <w:rPr>
          <w:rFonts w:cs="David" w:hint="cs"/>
          <w:sz w:val="24"/>
          <w:szCs w:val="24"/>
          <w:rtl/>
        </w:rPr>
        <w:t>מציג בצורה ויזואלית את ה</w:t>
      </w:r>
      <w:r w:rsidRPr="006E4A40">
        <w:rPr>
          <w:rFonts w:cs="David" w:hint="cs"/>
          <w:sz w:val="24"/>
          <w:szCs w:val="24"/>
          <w:rtl/>
        </w:rPr>
        <w:t xml:space="preserve">נתונים </w:t>
      </w:r>
      <w:r w:rsidR="001A1017" w:rsidRPr="006E4A40">
        <w:rPr>
          <w:rFonts w:cs="David" w:hint="cs"/>
          <w:sz w:val="24"/>
          <w:szCs w:val="24"/>
          <w:rtl/>
        </w:rPr>
        <w:t>ו</w:t>
      </w:r>
      <w:r w:rsidR="001A1017">
        <w:rPr>
          <w:rFonts w:cs="David" w:hint="cs"/>
          <w:sz w:val="24"/>
          <w:szCs w:val="24"/>
          <w:rtl/>
        </w:rPr>
        <w:t>ה</w:t>
      </w:r>
      <w:r w:rsidR="001A1017" w:rsidRPr="006E4A40">
        <w:rPr>
          <w:rFonts w:cs="David" w:hint="cs"/>
          <w:sz w:val="24"/>
          <w:szCs w:val="24"/>
          <w:rtl/>
        </w:rPr>
        <w:t xml:space="preserve">מצרפים </w:t>
      </w:r>
      <w:r w:rsidRPr="006E4A40">
        <w:rPr>
          <w:rFonts w:cs="David" w:hint="cs"/>
          <w:sz w:val="24"/>
          <w:szCs w:val="24"/>
          <w:rtl/>
        </w:rPr>
        <w:t>המרכזיים על הפעילות הפיננסית בישראל, בצירוף מידע והסברים על הנתונים, ההגדרות והעיבודים</w:t>
      </w:r>
      <w:r w:rsidR="001A1017">
        <w:rPr>
          <w:rFonts w:cs="David" w:hint="cs"/>
          <w:sz w:val="24"/>
          <w:szCs w:val="24"/>
          <w:rtl/>
        </w:rPr>
        <w:t xml:space="preserve"> השונים</w:t>
      </w:r>
      <w:r w:rsidR="00653851">
        <w:rPr>
          <w:rFonts w:cs="David" w:hint="cs"/>
          <w:sz w:val="24"/>
          <w:szCs w:val="24"/>
          <w:rtl/>
        </w:rPr>
        <w:t xml:space="preserve">; </w:t>
      </w:r>
      <w:r w:rsidR="001A1017" w:rsidRPr="00F11718">
        <w:rPr>
          <w:rFonts w:cs="David" w:hint="cs"/>
          <w:b/>
          <w:bCs/>
          <w:sz w:val="24"/>
          <w:szCs w:val="24"/>
          <w:rtl/>
        </w:rPr>
        <w:t xml:space="preserve">החלק השני </w:t>
      </w:r>
      <w:r w:rsidR="001A1017">
        <w:rPr>
          <w:rFonts w:cs="David" w:hint="cs"/>
          <w:sz w:val="24"/>
          <w:szCs w:val="24"/>
          <w:rtl/>
        </w:rPr>
        <w:t>מציג</w:t>
      </w:r>
      <w:r w:rsidR="001A1017" w:rsidRPr="00F11718">
        <w:rPr>
          <w:rFonts w:cs="David" w:hint="cs"/>
          <w:sz w:val="24"/>
          <w:szCs w:val="24"/>
          <w:rtl/>
        </w:rPr>
        <w:t xml:space="preserve"> עבודות בתחום המתודולוגיה הסטטיסטית</w:t>
      </w:r>
      <w:r w:rsidR="001A1017">
        <w:rPr>
          <w:rFonts w:cs="David" w:hint="cs"/>
          <w:sz w:val="24"/>
          <w:szCs w:val="24"/>
          <w:rtl/>
        </w:rPr>
        <w:t xml:space="preserve"> שנערכו בבנק ישראל.</w:t>
      </w:r>
      <w:bookmarkStart w:id="0" w:name="_GoBack"/>
      <w:bookmarkEnd w:id="0"/>
    </w:p>
    <w:p w:rsidR="00716312" w:rsidRPr="006E4A40" w:rsidRDefault="001A1017" w:rsidP="0065385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החלק הראשון הדו"ח </w:t>
      </w:r>
      <w:r w:rsidR="00653851">
        <w:rPr>
          <w:rFonts w:cs="David" w:hint="cs"/>
          <w:sz w:val="24"/>
          <w:szCs w:val="24"/>
          <w:rtl/>
        </w:rPr>
        <w:t xml:space="preserve">עוסק </w:t>
      </w:r>
      <w:r>
        <w:rPr>
          <w:rFonts w:cs="David" w:hint="cs"/>
          <w:sz w:val="24"/>
          <w:szCs w:val="24"/>
          <w:rtl/>
        </w:rPr>
        <w:t xml:space="preserve"> </w:t>
      </w:r>
      <w:r w:rsidR="000A3948">
        <w:rPr>
          <w:rFonts w:cs="David" w:hint="cs"/>
          <w:sz w:val="24"/>
          <w:szCs w:val="24"/>
          <w:rtl/>
        </w:rPr>
        <w:t>בארבע</w:t>
      </w:r>
      <w:r w:rsidR="00614AF5">
        <w:rPr>
          <w:rFonts w:cs="David" w:hint="cs"/>
          <w:sz w:val="24"/>
          <w:szCs w:val="24"/>
          <w:rtl/>
        </w:rPr>
        <w:t>ה</w:t>
      </w:r>
      <w:r w:rsidR="000A3948">
        <w:rPr>
          <w:rFonts w:cs="David" w:hint="cs"/>
          <w:sz w:val="24"/>
          <w:szCs w:val="24"/>
          <w:rtl/>
        </w:rPr>
        <w:t xml:space="preserve"> נושאים מרכזיים</w:t>
      </w:r>
      <w:r w:rsidR="00653851">
        <w:rPr>
          <w:rFonts w:cs="David" w:hint="cs"/>
          <w:sz w:val="24"/>
          <w:szCs w:val="24"/>
          <w:rtl/>
        </w:rPr>
        <w:t xml:space="preserve"> בסטטיסטיקה הפיננסית של ישראל</w:t>
      </w:r>
      <w:r>
        <w:rPr>
          <w:rFonts w:cs="David" w:hint="cs"/>
          <w:sz w:val="24"/>
          <w:szCs w:val="24"/>
          <w:rtl/>
        </w:rPr>
        <w:t>:</w:t>
      </w:r>
    </w:p>
    <w:p w:rsidR="00716312" w:rsidRDefault="00716312" w:rsidP="008F4267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6E4A40">
        <w:rPr>
          <w:rFonts w:cs="David" w:hint="cs"/>
          <w:b/>
          <w:bCs/>
          <w:sz w:val="24"/>
          <w:szCs w:val="24"/>
          <w:rtl/>
        </w:rPr>
        <w:t>תיק הנכסים הפיננסיים של הציבור</w:t>
      </w:r>
    </w:p>
    <w:p w:rsidR="00480E5F" w:rsidRPr="005801F4" w:rsidRDefault="00480E5F" w:rsidP="00480E5F">
      <w:pPr>
        <w:pStyle w:val="a3"/>
        <w:numPr>
          <w:ilvl w:val="0"/>
          <w:numId w:val="15"/>
        </w:num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5801F4">
        <w:rPr>
          <w:rFonts w:asciiTheme="minorBidi" w:hAnsiTheme="minorBidi" w:cs="David" w:hint="cs"/>
          <w:sz w:val="24"/>
          <w:szCs w:val="24"/>
          <w:rtl/>
        </w:rPr>
        <w:t>יתרת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תיק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הנכסים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הפיננסיים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של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הציבור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עלתה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 xml:space="preserve">בשנת 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2018 </w:t>
      </w:r>
      <w:r w:rsidRPr="005801F4">
        <w:rPr>
          <w:rFonts w:asciiTheme="minorBidi" w:hAnsiTheme="minorBidi" w:cs="David" w:hint="cs"/>
          <w:sz w:val="24"/>
          <w:szCs w:val="24"/>
          <w:rtl/>
        </w:rPr>
        <w:t>בכ</w:t>
      </w:r>
      <w:r>
        <w:rPr>
          <w:rFonts w:asciiTheme="minorBidi" w:hAnsiTheme="minorBidi" w:cs="David" w:hint="cs"/>
          <w:sz w:val="24"/>
          <w:szCs w:val="24"/>
          <w:rtl/>
        </w:rPr>
        <w:t>-</w:t>
      </w:r>
      <w:r w:rsidRPr="005801F4">
        <w:rPr>
          <w:rFonts w:asciiTheme="minorBidi" w:hAnsiTheme="minorBidi" w:cs="David"/>
          <w:sz w:val="24"/>
          <w:szCs w:val="24"/>
          <w:rtl/>
        </w:rPr>
        <w:t>2.1%</w:t>
      </w:r>
      <w:r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עד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לרמה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של</w:t>
      </w:r>
      <w:r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כ</w:t>
      </w:r>
      <w:r>
        <w:rPr>
          <w:rFonts w:asciiTheme="minorBidi" w:hAnsiTheme="minorBidi" w:cs="David" w:hint="cs"/>
          <w:sz w:val="24"/>
          <w:szCs w:val="24"/>
          <w:rtl/>
        </w:rPr>
        <w:t>-</w:t>
      </w:r>
      <w:r w:rsidRPr="005801F4">
        <w:rPr>
          <w:rFonts w:asciiTheme="minorBidi" w:hAnsiTheme="minorBidi" w:cs="David"/>
          <w:sz w:val="24"/>
          <w:szCs w:val="24"/>
          <w:rtl/>
        </w:rPr>
        <w:t>3.7</w:t>
      </w:r>
      <w:r>
        <w:rPr>
          <w:rFonts w:asciiTheme="minorBidi" w:hAnsiTheme="minorBidi" w:cs="David" w:hint="cs"/>
          <w:sz w:val="24"/>
          <w:szCs w:val="24"/>
          <w:rtl/>
        </w:rPr>
        <w:t xml:space="preserve"> טריליונים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5801F4">
        <w:rPr>
          <w:rFonts w:asciiTheme="minorBidi" w:hAnsiTheme="minorBidi" w:cs="David" w:hint="cs"/>
          <w:sz w:val="24"/>
          <w:szCs w:val="24"/>
          <w:rtl/>
        </w:rPr>
        <w:t>שיעור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גידול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נמוך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בהשוואה</w:t>
      </w:r>
      <w:r w:rsidRPr="005801F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לשנים</w:t>
      </w:r>
      <w:r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5801F4">
        <w:rPr>
          <w:rFonts w:asciiTheme="minorBidi" w:hAnsiTheme="minorBidi" w:cs="David" w:hint="cs"/>
          <w:sz w:val="24"/>
          <w:szCs w:val="24"/>
          <w:rtl/>
        </w:rPr>
        <w:t>האחרונות</w:t>
      </w:r>
      <w:r w:rsidRPr="005801F4">
        <w:rPr>
          <w:rFonts w:asciiTheme="minorBidi" w:hAnsiTheme="minorBidi" w:cs="David"/>
          <w:sz w:val="24"/>
          <w:szCs w:val="24"/>
          <w:rtl/>
        </w:rPr>
        <w:t>.</w:t>
      </w:r>
      <w:r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5E416D">
        <w:rPr>
          <w:rFonts w:cs="David" w:hint="cs"/>
          <w:rtl/>
        </w:rPr>
        <w:t>(איור א'-</w:t>
      </w:r>
      <w:r w:rsidR="00CC6614">
        <w:rPr>
          <w:rFonts w:cs="David" w:hint="cs"/>
          <w:rtl/>
        </w:rPr>
        <w:t xml:space="preserve"> 1 בפרסום)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5003"/>
      </w:tblGrid>
      <w:tr w:rsidR="007819A4" w:rsidTr="00BB7CA3">
        <w:tc>
          <w:tcPr>
            <w:tcW w:w="3411" w:type="dxa"/>
          </w:tcPr>
          <w:p w:rsidR="007819A4" w:rsidRPr="005801F4" w:rsidRDefault="009F63EB" w:rsidP="00BB7CA3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לעלייה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ביתרת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התיק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תר</w:t>
            </w:r>
            <w:r w:rsidR="005801F4">
              <w:rPr>
                <w:rFonts w:asciiTheme="minorBidi" w:hAnsiTheme="minorBidi" w:cs="David" w:hint="cs"/>
                <w:sz w:val="24"/>
                <w:szCs w:val="24"/>
                <w:rtl/>
              </w:rPr>
              <w:t>ם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בעיקר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רכיב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ההשקעות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בחו</w:t>
            </w:r>
            <w:r w:rsidRPr="00DB5734">
              <w:rPr>
                <w:rFonts w:asciiTheme="minorBidi" w:hAnsiTheme="minorBidi" w:cs="David"/>
                <w:sz w:val="24"/>
                <w:szCs w:val="24"/>
                <w:rtl/>
              </w:rPr>
              <w:t>"</w:t>
            </w:r>
            <w:r w:rsidRPr="00DB5734">
              <w:rPr>
                <w:rFonts w:asciiTheme="minorBidi" w:hAnsiTheme="minorBidi" w:cs="David" w:hint="cs"/>
                <w:sz w:val="24"/>
                <w:szCs w:val="24"/>
                <w:rtl/>
              </w:rPr>
              <w:t>ל</w:t>
            </w:r>
            <w:r w:rsidR="005801F4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זאת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כתוצאה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מהשקעות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נטו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B172B4">
              <w:rPr>
                <w:rFonts w:asciiTheme="minorBidi" w:hAnsiTheme="minorBidi" w:cs="David" w:hint="cs"/>
                <w:sz w:val="24"/>
                <w:szCs w:val="24"/>
                <w:rtl/>
              </w:rPr>
              <w:t>במניות ובאג"ח</w:t>
            </w:r>
            <w:r w:rsidR="00BB7CA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,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פיחות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השקל</w:t>
            </w:r>
            <w:r w:rsidR="005801F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מול הדולר ו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על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אף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הירידה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801F4" w:rsidRPr="009F63EB">
              <w:rPr>
                <w:rFonts w:asciiTheme="minorBidi" w:hAnsiTheme="minorBidi" w:cs="David" w:hint="cs"/>
                <w:sz w:val="24"/>
                <w:szCs w:val="24"/>
                <w:rtl/>
              </w:rPr>
              <w:t>במחירי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B172B4">
              <w:rPr>
                <w:rFonts w:asciiTheme="minorBidi" w:hAnsiTheme="minorBidi" w:cs="David" w:hint="cs"/>
                <w:sz w:val="24"/>
                <w:szCs w:val="24"/>
                <w:rtl/>
              </w:rPr>
              <w:t>הנכסים</w:t>
            </w:r>
            <w:r w:rsidR="005801F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בעולם.</w:t>
            </w:r>
            <w:r w:rsidR="005801F4" w:rsidRPr="009F63EB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5E416D">
              <w:rPr>
                <w:rFonts w:asciiTheme="minorBidi" w:hAnsiTheme="minorBidi" w:cs="David" w:hint="cs"/>
                <w:sz w:val="24"/>
                <w:szCs w:val="24"/>
                <w:rtl/>
              </w:rPr>
              <w:t>(איור א'-5)</w:t>
            </w:r>
          </w:p>
        </w:tc>
        <w:tc>
          <w:tcPr>
            <w:tcW w:w="5003" w:type="dxa"/>
          </w:tcPr>
          <w:p w:rsidR="007819A4" w:rsidRDefault="00DB5734" w:rsidP="00682A6E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6672" behindDoc="0" locked="0" layoutInCell="1" allowOverlap="1" wp14:anchorId="7C51B282" wp14:editId="653A27A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79725" cy="2051685"/>
                  <wp:effectExtent l="0" t="0" r="0" b="5715"/>
                  <wp:wrapSquare wrapText="bothSides"/>
                  <wp:docPr id="5" name="תמונה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05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C2448" w:rsidRDefault="009F63EB" w:rsidP="00815292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 w:cs="David"/>
          <w:sz w:val="24"/>
          <w:szCs w:val="24"/>
        </w:rPr>
      </w:pPr>
      <w:r w:rsidRPr="009F63EB">
        <w:rPr>
          <w:rFonts w:asciiTheme="minorBidi" w:hAnsiTheme="minorBidi" w:cs="David" w:hint="cs"/>
          <w:sz w:val="24"/>
          <w:szCs w:val="24"/>
          <w:rtl/>
        </w:rPr>
        <w:t>יתרת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המניות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הנסחרות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בארץ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פחתה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9F63EB">
        <w:rPr>
          <w:rFonts w:asciiTheme="minorBidi" w:hAnsiTheme="minorBidi" w:cs="David" w:hint="cs"/>
          <w:sz w:val="24"/>
          <w:szCs w:val="24"/>
          <w:rtl/>
        </w:rPr>
        <w:t>על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רקע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הירידות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שאפ</w:t>
      </w:r>
      <w:r w:rsidR="0009720D">
        <w:rPr>
          <w:rFonts w:asciiTheme="minorBidi" w:hAnsiTheme="minorBidi" w:cs="David" w:hint="cs"/>
          <w:sz w:val="24"/>
          <w:szCs w:val="24"/>
          <w:rtl/>
        </w:rPr>
        <w:t>י</w:t>
      </w:r>
      <w:r w:rsidRPr="009F63EB">
        <w:rPr>
          <w:rFonts w:asciiTheme="minorBidi" w:hAnsiTheme="minorBidi" w:cs="David" w:hint="cs"/>
          <w:sz w:val="24"/>
          <w:szCs w:val="24"/>
          <w:rtl/>
        </w:rPr>
        <w:t>ינו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את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החודש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האחרון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של</w:t>
      </w:r>
      <w:r w:rsidRPr="009F63E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F63EB">
        <w:rPr>
          <w:rFonts w:asciiTheme="minorBidi" w:hAnsiTheme="minorBidi" w:cs="David" w:hint="cs"/>
          <w:sz w:val="24"/>
          <w:szCs w:val="24"/>
          <w:rtl/>
        </w:rPr>
        <w:t>השנה</w:t>
      </w:r>
      <w:r w:rsidR="00D16DB2">
        <w:rPr>
          <w:rFonts w:asciiTheme="minorBidi" w:hAnsiTheme="minorBidi" w:cs="David" w:hint="cs"/>
          <w:sz w:val="24"/>
          <w:szCs w:val="24"/>
          <w:rtl/>
        </w:rPr>
        <w:t xml:space="preserve">, </w:t>
      </w:r>
      <w:r w:rsidR="006B32C4" w:rsidRPr="006B32C4">
        <w:rPr>
          <w:rFonts w:asciiTheme="minorBidi" w:hAnsiTheme="minorBidi" w:cs="David" w:hint="cs"/>
          <w:sz w:val="24"/>
          <w:szCs w:val="24"/>
          <w:rtl/>
        </w:rPr>
        <w:t>שרובן</w:t>
      </w:r>
      <w:r w:rsidR="006B32C4" w:rsidRPr="006B32C4">
        <w:rPr>
          <w:rFonts w:asciiTheme="minorBidi" w:hAnsiTheme="minorBidi" w:cs="David"/>
          <w:sz w:val="24"/>
          <w:szCs w:val="24"/>
        </w:rPr>
        <w:t xml:space="preserve"> </w:t>
      </w:r>
      <w:r w:rsidR="006B32C4" w:rsidRPr="006B32C4">
        <w:rPr>
          <w:rFonts w:asciiTheme="minorBidi" w:hAnsiTheme="minorBidi" w:cs="David" w:hint="cs"/>
          <w:sz w:val="24"/>
          <w:szCs w:val="24"/>
          <w:rtl/>
        </w:rPr>
        <w:t>תוקנו</w:t>
      </w:r>
      <w:r w:rsidR="006B32C4" w:rsidRPr="006B32C4">
        <w:rPr>
          <w:rFonts w:asciiTheme="minorBidi" w:hAnsiTheme="minorBidi" w:cs="David"/>
          <w:sz w:val="24"/>
          <w:szCs w:val="24"/>
        </w:rPr>
        <w:t xml:space="preserve"> </w:t>
      </w:r>
      <w:r w:rsidR="006B32C4" w:rsidRPr="006B32C4">
        <w:rPr>
          <w:rFonts w:asciiTheme="minorBidi" w:hAnsiTheme="minorBidi" w:cs="David" w:hint="cs"/>
          <w:sz w:val="24"/>
          <w:szCs w:val="24"/>
          <w:rtl/>
        </w:rPr>
        <w:t>בעליות</w:t>
      </w:r>
      <w:r w:rsidR="006B32C4" w:rsidRPr="006B32C4">
        <w:rPr>
          <w:rFonts w:asciiTheme="minorBidi" w:hAnsiTheme="minorBidi" w:cs="David"/>
          <w:sz w:val="24"/>
          <w:szCs w:val="24"/>
        </w:rPr>
        <w:t xml:space="preserve"> </w:t>
      </w:r>
      <w:r w:rsidR="006B32C4" w:rsidRPr="006B32C4">
        <w:rPr>
          <w:rFonts w:asciiTheme="minorBidi" w:hAnsiTheme="minorBidi" w:cs="David" w:hint="cs"/>
          <w:sz w:val="24"/>
          <w:szCs w:val="24"/>
          <w:rtl/>
        </w:rPr>
        <w:t>השערים</w:t>
      </w:r>
      <w:r w:rsidR="006B32C4" w:rsidRPr="006B32C4">
        <w:rPr>
          <w:rFonts w:asciiTheme="minorBidi" w:hAnsiTheme="minorBidi" w:cs="David"/>
          <w:sz w:val="24"/>
          <w:szCs w:val="24"/>
        </w:rPr>
        <w:t xml:space="preserve"> </w:t>
      </w:r>
      <w:r w:rsidR="006B32C4" w:rsidRPr="006B32C4">
        <w:rPr>
          <w:rFonts w:asciiTheme="minorBidi" w:hAnsiTheme="minorBidi" w:cs="David" w:hint="cs"/>
          <w:sz w:val="24"/>
          <w:szCs w:val="24"/>
          <w:rtl/>
        </w:rPr>
        <w:t>בתחילת</w:t>
      </w:r>
      <w:r w:rsidR="006B32C4">
        <w:rPr>
          <w:rFonts w:asciiTheme="minorBidi" w:hAnsiTheme="minorBidi" w:cs="David" w:hint="cs"/>
          <w:sz w:val="24"/>
          <w:szCs w:val="24"/>
          <w:rtl/>
        </w:rPr>
        <w:t xml:space="preserve"> 2019.</w:t>
      </w:r>
      <w:r w:rsidR="006B32C4">
        <w:rPr>
          <w:rFonts w:asciiTheme="minorBidi" w:hAnsiTheme="minorBidi" w:cs="David"/>
          <w:sz w:val="24"/>
          <w:szCs w:val="24"/>
        </w:rPr>
        <w:t xml:space="preserve"> </w:t>
      </w:r>
      <w:r w:rsidR="00815292">
        <w:rPr>
          <w:rFonts w:asciiTheme="minorBidi" w:hAnsiTheme="minorBidi" w:cs="David" w:hint="cs"/>
          <w:sz w:val="24"/>
          <w:szCs w:val="24"/>
          <w:rtl/>
        </w:rPr>
        <w:t>(איור א'-8)</w:t>
      </w:r>
    </w:p>
    <w:p w:rsidR="005801F4" w:rsidRDefault="005801F4" w:rsidP="00815292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 w:cs="David"/>
          <w:sz w:val="24"/>
          <w:szCs w:val="24"/>
        </w:rPr>
      </w:pPr>
      <w:r w:rsidRPr="009F63EB">
        <w:rPr>
          <w:rFonts w:asciiTheme="minorBidi" w:hAnsiTheme="minorBidi" w:cs="David"/>
          <w:sz w:val="24"/>
          <w:szCs w:val="24"/>
          <w:rtl/>
        </w:rPr>
        <w:t>במהלך השנה נמשכה מגמת העלייה של חלק התיק המנוהל בידי הגופים המוסדיים, במקביל לירידה של החלק המנוהל בידי הציבור במישרין</w:t>
      </w:r>
      <w:r>
        <w:rPr>
          <w:rFonts w:asciiTheme="minorBidi" w:hAnsiTheme="minorBidi" w:cs="David" w:hint="cs"/>
          <w:sz w:val="24"/>
          <w:szCs w:val="24"/>
          <w:rtl/>
        </w:rPr>
        <w:t>.</w:t>
      </w:r>
      <w:r w:rsidRPr="009F63EB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815292">
        <w:rPr>
          <w:rFonts w:asciiTheme="minorBidi" w:hAnsiTheme="minorBidi" w:cs="David" w:hint="cs"/>
          <w:sz w:val="24"/>
          <w:szCs w:val="24"/>
          <w:rtl/>
        </w:rPr>
        <w:t>(איור א'-2)</w:t>
      </w:r>
    </w:p>
    <w:p w:rsidR="005801F4" w:rsidRDefault="005801F4" w:rsidP="005801F4">
      <w:pPr>
        <w:pStyle w:val="a3"/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:rsidR="00A12B0A" w:rsidRPr="0098781E" w:rsidRDefault="00A12B0A" w:rsidP="005801F4">
      <w:pPr>
        <w:pStyle w:val="a3"/>
        <w:spacing w:line="360" w:lineRule="auto"/>
        <w:jc w:val="both"/>
        <w:rPr>
          <w:rFonts w:asciiTheme="minorBidi" w:hAnsiTheme="minorBidi" w:cs="David"/>
          <w:sz w:val="24"/>
          <w:szCs w:val="24"/>
        </w:rPr>
      </w:pPr>
    </w:p>
    <w:p w:rsidR="00551E33" w:rsidRPr="00F2062E" w:rsidRDefault="00716312" w:rsidP="008F4267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6E4A40">
        <w:rPr>
          <w:rFonts w:cs="David" w:hint="cs"/>
          <w:b/>
          <w:bCs/>
          <w:sz w:val="24"/>
          <w:szCs w:val="24"/>
          <w:rtl/>
        </w:rPr>
        <w:t>החוב של המגזר הפרטי</w:t>
      </w:r>
      <w:r w:rsidR="005A317B">
        <w:rPr>
          <w:rFonts w:cs="David" w:hint="cs"/>
          <w:b/>
          <w:bCs/>
          <w:sz w:val="24"/>
          <w:szCs w:val="24"/>
          <w:rtl/>
        </w:rPr>
        <w:t xml:space="preserve"> הלא-פיננסי</w:t>
      </w:r>
    </w:p>
    <w:tbl>
      <w:tblPr>
        <w:tblStyle w:val="aa"/>
        <w:bidiVisual/>
        <w:tblW w:w="8364" w:type="dxa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962"/>
      </w:tblGrid>
      <w:tr w:rsidR="00551E33" w:rsidTr="00BB7CA3">
        <w:trPr>
          <w:trHeight w:val="3457"/>
        </w:trPr>
        <w:tc>
          <w:tcPr>
            <w:tcW w:w="3402" w:type="dxa"/>
          </w:tcPr>
          <w:p w:rsidR="00EB3718" w:rsidRDefault="007A11FA" w:rsidP="007A11FA">
            <w:pPr>
              <w:pStyle w:val="a3"/>
              <w:numPr>
                <w:ilvl w:val="0"/>
                <w:numId w:val="4"/>
              </w:numPr>
              <w:tabs>
                <w:tab w:val="left" w:pos="984"/>
              </w:tabs>
              <w:spacing w:line="360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lastRenderedPageBreak/>
              <w:t xml:space="preserve">בחוב משקי הבית </w:t>
            </w:r>
            <w:r w:rsidR="00E4510C">
              <w:rPr>
                <w:rFonts w:ascii="Arial" w:hAnsi="Arial" w:cs="David" w:hint="cs"/>
                <w:sz w:val="24"/>
                <w:szCs w:val="24"/>
                <w:rtl/>
              </w:rPr>
              <w:t xml:space="preserve">בלטה הירידה </w:t>
            </w:r>
            <w:r w:rsidR="001A1017">
              <w:rPr>
                <w:rFonts w:ascii="Arial" w:hAnsi="Arial" w:cs="David" w:hint="cs"/>
                <w:sz w:val="24"/>
                <w:szCs w:val="24"/>
                <w:rtl/>
              </w:rPr>
              <w:t xml:space="preserve">בקצב הגידול של החוב </w:t>
            </w:r>
            <w:r w:rsidR="006A0382">
              <w:rPr>
                <w:rFonts w:ascii="Arial" w:hAnsi="Arial" w:cs="David" w:hint="cs"/>
                <w:sz w:val="24"/>
                <w:szCs w:val="24"/>
                <w:rtl/>
              </w:rPr>
              <w:t>שלא לדיור, זאת כתוצאה מירידת יתרת חוב זה לבנקים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, לראשונה מזה זמן רב.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A11FA" w:rsidRPr="007A11FA" w:rsidRDefault="007A11FA" w:rsidP="00EB3718">
            <w:pPr>
              <w:pStyle w:val="a3"/>
              <w:numPr>
                <w:ilvl w:val="0"/>
                <w:numId w:val="4"/>
              </w:numPr>
              <w:tabs>
                <w:tab w:val="left" w:pos="984"/>
              </w:tabs>
              <w:spacing w:line="360" w:lineRule="auto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7A11FA">
              <w:rPr>
                <w:rFonts w:ascii="Arial" w:hAnsi="Arial" w:cs="David" w:hint="cs"/>
                <w:sz w:val="24"/>
                <w:szCs w:val="24"/>
                <w:rtl/>
              </w:rPr>
              <w:t>במקביל נמשכה</w:t>
            </w:r>
            <w:r w:rsidRPr="007A11FA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7A11FA">
              <w:rPr>
                <w:rFonts w:ascii="Arial" w:hAnsi="Arial" w:cs="David" w:hint="cs"/>
                <w:sz w:val="24"/>
                <w:szCs w:val="24"/>
                <w:rtl/>
              </w:rPr>
              <w:t>העלייה</w:t>
            </w:r>
            <w:r w:rsidRPr="007A11FA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7A11FA">
              <w:rPr>
                <w:rFonts w:ascii="Arial" w:hAnsi="Arial" w:cs="David" w:hint="cs"/>
                <w:sz w:val="24"/>
                <w:szCs w:val="24"/>
                <w:rtl/>
              </w:rPr>
              <w:t>ביתרת</w:t>
            </w:r>
            <w:r w:rsidRPr="007A11FA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7A11FA">
              <w:rPr>
                <w:rFonts w:ascii="Arial" w:hAnsi="Arial" w:cs="David" w:hint="cs"/>
                <w:sz w:val="24"/>
                <w:szCs w:val="24"/>
                <w:rtl/>
              </w:rPr>
              <w:t>החוב</w:t>
            </w:r>
            <w:r w:rsidRPr="007A11FA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לדיור</w:t>
            </w:r>
            <w:r w:rsidR="00EB3718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EB3718" w:rsidRPr="00EB3718">
              <w:rPr>
                <w:rFonts w:ascii="Arial" w:hAnsi="Arial" w:cs="David" w:hint="cs"/>
                <w:sz w:val="24"/>
                <w:szCs w:val="24"/>
                <w:rtl/>
              </w:rPr>
              <w:t>עד</w:t>
            </w:r>
            <w:r w:rsidR="00EB3718" w:rsidRPr="00EB3718">
              <w:rPr>
                <w:rFonts w:ascii="Arial" w:hAnsi="Arial" w:cs="David"/>
                <w:sz w:val="24"/>
                <w:szCs w:val="24"/>
              </w:rPr>
              <w:t xml:space="preserve"> </w:t>
            </w:r>
            <w:r w:rsidR="00EB3718" w:rsidRPr="00EB3718">
              <w:rPr>
                <w:rFonts w:ascii="Arial" w:hAnsi="Arial" w:cs="David" w:hint="cs"/>
                <w:sz w:val="24"/>
                <w:szCs w:val="24"/>
                <w:rtl/>
              </w:rPr>
              <w:t>לרמה</w:t>
            </w:r>
            <w:r w:rsidR="00EB3718" w:rsidRPr="00EB3718">
              <w:rPr>
                <w:rFonts w:ascii="Arial" w:hAnsi="Arial" w:cs="David"/>
                <w:sz w:val="24"/>
                <w:szCs w:val="24"/>
              </w:rPr>
              <w:t xml:space="preserve"> </w:t>
            </w:r>
            <w:r w:rsidR="00EB3718" w:rsidRPr="00EB3718">
              <w:rPr>
                <w:rFonts w:ascii="Arial" w:hAnsi="Arial" w:cs="David" w:hint="cs"/>
                <w:sz w:val="24"/>
                <w:szCs w:val="24"/>
                <w:rtl/>
              </w:rPr>
              <w:t>של</w:t>
            </w:r>
            <w:r w:rsidR="00EB3718" w:rsidRPr="00EB3718">
              <w:rPr>
                <w:rFonts w:ascii="Arial" w:hAnsi="Arial" w:cs="David"/>
                <w:sz w:val="24"/>
                <w:szCs w:val="24"/>
              </w:rPr>
              <w:t xml:space="preserve"> </w:t>
            </w:r>
            <w:r w:rsidR="00EB3718" w:rsidRPr="00EB3718">
              <w:rPr>
                <w:rFonts w:ascii="Arial" w:hAnsi="Arial" w:cs="David" w:hint="cs"/>
                <w:sz w:val="24"/>
                <w:szCs w:val="24"/>
                <w:rtl/>
              </w:rPr>
              <w:t>כ</w:t>
            </w:r>
            <w:r w:rsidR="00EB3718" w:rsidRPr="00EB3718">
              <w:rPr>
                <w:rFonts w:ascii="Arial" w:hAnsi="Arial" w:cs="David"/>
                <w:sz w:val="24"/>
                <w:szCs w:val="24"/>
              </w:rPr>
              <w:t xml:space="preserve"> </w:t>
            </w:r>
            <w:r w:rsidR="00EB3718">
              <w:rPr>
                <w:rFonts w:ascii="Arial" w:hAnsi="Arial" w:cs="David"/>
                <w:sz w:val="24"/>
                <w:szCs w:val="24"/>
              </w:rPr>
              <w:t>-</w:t>
            </w:r>
            <w:r w:rsidR="00EB3718">
              <w:rPr>
                <w:rFonts w:ascii="Arial" w:hAnsi="Arial" w:cs="David" w:hint="cs"/>
                <w:sz w:val="24"/>
                <w:szCs w:val="24"/>
                <w:rtl/>
              </w:rPr>
              <w:t xml:space="preserve">360 </w:t>
            </w:r>
            <w:r w:rsidR="00EB3718" w:rsidRPr="00EB3718">
              <w:rPr>
                <w:rFonts w:ascii="Arial" w:hAnsi="Arial" w:cs="David" w:hint="cs"/>
                <w:sz w:val="24"/>
                <w:szCs w:val="24"/>
                <w:rtl/>
              </w:rPr>
              <w:t>מיליארדים</w:t>
            </w:r>
            <w:r w:rsidR="00EB3718">
              <w:rPr>
                <w:rFonts w:ascii="Arial" w:hAnsi="Arial" w:cs="David"/>
                <w:sz w:val="24"/>
                <w:szCs w:val="24"/>
              </w:rPr>
              <w:t>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(איור ב'-1</w:t>
            </w:r>
            <w:r w:rsidR="00EB3718">
              <w:rPr>
                <w:rFonts w:ascii="Arial" w:hAnsi="Arial" w:cs="David" w:hint="cs"/>
                <w:sz w:val="24"/>
                <w:szCs w:val="24"/>
                <w:rtl/>
              </w:rPr>
              <w:t>1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)</w:t>
            </w:r>
          </w:p>
          <w:p w:rsidR="00551E33" w:rsidRDefault="00551E33" w:rsidP="007A11FA">
            <w:pPr>
              <w:pStyle w:val="a3"/>
              <w:tabs>
                <w:tab w:val="left" w:pos="984"/>
              </w:tabs>
              <w:spacing w:line="360" w:lineRule="auto"/>
              <w:jc w:val="both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:rsidR="00551E33" w:rsidRDefault="00A12B0A" w:rsidP="00A12B0A">
            <w:pPr>
              <w:pStyle w:val="a3"/>
              <w:tabs>
                <w:tab w:val="left" w:pos="984"/>
              </w:tabs>
              <w:spacing w:line="360" w:lineRule="auto"/>
              <w:ind w:left="0" w:right="749"/>
              <w:jc w:val="both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7F9C8D08" wp14:editId="33DB745A">
                  <wp:simplePos x="0" y="0"/>
                  <wp:positionH relativeFrom="margin">
                    <wp:align>left</wp:align>
                  </wp:positionH>
                  <wp:positionV relativeFrom="paragraph">
                    <wp:posOffset>3175</wp:posOffset>
                  </wp:positionV>
                  <wp:extent cx="2880000" cy="2052000"/>
                  <wp:effectExtent l="0" t="0" r="0" b="5715"/>
                  <wp:wrapSquare wrapText="bothSides"/>
                  <wp:docPr id="2" name="תמונה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0382" w:rsidRPr="007A11FA" w:rsidRDefault="006A0382" w:rsidP="00BB7CA3">
      <w:pPr>
        <w:pStyle w:val="a3"/>
        <w:numPr>
          <w:ilvl w:val="0"/>
          <w:numId w:val="12"/>
        </w:numPr>
        <w:tabs>
          <w:tab w:val="left" w:pos="984"/>
        </w:tabs>
        <w:spacing w:line="360" w:lineRule="auto"/>
        <w:ind w:left="793" w:hanging="425"/>
        <w:jc w:val="both"/>
        <w:rPr>
          <w:rFonts w:cs="David"/>
          <w:sz w:val="24"/>
          <w:szCs w:val="24"/>
        </w:rPr>
      </w:pPr>
      <w:r w:rsidRPr="006A0382">
        <w:rPr>
          <w:rFonts w:ascii="Arial" w:hAnsi="Arial" w:cs="David" w:hint="cs"/>
          <w:sz w:val="24"/>
          <w:szCs w:val="24"/>
          <w:rtl/>
        </w:rPr>
        <w:t>יתרת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החוב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של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המגזר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העסקי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גדלה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בשיעור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גבוה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מזה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של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השנה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הקודמת</w:t>
      </w:r>
      <w:r w:rsidRPr="006A0382">
        <w:rPr>
          <w:rFonts w:ascii="Arial" w:hAnsi="Arial" w:cs="David"/>
          <w:sz w:val="24"/>
          <w:szCs w:val="24"/>
          <w:rtl/>
        </w:rPr>
        <w:t xml:space="preserve"> (6.8% </w:t>
      </w:r>
      <w:r w:rsidRPr="006A0382">
        <w:rPr>
          <w:rFonts w:ascii="Arial" w:hAnsi="Arial" w:cs="David" w:hint="cs"/>
          <w:sz w:val="24"/>
          <w:szCs w:val="24"/>
          <w:rtl/>
        </w:rPr>
        <w:t>לעומת</w:t>
      </w:r>
      <w:r w:rsidRPr="006A0382">
        <w:rPr>
          <w:rFonts w:ascii="Arial" w:hAnsi="Arial" w:cs="David"/>
          <w:sz w:val="24"/>
          <w:szCs w:val="24"/>
          <w:rtl/>
        </w:rPr>
        <w:t xml:space="preserve"> 1.5%)</w:t>
      </w:r>
      <w:r w:rsidR="00CC6614">
        <w:rPr>
          <w:rFonts w:ascii="Arial" w:hAnsi="Arial" w:cs="David" w:hint="cs"/>
          <w:sz w:val="24"/>
          <w:szCs w:val="24"/>
          <w:rtl/>
        </w:rPr>
        <w:t xml:space="preserve"> לרמה של כ-919 מיליארדי ש"ח</w:t>
      </w:r>
      <w:r w:rsidRPr="006A0382">
        <w:rPr>
          <w:rFonts w:ascii="Arial" w:hAnsi="Arial" w:cs="David"/>
          <w:sz w:val="24"/>
          <w:szCs w:val="24"/>
          <w:rtl/>
        </w:rPr>
        <w:t xml:space="preserve">. </w:t>
      </w:r>
      <w:r w:rsidRPr="006A0382">
        <w:rPr>
          <w:rFonts w:ascii="Arial" w:hAnsi="Arial" w:cs="David" w:hint="cs"/>
          <w:sz w:val="24"/>
          <w:szCs w:val="24"/>
          <w:rtl/>
        </w:rPr>
        <w:t>קצבי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הגידול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הן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של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החוב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לבנקים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והן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של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החוב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לגופים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חוץ</w:t>
      </w:r>
      <w:r w:rsidRPr="006A0382">
        <w:rPr>
          <w:rFonts w:ascii="Arial" w:hAnsi="Arial" w:cs="David"/>
          <w:sz w:val="24"/>
          <w:szCs w:val="24"/>
          <w:rtl/>
        </w:rPr>
        <w:t>-</w:t>
      </w:r>
      <w:r w:rsidRPr="006A0382">
        <w:rPr>
          <w:rFonts w:ascii="Arial" w:hAnsi="Arial" w:cs="David" w:hint="cs"/>
          <w:sz w:val="24"/>
          <w:szCs w:val="24"/>
          <w:rtl/>
        </w:rPr>
        <w:t>בנקאיים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עלו</w:t>
      </w:r>
      <w:r w:rsidRPr="006A0382">
        <w:rPr>
          <w:rFonts w:ascii="Arial" w:hAnsi="Arial" w:cs="David"/>
          <w:sz w:val="24"/>
          <w:szCs w:val="24"/>
          <w:rtl/>
        </w:rPr>
        <w:t xml:space="preserve"> </w:t>
      </w:r>
      <w:r w:rsidRPr="006A0382">
        <w:rPr>
          <w:rFonts w:ascii="Arial" w:hAnsi="Arial" w:cs="David" w:hint="cs"/>
          <w:sz w:val="24"/>
          <w:szCs w:val="24"/>
          <w:rtl/>
        </w:rPr>
        <w:t>השנה</w:t>
      </w:r>
      <w:r w:rsidRPr="006A0382">
        <w:rPr>
          <w:rFonts w:ascii="Arial" w:hAnsi="Arial" w:cs="David"/>
          <w:sz w:val="24"/>
          <w:szCs w:val="24"/>
          <w:rtl/>
        </w:rPr>
        <w:t>.</w:t>
      </w:r>
      <w:r w:rsidR="007A11FA">
        <w:rPr>
          <w:rFonts w:cs="David" w:hint="cs"/>
          <w:b/>
          <w:bCs/>
          <w:sz w:val="24"/>
          <w:szCs w:val="24"/>
          <w:rtl/>
        </w:rPr>
        <w:t xml:space="preserve"> </w:t>
      </w:r>
      <w:r w:rsidR="007A11FA" w:rsidRPr="007A11FA">
        <w:rPr>
          <w:rFonts w:cs="David" w:hint="cs"/>
          <w:sz w:val="24"/>
          <w:szCs w:val="24"/>
          <w:rtl/>
        </w:rPr>
        <w:t>(איור ב'-7)</w:t>
      </w:r>
    </w:p>
    <w:p w:rsidR="006A0382" w:rsidRPr="00B15D4C" w:rsidRDefault="006A0382" w:rsidP="00DB5734">
      <w:pPr>
        <w:pStyle w:val="a3"/>
        <w:tabs>
          <w:tab w:val="left" w:pos="984"/>
        </w:tabs>
        <w:spacing w:line="360" w:lineRule="auto"/>
        <w:ind w:left="1440"/>
        <w:jc w:val="both"/>
        <w:rPr>
          <w:rFonts w:cs="David"/>
          <w:b/>
          <w:bCs/>
          <w:sz w:val="24"/>
          <w:szCs w:val="24"/>
        </w:rPr>
      </w:pPr>
    </w:p>
    <w:p w:rsidR="00716312" w:rsidRPr="00AC2448" w:rsidRDefault="00716312" w:rsidP="008F4267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AC2448">
        <w:rPr>
          <w:rFonts w:cs="David" w:hint="cs"/>
          <w:b/>
          <w:bCs/>
          <w:sz w:val="24"/>
          <w:szCs w:val="24"/>
          <w:rtl/>
        </w:rPr>
        <w:t>פעילות המשק מול חו"ל</w:t>
      </w:r>
    </w:p>
    <w:tbl>
      <w:tblPr>
        <w:tblStyle w:val="aa"/>
        <w:tblpPr w:leftFromText="180" w:rightFromText="180" w:vertAnchor="text" w:horzAnchor="margin" w:tblpY="116"/>
        <w:bidiVisual/>
        <w:tblW w:w="0" w:type="auto"/>
        <w:tblInd w:w="-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962"/>
      </w:tblGrid>
      <w:tr w:rsidR="00835150" w:rsidTr="00BB7CA3">
        <w:trPr>
          <w:trHeight w:val="3403"/>
        </w:trPr>
        <w:tc>
          <w:tcPr>
            <w:tcW w:w="3543" w:type="dxa"/>
          </w:tcPr>
          <w:p w:rsidR="006972AC" w:rsidRPr="006D1620" w:rsidRDefault="006972AC" w:rsidP="00BB7CA3">
            <w:pPr>
              <w:pStyle w:val="a3"/>
              <w:numPr>
                <w:ilvl w:val="0"/>
                <w:numId w:val="6"/>
              </w:numPr>
              <w:spacing w:after="120" w:line="360" w:lineRule="auto"/>
              <w:ind w:left="884" w:hanging="425"/>
              <w:jc w:val="both"/>
              <w:rPr>
                <w:rFonts w:ascii="Arial" w:hAnsi="Arial" w:cs="David"/>
                <w:sz w:val="24"/>
                <w:szCs w:val="24"/>
              </w:rPr>
            </w:pP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בשנת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2018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ירד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עודף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הנכסים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על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ההתחייבויות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של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המשק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מול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חו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>"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,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לראשונה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מזה</w:t>
            </w:r>
            <w:r w:rsidRPr="006972AC">
              <w:rPr>
                <w:rFonts w:ascii="Arial" w:hAnsi="Arial" w:cs="David"/>
                <w:sz w:val="24"/>
                <w:szCs w:val="24"/>
                <w:rtl/>
              </w:rPr>
              <w:t xml:space="preserve"> 8 </w:t>
            </w:r>
            <w:r w:rsidRPr="006972AC">
              <w:rPr>
                <w:rFonts w:ascii="Arial" w:hAnsi="Arial" w:cs="David" w:hint="cs"/>
                <w:sz w:val="24"/>
                <w:szCs w:val="24"/>
                <w:rtl/>
              </w:rPr>
              <w:t>שנים</w:t>
            </w:r>
            <w:r w:rsidR="006D1620">
              <w:rPr>
                <w:rFonts w:ascii="Arial" w:hAnsi="Arial" w:cs="David" w:hint="cs"/>
                <w:sz w:val="24"/>
                <w:szCs w:val="24"/>
                <w:rtl/>
              </w:rPr>
              <w:t>,</w:t>
            </w:r>
            <w:r w:rsidR="006D1620" w:rsidRPr="006D1620">
              <w:rPr>
                <w:rFonts w:ascii="Arial" w:hAnsi="Arial" w:cs="David" w:hint="cs"/>
                <w:sz w:val="24"/>
                <w:szCs w:val="24"/>
                <w:rtl/>
              </w:rPr>
              <w:t xml:space="preserve"> עקב עלייה גדולה יותר ביתרת ההתחייבויות מאשר העלייה ביתרת הנכסים.</w:t>
            </w:r>
            <w:r w:rsidRPr="006D1620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="006D1620">
              <w:rPr>
                <w:rFonts w:ascii="Arial" w:hAnsi="Arial" w:cs="David" w:hint="cs"/>
                <w:sz w:val="24"/>
                <w:szCs w:val="24"/>
                <w:rtl/>
              </w:rPr>
              <w:t xml:space="preserve">עם זאת, </w:t>
            </w:r>
            <w:r w:rsidR="00CC6614">
              <w:rPr>
                <w:rFonts w:ascii="Arial" w:hAnsi="Arial" w:cs="David" w:hint="cs"/>
                <w:sz w:val="24"/>
                <w:szCs w:val="24"/>
                <w:rtl/>
              </w:rPr>
              <w:t xml:space="preserve">למשק </w:t>
            </w:r>
            <w:r w:rsidR="006D1620">
              <w:rPr>
                <w:rFonts w:ascii="Arial" w:hAnsi="Arial" w:cs="David" w:hint="cs"/>
                <w:sz w:val="24"/>
                <w:szCs w:val="24"/>
                <w:rtl/>
              </w:rPr>
              <w:t xml:space="preserve">עודף נכסים </w:t>
            </w:r>
            <w:r w:rsidR="00CC6614">
              <w:rPr>
                <w:rFonts w:ascii="Arial" w:hAnsi="Arial" w:cs="David" w:hint="cs"/>
                <w:sz w:val="24"/>
                <w:szCs w:val="24"/>
                <w:rtl/>
              </w:rPr>
              <w:t xml:space="preserve">ניכר והוא מלווה נטו לחו"ל </w:t>
            </w:r>
            <w:r w:rsidR="006D1620">
              <w:rPr>
                <w:rFonts w:ascii="Arial" w:hAnsi="Arial" w:cs="David" w:hint="cs"/>
                <w:sz w:val="24"/>
                <w:szCs w:val="24"/>
                <w:rtl/>
              </w:rPr>
              <w:t>כ-133 מיליארדי דולרים.</w:t>
            </w:r>
          </w:p>
          <w:p w:rsidR="00835150" w:rsidRPr="006D1620" w:rsidRDefault="00835150" w:rsidP="006D1620">
            <w:pPr>
              <w:spacing w:after="120" w:line="360" w:lineRule="auto"/>
              <w:ind w:left="317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:rsidR="00835150" w:rsidRDefault="00DB5734" w:rsidP="00682A6E">
            <w:pPr>
              <w:pStyle w:val="a3"/>
              <w:spacing w:after="120" w:line="360" w:lineRule="auto"/>
              <w:ind w:left="0"/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7696" behindDoc="0" locked="0" layoutInCell="1" allowOverlap="1" wp14:anchorId="3C7D3201" wp14:editId="29F42AE1">
                  <wp:simplePos x="0" y="0"/>
                  <wp:positionH relativeFrom="margin">
                    <wp:align>left</wp:align>
                  </wp:positionH>
                  <wp:positionV relativeFrom="paragraph">
                    <wp:posOffset>10160</wp:posOffset>
                  </wp:positionV>
                  <wp:extent cx="2880000" cy="2052000"/>
                  <wp:effectExtent l="0" t="0" r="0" b="5715"/>
                  <wp:wrapSquare wrapText="bothSides"/>
                  <wp:docPr id="6" name="תמונה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72AC" w:rsidRDefault="006972AC" w:rsidP="00CC6614">
      <w:pPr>
        <w:pStyle w:val="a3"/>
        <w:numPr>
          <w:ilvl w:val="0"/>
          <w:numId w:val="6"/>
        </w:numPr>
        <w:spacing w:after="120" w:line="360" w:lineRule="auto"/>
        <w:ind w:left="651" w:hanging="334"/>
        <w:jc w:val="both"/>
        <w:rPr>
          <w:rFonts w:ascii="Arial" w:hAnsi="Arial" w:cs="David"/>
          <w:sz w:val="24"/>
          <w:szCs w:val="24"/>
        </w:rPr>
      </w:pPr>
      <w:r w:rsidRPr="006972AC">
        <w:rPr>
          <w:rFonts w:ascii="Arial" w:hAnsi="Arial" w:cs="David" w:hint="cs"/>
          <w:sz w:val="24"/>
          <w:szCs w:val="24"/>
          <w:rtl/>
        </w:rPr>
        <w:t>יתרת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הנכסים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של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המשק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בחו</w:t>
      </w:r>
      <w:r w:rsidRPr="006972AC">
        <w:rPr>
          <w:rFonts w:ascii="Arial" w:hAnsi="Arial" w:cs="David"/>
          <w:sz w:val="24"/>
          <w:szCs w:val="24"/>
          <w:rtl/>
        </w:rPr>
        <w:t>"</w:t>
      </w:r>
      <w:r w:rsidRPr="006972AC">
        <w:rPr>
          <w:rFonts w:ascii="Arial" w:hAnsi="Arial" w:cs="David" w:hint="cs"/>
          <w:sz w:val="24"/>
          <w:szCs w:val="24"/>
          <w:rtl/>
        </w:rPr>
        <w:t>ל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עלתה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השנה</w:t>
      </w:r>
      <w:r w:rsidRPr="006972AC">
        <w:rPr>
          <w:rFonts w:ascii="Arial" w:hAnsi="Arial" w:cs="David"/>
          <w:sz w:val="24"/>
          <w:szCs w:val="24"/>
          <w:rtl/>
        </w:rPr>
        <w:t xml:space="preserve">, </w:t>
      </w:r>
      <w:r w:rsidRPr="006972AC">
        <w:rPr>
          <w:rFonts w:ascii="Arial" w:hAnsi="Arial" w:cs="David" w:hint="cs"/>
          <w:sz w:val="24"/>
          <w:szCs w:val="24"/>
          <w:rtl/>
        </w:rPr>
        <w:t>בשיעור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מתון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מאשתקד</w:t>
      </w:r>
      <w:r w:rsidRPr="006972AC">
        <w:rPr>
          <w:rFonts w:ascii="Arial" w:hAnsi="Arial" w:cs="David"/>
          <w:sz w:val="24"/>
          <w:szCs w:val="24"/>
          <w:rtl/>
        </w:rPr>
        <w:t>,</w:t>
      </w:r>
      <w:r w:rsidR="006D1620">
        <w:rPr>
          <w:rFonts w:ascii="Arial" w:hAnsi="Arial" w:cs="David" w:hint="cs"/>
          <w:sz w:val="24"/>
          <w:szCs w:val="24"/>
          <w:rtl/>
        </w:rPr>
        <w:t xml:space="preserve"> לרמה של 438 מיליארדי דולרים. העלייה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התרכזה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="008448AD">
        <w:rPr>
          <w:rFonts w:ascii="Arial" w:hAnsi="Arial" w:cs="David" w:hint="cs"/>
          <w:sz w:val="24"/>
          <w:szCs w:val="24"/>
          <w:rtl/>
        </w:rPr>
        <w:t>ב</w:t>
      </w:r>
      <w:r w:rsidRPr="006972AC">
        <w:rPr>
          <w:rFonts w:ascii="Arial" w:hAnsi="Arial" w:cs="David" w:hint="cs"/>
          <w:sz w:val="24"/>
          <w:szCs w:val="24"/>
          <w:rtl/>
        </w:rPr>
        <w:t>השקעות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הישירות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של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תושבי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ישראל</w:t>
      </w:r>
      <w:r w:rsidRPr="006972AC">
        <w:rPr>
          <w:rFonts w:ascii="Arial" w:hAnsi="Arial" w:cs="David"/>
          <w:sz w:val="24"/>
          <w:szCs w:val="24"/>
          <w:rtl/>
        </w:rPr>
        <w:t xml:space="preserve"> </w:t>
      </w:r>
      <w:r w:rsidRPr="006972AC">
        <w:rPr>
          <w:rFonts w:ascii="Arial" w:hAnsi="Arial" w:cs="David" w:hint="cs"/>
          <w:sz w:val="24"/>
          <w:szCs w:val="24"/>
          <w:rtl/>
        </w:rPr>
        <w:t>ב</w:t>
      </w:r>
      <w:r w:rsidR="008448AD">
        <w:rPr>
          <w:rFonts w:ascii="Arial" w:hAnsi="Arial" w:cs="David" w:hint="cs"/>
          <w:sz w:val="24"/>
          <w:szCs w:val="24"/>
          <w:rtl/>
        </w:rPr>
        <w:t>מניות ב</w:t>
      </w:r>
      <w:r w:rsidRPr="006972AC">
        <w:rPr>
          <w:rFonts w:ascii="Arial" w:hAnsi="Arial" w:cs="David" w:hint="cs"/>
          <w:sz w:val="24"/>
          <w:szCs w:val="24"/>
          <w:rtl/>
        </w:rPr>
        <w:t>חו</w:t>
      </w:r>
      <w:r w:rsidRPr="006972AC">
        <w:rPr>
          <w:rFonts w:ascii="Arial" w:hAnsi="Arial" w:cs="David"/>
          <w:sz w:val="24"/>
          <w:szCs w:val="24"/>
          <w:rtl/>
        </w:rPr>
        <w:t>"</w:t>
      </w:r>
      <w:r w:rsidRPr="006972AC">
        <w:rPr>
          <w:rFonts w:ascii="Arial" w:hAnsi="Arial" w:cs="David" w:hint="cs"/>
          <w:sz w:val="24"/>
          <w:szCs w:val="24"/>
          <w:rtl/>
        </w:rPr>
        <w:t>ל</w:t>
      </w:r>
      <w:r w:rsidRPr="006972AC">
        <w:rPr>
          <w:rFonts w:ascii="Arial" w:hAnsi="Arial" w:cs="David"/>
          <w:sz w:val="24"/>
          <w:szCs w:val="24"/>
          <w:rtl/>
        </w:rPr>
        <w:t xml:space="preserve">. </w:t>
      </w:r>
      <w:r w:rsidR="008448AD">
        <w:rPr>
          <w:rFonts w:ascii="Arial" w:hAnsi="Arial" w:cs="David" w:hint="cs"/>
          <w:sz w:val="24"/>
          <w:szCs w:val="24"/>
          <w:rtl/>
        </w:rPr>
        <w:t>לעומת</w:t>
      </w:r>
      <w:r w:rsidR="00CC6614">
        <w:rPr>
          <w:rFonts w:ascii="Arial" w:hAnsi="Arial" w:cs="David" w:hint="cs"/>
          <w:sz w:val="24"/>
          <w:szCs w:val="24"/>
          <w:rtl/>
        </w:rPr>
        <w:t>ן</w:t>
      </w:r>
      <w:r w:rsidR="008448AD">
        <w:rPr>
          <w:rFonts w:ascii="Arial" w:hAnsi="Arial" w:cs="David" w:hint="cs"/>
          <w:sz w:val="24"/>
          <w:szCs w:val="24"/>
          <w:rtl/>
        </w:rPr>
        <w:t xml:space="preserve">, </w:t>
      </w:r>
      <w:r w:rsidR="00B3157C" w:rsidRPr="00517D1F">
        <w:rPr>
          <w:rFonts w:ascii="Arial" w:hAnsi="Arial" w:cs="David" w:hint="cs"/>
          <w:sz w:val="24"/>
          <w:szCs w:val="24"/>
          <w:rtl/>
        </w:rPr>
        <w:t>ההשקעות הפיננסיות של תושבי ישראל בחו"ל, שהתרכזו במניות, קוזזו על ידי ירידות של מחיריהן.</w:t>
      </w:r>
      <w:r w:rsidR="008448AD">
        <w:rPr>
          <w:rFonts w:ascii="Arial" w:hAnsi="Arial" w:cs="David" w:hint="cs"/>
          <w:sz w:val="24"/>
          <w:szCs w:val="24"/>
          <w:rtl/>
        </w:rPr>
        <w:t xml:space="preserve"> (איורים ג'-2-3-4)</w:t>
      </w:r>
    </w:p>
    <w:p w:rsidR="0098781E" w:rsidRDefault="006972AC" w:rsidP="00BB7CA3">
      <w:pPr>
        <w:pStyle w:val="a3"/>
        <w:numPr>
          <w:ilvl w:val="0"/>
          <w:numId w:val="6"/>
        </w:numPr>
        <w:tabs>
          <w:tab w:val="left" w:pos="2849"/>
        </w:tabs>
        <w:spacing w:after="240" w:line="360" w:lineRule="auto"/>
        <w:ind w:left="651" w:hanging="334"/>
        <w:jc w:val="both"/>
        <w:rPr>
          <w:rFonts w:ascii="Arial" w:hAnsi="Arial" w:cs="David"/>
          <w:sz w:val="24"/>
          <w:szCs w:val="24"/>
        </w:rPr>
      </w:pPr>
      <w:r w:rsidRPr="006972AC">
        <w:rPr>
          <w:rFonts w:ascii="Arial" w:hAnsi="Arial" w:cs="David" w:hint="cs"/>
          <w:sz w:val="24"/>
          <w:szCs w:val="24"/>
          <w:rtl/>
        </w:rPr>
        <w:t>יתרת ההתחייבויות של המשק לחו"ל עלתה השנה</w:t>
      </w:r>
      <w:r w:rsidR="007D5DF9">
        <w:rPr>
          <w:rFonts w:ascii="Arial" w:hAnsi="Arial" w:cs="David" w:hint="cs"/>
          <w:sz w:val="24"/>
          <w:szCs w:val="24"/>
          <w:rtl/>
        </w:rPr>
        <w:t xml:space="preserve"> לרמה של 304 מיליארדי דולרים</w:t>
      </w:r>
      <w:r w:rsidRPr="006972AC">
        <w:rPr>
          <w:rFonts w:ascii="Arial" w:hAnsi="Arial" w:cs="David" w:hint="cs"/>
          <w:sz w:val="24"/>
          <w:szCs w:val="24"/>
          <w:rtl/>
        </w:rPr>
        <w:t xml:space="preserve">, המשך </w:t>
      </w:r>
      <w:r w:rsidR="007D5DF9">
        <w:rPr>
          <w:rFonts w:ascii="Arial" w:hAnsi="Arial" w:cs="David" w:hint="cs"/>
          <w:sz w:val="24"/>
          <w:szCs w:val="24"/>
          <w:rtl/>
        </w:rPr>
        <w:t>לעלייתה אשתקד. העלייה נבעה מ</w:t>
      </w:r>
      <w:r w:rsidRPr="006972AC">
        <w:rPr>
          <w:rFonts w:ascii="Arial" w:hAnsi="Arial" w:cs="David" w:hint="cs"/>
          <w:sz w:val="24"/>
          <w:szCs w:val="24"/>
          <w:rtl/>
        </w:rPr>
        <w:t>השקעות ישירות של תושבי חוץ במשק, בעיקר במניות.</w:t>
      </w:r>
      <w:r w:rsidR="00BE22E1">
        <w:rPr>
          <w:rFonts w:ascii="Arial" w:hAnsi="Arial" w:cs="David" w:hint="cs"/>
          <w:sz w:val="24"/>
          <w:szCs w:val="24"/>
          <w:rtl/>
        </w:rPr>
        <w:t xml:space="preserve"> (איור ג'-9)</w:t>
      </w:r>
    </w:p>
    <w:p w:rsidR="00BB7CA3" w:rsidRPr="00BB7CA3" w:rsidRDefault="00BB7CA3" w:rsidP="00BB7CA3">
      <w:pPr>
        <w:pStyle w:val="a3"/>
        <w:tabs>
          <w:tab w:val="left" w:pos="2849"/>
        </w:tabs>
        <w:spacing w:after="240" w:line="360" w:lineRule="auto"/>
        <w:ind w:left="651"/>
        <w:jc w:val="both"/>
        <w:rPr>
          <w:rFonts w:ascii="Arial" w:hAnsi="Arial" w:cs="David"/>
          <w:sz w:val="24"/>
          <w:szCs w:val="24"/>
          <w:rtl/>
        </w:rPr>
      </w:pPr>
    </w:p>
    <w:p w:rsidR="005D6EE3" w:rsidRPr="00265734" w:rsidRDefault="00716312" w:rsidP="00265734">
      <w:pPr>
        <w:pStyle w:val="a3"/>
        <w:numPr>
          <w:ilvl w:val="0"/>
          <w:numId w:val="11"/>
        </w:numPr>
        <w:spacing w:line="360" w:lineRule="auto"/>
        <w:ind w:left="360"/>
        <w:jc w:val="both"/>
        <w:rPr>
          <w:rFonts w:cs="David"/>
          <w:b/>
          <w:bCs/>
          <w:sz w:val="24"/>
          <w:szCs w:val="24"/>
        </w:rPr>
      </w:pPr>
      <w:r w:rsidRPr="00265734">
        <w:rPr>
          <w:rFonts w:cs="David" w:hint="cs"/>
          <w:b/>
          <w:bCs/>
          <w:sz w:val="24"/>
          <w:szCs w:val="24"/>
          <w:rtl/>
        </w:rPr>
        <w:t>פעילות המגזרים העיקריים במטבע חוץ</w:t>
      </w:r>
      <w:r w:rsidR="005D6EE3" w:rsidRPr="00265734">
        <w:rPr>
          <w:rFonts w:cs="David"/>
          <w:b/>
          <w:bCs/>
          <w:sz w:val="24"/>
          <w:szCs w:val="24"/>
          <w:rtl/>
        </w:rPr>
        <w:t xml:space="preserve"> </w:t>
      </w:r>
    </w:p>
    <w:tbl>
      <w:tblPr>
        <w:tblStyle w:val="aa"/>
        <w:bidiVisual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44"/>
      </w:tblGrid>
      <w:tr w:rsidR="007B1AD6" w:rsidTr="00682A6E">
        <w:tc>
          <w:tcPr>
            <w:tcW w:w="3828" w:type="dxa"/>
          </w:tcPr>
          <w:p w:rsidR="00C673FA" w:rsidRPr="00C673FA" w:rsidRDefault="00C673FA" w:rsidP="00BB7CA3">
            <w:pPr>
              <w:pStyle w:val="a3"/>
              <w:numPr>
                <w:ilvl w:val="0"/>
                <w:numId w:val="5"/>
              </w:numPr>
              <w:spacing w:line="360" w:lineRule="auto"/>
              <w:ind w:left="601" w:hanging="241"/>
              <w:jc w:val="both"/>
              <w:rPr>
                <w:rFonts w:cs="David"/>
                <w:b/>
                <w:bCs/>
                <w:sz w:val="24"/>
                <w:szCs w:val="24"/>
              </w:rPr>
            </w:pPr>
            <w:r w:rsidRPr="00C673FA">
              <w:rPr>
                <w:rFonts w:cs="David" w:hint="cs"/>
                <w:sz w:val="24"/>
                <w:szCs w:val="24"/>
                <w:rtl/>
              </w:rPr>
              <w:lastRenderedPageBreak/>
              <w:t>בפעילות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המגזרים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העיקריים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בשוק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המט</w:t>
            </w:r>
            <w:r w:rsidRPr="00C673FA">
              <w:rPr>
                <w:rFonts w:cs="David"/>
                <w:sz w:val="24"/>
                <w:szCs w:val="24"/>
                <w:rtl/>
              </w:rPr>
              <w:t>"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ח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A293A">
              <w:rPr>
                <w:rFonts w:cs="David" w:hint="cs"/>
                <w:sz w:val="24"/>
                <w:szCs w:val="24"/>
                <w:rtl/>
              </w:rPr>
              <w:t>בולט המעבר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A293A">
              <w:rPr>
                <w:rFonts w:cs="David" w:hint="cs"/>
                <w:sz w:val="24"/>
                <w:szCs w:val="24"/>
                <w:rtl/>
              </w:rPr>
              <w:t>ל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רכישות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מט</w:t>
            </w:r>
            <w:r w:rsidRPr="00C673FA">
              <w:rPr>
                <w:rFonts w:cs="David"/>
                <w:sz w:val="24"/>
                <w:szCs w:val="24"/>
                <w:rtl/>
              </w:rPr>
              <w:t>"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ח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נטו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(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מכירות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שקלים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של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הגופים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המוסדיים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והמגזר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הפיננסי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האחר</w:t>
            </w:r>
            <w:r w:rsidR="006A293A">
              <w:rPr>
                <w:rStyle w:val="af2"/>
                <w:rFonts w:cs="David"/>
                <w:sz w:val="24"/>
                <w:szCs w:val="24"/>
                <w:rtl/>
              </w:rPr>
              <w:footnoteReference w:id="1"/>
            </w:r>
            <w:r w:rsidR="005175C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כנגד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מכירות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מט</w:t>
            </w:r>
            <w:r w:rsidRPr="00C673FA">
              <w:rPr>
                <w:rFonts w:cs="David"/>
                <w:sz w:val="24"/>
                <w:szCs w:val="24"/>
                <w:rtl/>
              </w:rPr>
              <w:t>"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ח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נטו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(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קניית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שקלים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של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תושבי</w:t>
            </w:r>
            <w:r w:rsidRPr="00C673F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C673FA">
              <w:rPr>
                <w:rFonts w:cs="David" w:hint="cs"/>
                <w:sz w:val="24"/>
                <w:szCs w:val="24"/>
                <w:rtl/>
              </w:rPr>
              <w:t>חוץ</w:t>
            </w:r>
            <w:r w:rsidRPr="00C673FA">
              <w:rPr>
                <w:rFonts w:cs="David"/>
                <w:sz w:val="24"/>
                <w:szCs w:val="24"/>
                <w:rtl/>
              </w:rPr>
              <w:t>.</w:t>
            </w:r>
          </w:p>
          <w:p w:rsidR="000E5356" w:rsidRPr="00835150" w:rsidRDefault="000E5356" w:rsidP="00FB1D63">
            <w:pPr>
              <w:pStyle w:val="a3"/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4" w:type="dxa"/>
          </w:tcPr>
          <w:p w:rsidR="007B1AD6" w:rsidRDefault="00DB5734" w:rsidP="00682A6E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8720" behindDoc="0" locked="0" layoutInCell="1" allowOverlap="1" wp14:anchorId="2C6890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15240</wp:posOffset>
                  </wp:positionV>
                  <wp:extent cx="2880000" cy="2023200"/>
                  <wp:effectExtent l="0" t="0" r="0" b="0"/>
                  <wp:wrapSquare wrapText="bothSides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02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6545" w:rsidRDefault="00C673FA" w:rsidP="007B373F">
      <w:pPr>
        <w:pStyle w:val="a3"/>
        <w:numPr>
          <w:ilvl w:val="0"/>
          <w:numId w:val="5"/>
        </w:numPr>
        <w:spacing w:after="0" w:line="360" w:lineRule="auto"/>
        <w:ind w:left="651" w:hanging="291"/>
        <w:jc w:val="both"/>
        <w:rPr>
          <w:rFonts w:cs="David"/>
          <w:sz w:val="24"/>
          <w:szCs w:val="24"/>
        </w:rPr>
      </w:pPr>
      <w:r w:rsidRPr="00C673FA">
        <w:rPr>
          <w:rFonts w:cs="David" w:hint="cs"/>
          <w:sz w:val="24"/>
          <w:szCs w:val="24"/>
          <w:rtl/>
        </w:rPr>
        <w:t>בשנת</w:t>
      </w:r>
      <w:r w:rsidRPr="00C673FA">
        <w:rPr>
          <w:rFonts w:cs="David"/>
          <w:sz w:val="24"/>
          <w:szCs w:val="24"/>
          <w:rtl/>
        </w:rPr>
        <w:t xml:space="preserve"> 2018 </w:t>
      </w:r>
      <w:r w:rsidR="00FB1D63">
        <w:rPr>
          <w:rFonts w:cs="David" w:hint="cs"/>
          <w:sz w:val="24"/>
          <w:szCs w:val="24"/>
          <w:rtl/>
        </w:rPr>
        <w:t xml:space="preserve">חל שינוי במגמת שער החליפין: </w:t>
      </w:r>
      <w:r w:rsidRPr="00C673FA">
        <w:rPr>
          <w:rFonts w:cs="David" w:hint="cs"/>
          <w:sz w:val="24"/>
          <w:szCs w:val="24"/>
          <w:rtl/>
        </w:rPr>
        <w:t>נחלש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השקל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מול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הדולר</w:t>
      </w:r>
      <w:r w:rsidRPr="00C673FA">
        <w:rPr>
          <w:rFonts w:cs="David"/>
          <w:sz w:val="24"/>
          <w:szCs w:val="24"/>
          <w:rtl/>
        </w:rPr>
        <w:t xml:space="preserve">, </w:t>
      </w:r>
      <w:r w:rsidRPr="00C673FA">
        <w:rPr>
          <w:rFonts w:cs="David" w:hint="cs"/>
          <w:sz w:val="24"/>
          <w:szCs w:val="24"/>
          <w:rtl/>
        </w:rPr>
        <w:t>במקביל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להתחזקות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משמעותית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של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הדולר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מול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מטבעות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עיקריים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בעולם</w:t>
      </w:r>
      <w:r w:rsidRPr="00C673FA">
        <w:rPr>
          <w:rFonts w:cs="David"/>
          <w:sz w:val="24"/>
          <w:szCs w:val="24"/>
          <w:rtl/>
        </w:rPr>
        <w:t xml:space="preserve">. </w:t>
      </w:r>
      <w:r w:rsidRPr="00C673FA">
        <w:rPr>
          <w:rFonts w:cs="David" w:hint="cs"/>
          <w:sz w:val="24"/>
          <w:szCs w:val="24"/>
          <w:rtl/>
        </w:rPr>
        <w:t>מול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שער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החליפין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הנומינלי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האפקטיבי</w:t>
      </w:r>
      <w:r w:rsidRPr="00C673FA">
        <w:rPr>
          <w:rFonts w:cs="David"/>
          <w:sz w:val="24"/>
          <w:szCs w:val="24"/>
          <w:rtl/>
        </w:rPr>
        <w:t xml:space="preserve">, </w:t>
      </w:r>
      <w:r w:rsidRPr="00C673FA">
        <w:rPr>
          <w:rFonts w:cs="David" w:hint="cs"/>
          <w:sz w:val="24"/>
          <w:szCs w:val="24"/>
          <w:rtl/>
        </w:rPr>
        <w:t>המייצג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את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שותפות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הסחר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של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ישראל</w:t>
      </w:r>
      <w:r w:rsidRPr="00C673FA">
        <w:rPr>
          <w:rFonts w:cs="David"/>
          <w:sz w:val="24"/>
          <w:szCs w:val="24"/>
          <w:rtl/>
        </w:rPr>
        <w:t xml:space="preserve">, </w:t>
      </w:r>
      <w:r w:rsidRPr="00C673FA">
        <w:rPr>
          <w:rFonts w:cs="David" w:hint="cs"/>
          <w:sz w:val="24"/>
          <w:szCs w:val="24"/>
          <w:rtl/>
        </w:rPr>
        <w:t>נחלש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השקל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בשיעור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מתון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יותר</w:t>
      </w:r>
      <w:r w:rsidRPr="00C673FA">
        <w:rPr>
          <w:rFonts w:cs="David"/>
          <w:sz w:val="24"/>
          <w:szCs w:val="24"/>
          <w:rtl/>
        </w:rPr>
        <w:t xml:space="preserve">, </w:t>
      </w:r>
      <w:r w:rsidRPr="00C673FA">
        <w:rPr>
          <w:rFonts w:cs="David" w:hint="cs"/>
          <w:sz w:val="24"/>
          <w:szCs w:val="24"/>
          <w:rtl/>
        </w:rPr>
        <w:t>בעיקר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החל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מחודש</w:t>
      </w:r>
      <w:r w:rsidRPr="00C673FA">
        <w:rPr>
          <w:rFonts w:cs="David"/>
          <w:sz w:val="24"/>
          <w:szCs w:val="24"/>
          <w:rtl/>
        </w:rPr>
        <w:t xml:space="preserve"> </w:t>
      </w:r>
      <w:r w:rsidRPr="00C673FA">
        <w:rPr>
          <w:rFonts w:cs="David" w:hint="cs"/>
          <w:sz w:val="24"/>
          <w:szCs w:val="24"/>
          <w:rtl/>
        </w:rPr>
        <w:t>ספטמבר</w:t>
      </w:r>
      <w:r w:rsidRPr="00C673FA">
        <w:rPr>
          <w:rFonts w:cs="David"/>
          <w:sz w:val="24"/>
          <w:szCs w:val="24"/>
          <w:rtl/>
        </w:rPr>
        <w:t xml:space="preserve">. </w:t>
      </w:r>
      <w:r w:rsidR="00FB1D63">
        <w:rPr>
          <w:rFonts w:cs="David" w:hint="cs"/>
          <w:sz w:val="24"/>
          <w:szCs w:val="24"/>
          <w:rtl/>
        </w:rPr>
        <w:t>(איורים ד'-1-2)</w:t>
      </w:r>
    </w:p>
    <w:p w:rsidR="00B43ACC" w:rsidRPr="00B43ACC" w:rsidRDefault="00B43ACC" w:rsidP="00B43ACC">
      <w:pPr>
        <w:pStyle w:val="a3"/>
        <w:spacing w:after="0" w:line="360" w:lineRule="auto"/>
        <w:ind w:left="743"/>
        <w:jc w:val="both"/>
        <w:rPr>
          <w:rFonts w:cs="David"/>
          <w:sz w:val="24"/>
          <w:szCs w:val="24"/>
        </w:rPr>
      </w:pPr>
    </w:p>
    <w:p w:rsidR="00716312" w:rsidRPr="00F11718" w:rsidRDefault="002D2EE7" w:rsidP="00C673FA">
      <w:pPr>
        <w:spacing w:line="360" w:lineRule="auto"/>
        <w:ind w:left="-58"/>
        <w:jc w:val="both"/>
        <w:rPr>
          <w:rFonts w:cs="David"/>
          <w:sz w:val="24"/>
          <w:szCs w:val="24"/>
          <w:rtl/>
        </w:rPr>
      </w:pPr>
      <w:r w:rsidRPr="00F11718">
        <w:rPr>
          <w:rFonts w:cs="David" w:hint="cs"/>
          <w:b/>
          <w:bCs/>
          <w:sz w:val="24"/>
          <w:szCs w:val="24"/>
          <w:rtl/>
        </w:rPr>
        <w:t>ה</w:t>
      </w:r>
      <w:r w:rsidR="00716312" w:rsidRPr="00F11718">
        <w:rPr>
          <w:rFonts w:cs="David" w:hint="cs"/>
          <w:b/>
          <w:bCs/>
          <w:sz w:val="24"/>
          <w:szCs w:val="24"/>
          <w:rtl/>
        </w:rPr>
        <w:t xml:space="preserve">חלק השני של 'מבט סטטיסטי </w:t>
      </w:r>
      <w:r w:rsidR="000E5356">
        <w:rPr>
          <w:rFonts w:cs="David" w:hint="cs"/>
          <w:b/>
          <w:bCs/>
          <w:sz w:val="24"/>
          <w:szCs w:val="24"/>
          <w:rtl/>
        </w:rPr>
        <w:t>201</w:t>
      </w:r>
      <w:r w:rsidR="00C673FA">
        <w:rPr>
          <w:rFonts w:cs="David" w:hint="cs"/>
          <w:b/>
          <w:bCs/>
          <w:sz w:val="24"/>
          <w:szCs w:val="24"/>
          <w:rtl/>
        </w:rPr>
        <w:t>8</w:t>
      </w:r>
      <w:r w:rsidR="000E5356" w:rsidRPr="00F11718">
        <w:rPr>
          <w:rFonts w:cs="David" w:hint="cs"/>
          <w:b/>
          <w:bCs/>
          <w:sz w:val="24"/>
          <w:szCs w:val="24"/>
          <w:rtl/>
        </w:rPr>
        <w:t>'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F11718">
        <w:rPr>
          <w:rFonts w:cs="David" w:hint="cs"/>
          <w:sz w:val="24"/>
          <w:szCs w:val="24"/>
          <w:rtl/>
        </w:rPr>
        <w:t xml:space="preserve">כולל </w:t>
      </w:r>
      <w:r w:rsidR="000E5356">
        <w:rPr>
          <w:rFonts w:cs="David" w:hint="cs"/>
          <w:sz w:val="24"/>
          <w:szCs w:val="24"/>
          <w:rtl/>
        </w:rPr>
        <w:t>שתי</w:t>
      </w:r>
      <w:r w:rsidRPr="00F11718">
        <w:rPr>
          <w:rFonts w:cs="David" w:hint="cs"/>
          <w:sz w:val="24"/>
          <w:szCs w:val="24"/>
          <w:rtl/>
        </w:rPr>
        <w:t xml:space="preserve"> עבודות בתחום המתודולוגיה הסטטיסטית</w:t>
      </w:r>
      <w:r w:rsidR="00716312" w:rsidRPr="00F11718">
        <w:rPr>
          <w:rFonts w:cs="David" w:hint="cs"/>
          <w:sz w:val="24"/>
          <w:szCs w:val="24"/>
          <w:rtl/>
        </w:rPr>
        <w:t>:</w:t>
      </w:r>
    </w:p>
    <w:p w:rsidR="00630DB3" w:rsidRDefault="00630DB3" w:rsidP="00630DB3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630DB3">
        <w:rPr>
          <w:rFonts w:cs="David" w:hint="cs"/>
          <w:b/>
          <w:bCs/>
          <w:sz w:val="24"/>
          <w:szCs w:val="24"/>
          <w:rtl/>
        </w:rPr>
        <w:t>מערכת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הנתונים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על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פעילות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שוק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שקל</w:t>
      </w:r>
      <w:r w:rsidRPr="00630DB3">
        <w:rPr>
          <w:rFonts w:cs="David"/>
          <w:b/>
          <w:bCs/>
          <w:sz w:val="24"/>
          <w:szCs w:val="24"/>
          <w:rtl/>
        </w:rPr>
        <w:t>/</w:t>
      </w:r>
      <w:r w:rsidRPr="00630DB3">
        <w:rPr>
          <w:rFonts w:cs="David" w:hint="cs"/>
          <w:b/>
          <w:bCs/>
          <w:sz w:val="24"/>
          <w:szCs w:val="24"/>
          <w:rtl/>
        </w:rPr>
        <w:t>מטבע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חוץ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</w:p>
    <w:p w:rsidR="0003662F" w:rsidRDefault="00630DB3" w:rsidP="00630DB3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630DB3">
        <w:rPr>
          <w:rFonts w:cs="David" w:hint="cs"/>
          <w:sz w:val="24"/>
          <w:szCs w:val="24"/>
          <w:rtl/>
        </w:rPr>
        <w:t>החטיבה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למידע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ולסטטיסטיקה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בבנק</w:t>
      </w:r>
      <w:r w:rsidRPr="00630DB3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ישראל </w:t>
      </w:r>
      <w:r w:rsidRPr="00630DB3">
        <w:rPr>
          <w:rFonts w:cs="David" w:hint="cs"/>
          <w:sz w:val="24"/>
          <w:szCs w:val="24"/>
          <w:rtl/>
        </w:rPr>
        <w:t>מנהלת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מערכת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נתונים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על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עסקאות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שקל</w:t>
      </w:r>
      <w:r w:rsidRPr="00630DB3">
        <w:rPr>
          <w:rFonts w:cs="David"/>
          <w:sz w:val="24"/>
          <w:szCs w:val="24"/>
          <w:rtl/>
        </w:rPr>
        <w:t>/</w:t>
      </w:r>
      <w:r w:rsidRPr="00630DB3">
        <w:rPr>
          <w:rFonts w:cs="David" w:hint="cs"/>
          <w:sz w:val="24"/>
          <w:szCs w:val="24"/>
          <w:rtl/>
        </w:rPr>
        <w:t>מטבע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חוץ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בחלוקה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מגזרית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ולפי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מכשירים</w:t>
      </w:r>
      <w:r w:rsidRPr="00630DB3">
        <w:rPr>
          <w:rFonts w:cs="David"/>
          <w:sz w:val="24"/>
          <w:szCs w:val="24"/>
          <w:rtl/>
        </w:rPr>
        <w:t xml:space="preserve">. </w:t>
      </w:r>
      <w:r w:rsidRPr="00630DB3">
        <w:rPr>
          <w:rFonts w:cs="David" w:hint="cs"/>
          <w:sz w:val="24"/>
          <w:szCs w:val="24"/>
          <w:rtl/>
        </w:rPr>
        <w:t>נתוני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העסקאות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הנאספים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בתדירות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יומית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מעובדים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לכדי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מחזורי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מסחר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המרות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וחשיפות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למטבע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חוץ</w:t>
      </w:r>
      <w:r w:rsidRPr="00630DB3">
        <w:rPr>
          <w:rFonts w:cs="David"/>
          <w:sz w:val="24"/>
          <w:szCs w:val="24"/>
          <w:rtl/>
        </w:rPr>
        <w:t xml:space="preserve">. </w:t>
      </w:r>
      <w:r w:rsidRPr="00630DB3">
        <w:rPr>
          <w:rFonts w:cs="David" w:hint="cs"/>
          <w:sz w:val="24"/>
          <w:szCs w:val="24"/>
          <w:rtl/>
        </w:rPr>
        <w:t>הנתונים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מאפשרים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לעקוב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אחר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התפתחויות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במגזרים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הפועלים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בשוק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מטבע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חוץ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ומסייעים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לבנק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לקבל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החלטות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מדיניות</w:t>
      </w:r>
      <w:r w:rsidRPr="00630DB3">
        <w:rPr>
          <w:rFonts w:cs="David"/>
          <w:sz w:val="24"/>
          <w:szCs w:val="24"/>
          <w:rtl/>
        </w:rPr>
        <w:t xml:space="preserve">. </w:t>
      </w:r>
      <w:r w:rsidRPr="00630DB3">
        <w:rPr>
          <w:rFonts w:cs="David" w:hint="cs"/>
          <w:sz w:val="24"/>
          <w:szCs w:val="24"/>
          <w:rtl/>
        </w:rPr>
        <w:t>העבודה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מתארת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הממדים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השונים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מערכת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הנתונים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ואת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המסגרת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המתודולוגית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המצרפים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העיקריים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המחושבים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מתוכה</w:t>
      </w:r>
      <w:r w:rsidRPr="00630DB3">
        <w:rPr>
          <w:rFonts w:cs="David"/>
          <w:sz w:val="24"/>
          <w:szCs w:val="24"/>
          <w:rtl/>
        </w:rPr>
        <w:t xml:space="preserve">. </w:t>
      </w:r>
      <w:r w:rsidRPr="00630DB3">
        <w:rPr>
          <w:rFonts w:cs="David" w:hint="cs"/>
          <w:sz w:val="24"/>
          <w:szCs w:val="24"/>
          <w:rtl/>
        </w:rPr>
        <w:t>כמו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כן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היא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מדגימה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אופן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השימוש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בנתונים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לרבות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השוואות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בין</w:t>
      </w:r>
      <w:r w:rsidRPr="00630DB3">
        <w:rPr>
          <w:rFonts w:cs="David"/>
          <w:sz w:val="24"/>
          <w:szCs w:val="24"/>
          <w:rtl/>
        </w:rPr>
        <w:t>-</w:t>
      </w:r>
      <w:r w:rsidRPr="00630DB3">
        <w:rPr>
          <w:rFonts w:cs="David" w:hint="cs"/>
          <w:sz w:val="24"/>
          <w:szCs w:val="24"/>
          <w:rtl/>
        </w:rPr>
        <w:t>לאומיות</w:t>
      </w:r>
      <w:r w:rsidRPr="00630DB3">
        <w:rPr>
          <w:rFonts w:cs="David"/>
          <w:sz w:val="24"/>
          <w:szCs w:val="24"/>
          <w:rtl/>
        </w:rPr>
        <w:t xml:space="preserve">.  </w:t>
      </w:r>
    </w:p>
    <w:p w:rsidR="00630DB3" w:rsidRPr="00630DB3" w:rsidRDefault="00630DB3" w:rsidP="00630DB3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630DB3" w:rsidRDefault="00630DB3" w:rsidP="00630DB3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630DB3">
        <w:rPr>
          <w:rFonts w:cs="David" w:hint="cs"/>
          <w:b/>
          <w:bCs/>
          <w:sz w:val="24"/>
          <w:szCs w:val="24"/>
          <w:rtl/>
        </w:rPr>
        <w:t>דיווחים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שוטפים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של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בנק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ישראל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למוסדות</w:t>
      </w:r>
      <w:r w:rsidRPr="00630DB3">
        <w:rPr>
          <w:rFonts w:cs="David"/>
          <w:b/>
          <w:bCs/>
          <w:sz w:val="24"/>
          <w:szCs w:val="24"/>
          <w:rtl/>
        </w:rPr>
        <w:t xml:space="preserve"> </w:t>
      </w:r>
      <w:r w:rsidRPr="00630DB3">
        <w:rPr>
          <w:rFonts w:cs="David" w:hint="cs"/>
          <w:b/>
          <w:bCs/>
          <w:sz w:val="24"/>
          <w:szCs w:val="24"/>
          <w:rtl/>
        </w:rPr>
        <w:t>הבין</w:t>
      </w:r>
      <w:r w:rsidRPr="00630DB3">
        <w:rPr>
          <w:rFonts w:cs="David"/>
          <w:b/>
          <w:bCs/>
          <w:sz w:val="24"/>
          <w:szCs w:val="24"/>
          <w:rtl/>
        </w:rPr>
        <w:t>-</w:t>
      </w:r>
      <w:r w:rsidRPr="00630DB3">
        <w:rPr>
          <w:rFonts w:cs="David" w:hint="cs"/>
          <w:b/>
          <w:bCs/>
          <w:sz w:val="24"/>
          <w:szCs w:val="24"/>
          <w:rtl/>
        </w:rPr>
        <w:t>לאומיים</w:t>
      </w:r>
    </w:p>
    <w:p w:rsidR="00630DB3" w:rsidRDefault="00630DB3" w:rsidP="00EC5B3C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630DB3">
        <w:rPr>
          <w:rFonts w:cs="David" w:hint="cs"/>
          <w:sz w:val="24"/>
          <w:szCs w:val="24"/>
          <w:rtl/>
        </w:rPr>
        <w:t>המוסדות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הבין</w:t>
      </w:r>
      <w:r w:rsidRPr="00630DB3">
        <w:rPr>
          <w:rFonts w:cs="David"/>
          <w:sz w:val="24"/>
          <w:szCs w:val="24"/>
          <w:rtl/>
        </w:rPr>
        <w:t>-</w:t>
      </w:r>
      <w:r w:rsidRPr="00630DB3">
        <w:rPr>
          <w:rFonts w:cs="David" w:hint="cs"/>
          <w:sz w:val="24"/>
          <w:szCs w:val="24"/>
          <w:rtl/>
        </w:rPr>
        <w:t>לאומיים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ובראשם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קרן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המטבע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מגדירים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ומפתחים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מתודולוגיות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חישוב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דיווח</w:t>
      </w:r>
      <w:r w:rsidRPr="00630DB3">
        <w:rPr>
          <w:rFonts w:cs="David"/>
          <w:sz w:val="24"/>
          <w:szCs w:val="24"/>
          <w:rtl/>
        </w:rPr>
        <w:t xml:space="preserve">  </w:t>
      </w:r>
      <w:r w:rsidRPr="00630DB3">
        <w:rPr>
          <w:rFonts w:cs="David" w:hint="cs"/>
          <w:sz w:val="24"/>
          <w:szCs w:val="24"/>
          <w:rtl/>
        </w:rPr>
        <w:t>ומטה</w:t>
      </w:r>
      <w:r w:rsidRPr="00630DB3">
        <w:rPr>
          <w:rFonts w:cs="David"/>
          <w:sz w:val="24"/>
          <w:szCs w:val="24"/>
          <w:rtl/>
        </w:rPr>
        <w:t>-</w:t>
      </w:r>
      <w:r w:rsidRPr="00630DB3">
        <w:rPr>
          <w:rFonts w:cs="David" w:hint="cs"/>
          <w:sz w:val="24"/>
          <w:szCs w:val="24"/>
          <w:rtl/>
        </w:rPr>
        <w:t>דטה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מפורט</w:t>
      </w:r>
      <w:r>
        <w:rPr>
          <w:rFonts w:cs="David" w:hint="cs"/>
          <w:sz w:val="24"/>
          <w:szCs w:val="24"/>
          <w:rtl/>
        </w:rPr>
        <w:t xml:space="preserve">, זאת כדי </w:t>
      </w:r>
      <w:r w:rsidRPr="00630DB3">
        <w:rPr>
          <w:rFonts w:cs="David" w:hint="cs"/>
          <w:sz w:val="24"/>
          <w:szCs w:val="24"/>
          <w:rtl/>
        </w:rPr>
        <w:t>שהנתונים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המדינות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השונות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יהיו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עקביים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לאורך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זמן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ובני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השוואה</w:t>
      </w:r>
      <w:r>
        <w:rPr>
          <w:rFonts w:cs="David" w:hint="cs"/>
          <w:sz w:val="24"/>
          <w:szCs w:val="24"/>
          <w:rtl/>
        </w:rPr>
        <w:t xml:space="preserve">. </w:t>
      </w:r>
      <w:r w:rsidRPr="00630DB3">
        <w:rPr>
          <w:rFonts w:cs="David" w:hint="cs"/>
          <w:sz w:val="24"/>
          <w:szCs w:val="24"/>
          <w:rtl/>
        </w:rPr>
        <w:t>החטיבה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למידע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ולסטטיסטיקה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בבנק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ישראל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מממשת</w:t>
      </w:r>
      <w:r>
        <w:rPr>
          <w:rFonts w:cs="David" w:hint="cs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מחויבויות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הדיווח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הסטטיסטי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הבנק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המרכזי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לארגונים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הבין</w:t>
      </w:r>
      <w:r w:rsidRPr="00630DB3">
        <w:rPr>
          <w:rFonts w:cs="David"/>
          <w:sz w:val="24"/>
          <w:szCs w:val="24"/>
          <w:rtl/>
        </w:rPr>
        <w:t>-</w:t>
      </w:r>
      <w:r w:rsidRPr="00630DB3">
        <w:rPr>
          <w:rFonts w:cs="David" w:hint="cs"/>
          <w:sz w:val="24"/>
          <w:szCs w:val="24"/>
          <w:rtl/>
        </w:rPr>
        <w:t>לאומיים</w:t>
      </w:r>
      <w:r w:rsidRPr="00630DB3">
        <w:rPr>
          <w:rFonts w:cs="David"/>
          <w:sz w:val="24"/>
          <w:szCs w:val="24"/>
          <w:rtl/>
        </w:rPr>
        <w:t xml:space="preserve">. </w:t>
      </w:r>
      <w:r w:rsidRPr="00630DB3">
        <w:rPr>
          <w:rFonts w:cs="David" w:hint="cs"/>
          <w:sz w:val="24"/>
          <w:szCs w:val="24"/>
          <w:rtl/>
        </w:rPr>
        <w:t>במסגרת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זו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החטיבה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מייצרת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ומפיקה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הדיווחים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השונים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מתעדכנת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באופן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שוטף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בשינויים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בתקנים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הבין</w:t>
      </w:r>
      <w:r w:rsidRPr="00630DB3">
        <w:rPr>
          <w:rFonts w:cs="David"/>
          <w:sz w:val="24"/>
          <w:szCs w:val="24"/>
          <w:rtl/>
        </w:rPr>
        <w:t>-</w:t>
      </w:r>
      <w:r w:rsidRPr="00630DB3">
        <w:rPr>
          <w:rFonts w:cs="David" w:hint="cs"/>
          <w:sz w:val="24"/>
          <w:szCs w:val="24"/>
          <w:rtl/>
        </w:rPr>
        <w:t>לאומיים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ומתאימה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המערכות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הסטטיסטיות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לצורכי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המידע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המשתנים</w:t>
      </w:r>
      <w:r w:rsidRPr="00630DB3">
        <w:rPr>
          <w:rFonts w:cs="David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בעבודה</w:t>
      </w:r>
      <w:r w:rsidRPr="00630DB3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זו מוצג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מכלול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הדיווחים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שבנק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ישראל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מעביר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למוסדות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הבין</w:t>
      </w:r>
      <w:r w:rsidRPr="00630DB3">
        <w:rPr>
          <w:rFonts w:cs="David"/>
          <w:sz w:val="24"/>
          <w:szCs w:val="24"/>
          <w:rtl/>
        </w:rPr>
        <w:t>-</w:t>
      </w:r>
      <w:r w:rsidRPr="00630DB3">
        <w:rPr>
          <w:rFonts w:cs="David" w:hint="cs"/>
          <w:sz w:val="24"/>
          <w:szCs w:val="24"/>
          <w:rtl/>
        </w:rPr>
        <w:t>לאומיים</w:t>
      </w:r>
      <w:r w:rsidRPr="00630DB3">
        <w:rPr>
          <w:rFonts w:cs="David"/>
          <w:sz w:val="24"/>
          <w:szCs w:val="24"/>
          <w:rtl/>
        </w:rPr>
        <w:t xml:space="preserve">, </w:t>
      </w:r>
      <w:r w:rsidRPr="00630DB3">
        <w:rPr>
          <w:rFonts w:cs="David" w:hint="cs"/>
          <w:sz w:val="24"/>
          <w:szCs w:val="24"/>
          <w:rtl/>
        </w:rPr>
        <w:t>במישרין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או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באמצעות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הלשכה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המרכזית</w:t>
      </w:r>
      <w:r w:rsidRPr="00630DB3">
        <w:rPr>
          <w:rFonts w:cs="David"/>
          <w:sz w:val="24"/>
          <w:szCs w:val="24"/>
          <w:rtl/>
        </w:rPr>
        <w:t xml:space="preserve"> </w:t>
      </w:r>
      <w:r w:rsidRPr="00630DB3">
        <w:rPr>
          <w:rFonts w:cs="David" w:hint="cs"/>
          <w:sz w:val="24"/>
          <w:szCs w:val="24"/>
          <w:rtl/>
        </w:rPr>
        <w:t>לסטטיסטיקה</w:t>
      </w:r>
      <w:r>
        <w:rPr>
          <w:rFonts w:cs="David" w:hint="cs"/>
          <w:sz w:val="24"/>
          <w:szCs w:val="24"/>
          <w:rtl/>
        </w:rPr>
        <w:t>.</w:t>
      </w:r>
    </w:p>
    <w:p w:rsidR="00E864DF" w:rsidRPr="00306545" w:rsidRDefault="00CC3C00" w:rsidP="00630DB3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E4A40">
        <w:rPr>
          <w:rFonts w:cs="David" w:hint="cs"/>
          <w:sz w:val="24"/>
          <w:szCs w:val="24"/>
          <w:rtl/>
        </w:rPr>
        <w:lastRenderedPageBreak/>
        <w:t xml:space="preserve">ניתן לגשת לפרסום המלא באמצעות </w:t>
      </w:r>
      <w:hyperlink r:id="rId14" w:history="1">
        <w:r w:rsidRPr="008775A5">
          <w:rPr>
            <w:rStyle w:val="Hyperlink"/>
            <w:rFonts w:cs="David" w:hint="cs"/>
            <w:sz w:val="24"/>
            <w:szCs w:val="24"/>
            <w:rtl/>
          </w:rPr>
          <w:t>אתר האינטרנט של בנק ישראל</w:t>
        </w:r>
      </w:hyperlink>
      <w:r w:rsidRPr="006E4A40">
        <w:rPr>
          <w:rFonts w:cs="David" w:hint="cs"/>
          <w:sz w:val="24"/>
          <w:szCs w:val="24"/>
          <w:rtl/>
        </w:rPr>
        <w:t xml:space="preserve">, שם צורפו </w:t>
      </w:r>
      <w:r w:rsidRPr="006E4A40">
        <w:rPr>
          <w:rFonts w:cs="David"/>
          <w:sz w:val="24"/>
          <w:szCs w:val="24"/>
          <w:rtl/>
        </w:rPr>
        <w:t>–</w:t>
      </w:r>
      <w:r w:rsidRPr="006E4A40">
        <w:rPr>
          <w:rFonts w:cs="David" w:hint="cs"/>
          <w:sz w:val="24"/>
          <w:szCs w:val="24"/>
          <w:rtl/>
        </w:rPr>
        <w:t xml:space="preserve"> לנוחות המשתמשים </w:t>
      </w:r>
      <w:r w:rsidRPr="006E4A40">
        <w:rPr>
          <w:rFonts w:cs="David"/>
          <w:sz w:val="24"/>
          <w:szCs w:val="24"/>
          <w:rtl/>
        </w:rPr>
        <w:t>–</w:t>
      </w:r>
      <w:r w:rsidRPr="006E4A40">
        <w:rPr>
          <w:rFonts w:cs="David" w:hint="cs"/>
          <w:sz w:val="24"/>
          <w:szCs w:val="24"/>
          <w:rtl/>
        </w:rPr>
        <w:t xml:space="preserve"> הנתונים העיקריים בכל נושא, בקבצים נפרדים, וכן שולבו הפניות לנתונים באתר הבנק, המתעדכנים באופן שוטף.</w:t>
      </w:r>
      <w:r w:rsidR="000E132E">
        <w:rPr>
          <w:rFonts w:cs="David" w:hint="cs"/>
          <w:sz w:val="24"/>
          <w:szCs w:val="24"/>
          <w:rtl/>
        </w:rPr>
        <w:t xml:space="preserve"> </w:t>
      </w:r>
    </w:p>
    <w:sectPr w:rsidR="00E864DF" w:rsidRPr="00306545" w:rsidSect="006E4A40">
      <w:footerReference w:type="default" r:id="rId15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82" w:rsidRDefault="00DB4882" w:rsidP="006E4A40">
      <w:pPr>
        <w:spacing w:after="0" w:line="240" w:lineRule="auto"/>
      </w:pPr>
      <w:r>
        <w:separator/>
      </w:r>
    </w:p>
  </w:endnote>
  <w:endnote w:type="continuationSeparator" w:id="0">
    <w:p w:rsidR="00DB4882" w:rsidRDefault="00DB4882" w:rsidP="006E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-Reg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5501717"/>
      <w:docPartObj>
        <w:docPartGallery w:val="Page Numbers (Bottom of Page)"/>
        <w:docPartUnique/>
      </w:docPartObj>
    </w:sdtPr>
    <w:sdtEndPr/>
    <w:sdtContent>
      <w:sdt>
        <w:sdtPr>
          <w:rPr>
            <w:rFonts w:cs="David"/>
            <w:sz w:val="18"/>
            <w:szCs w:val="18"/>
            <w:rtl/>
          </w:rPr>
          <w:id w:val="-1817257504"/>
          <w:docPartObj>
            <w:docPartGallery w:val="Page Numbers (Bottom of Page)"/>
            <w:docPartUnique/>
          </w:docPartObj>
        </w:sdtPr>
        <w:sdtEndPr>
          <w:rPr>
            <w:cs/>
          </w:rPr>
        </w:sdtEndPr>
        <w:sdtContent>
          <w:sdt>
            <w:sdtPr>
              <w:rPr>
                <w:rFonts w:cs="David"/>
                <w:sz w:val="18"/>
                <w:szCs w:val="18"/>
                <w:rtl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:rsidR="006E4A40" w:rsidRPr="006E4A40" w:rsidRDefault="006E4A40" w:rsidP="00630DB3">
                <w:pPr>
                  <w:ind w:right="-1276"/>
                  <w:rPr>
                    <w:rFonts w:cs="David"/>
                    <w:sz w:val="18"/>
                    <w:szCs w:val="18"/>
                  </w:rPr>
                </w:pP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>בנק ישראל</w:t>
                </w: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ab/>
                  <w:t xml:space="preserve"> -  'מבט סטטיסטי</w:t>
                </w:r>
                <w:r w:rsidRPr="006E4A40"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>'</w:t>
                </w: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 xml:space="preserve"> - </w:t>
                </w:r>
                <w:r w:rsidRPr="006E4A40"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 xml:space="preserve">הנתונים והמצרפים הפיננסיים המרכזיים במשק לשנת </w:t>
                </w:r>
                <w:r w:rsidR="00630DB3"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>2018</w:t>
                </w: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ab/>
                  <w:t xml:space="preserve">                    </w:t>
                </w:r>
                <w:r w:rsidRPr="00301815">
                  <w:rPr>
                    <w:rFonts w:cs="David"/>
                    <w:sz w:val="18"/>
                    <w:szCs w:val="18"/>
                    <w:rtl/>
                    <w:cs/>
                    <w:lang w:val="he-IL"/>
                  </w:rPr>
                  <w:t xml:space="preserve">עמוד 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begin"/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  <w:rtl/>
                    <w:cs/>
                  </w:rPr>
                  <w:instrText>PAGE</w:instrTex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separate"/>
                </w:r>
                <w:r w:rsidR="00D55052">
                  <w:rPr>
                    <w:rFonts w:cs="David"/>
                    <w:b/>
                    <w:bCs/>
                    <w:noProof/>
                    <w:sz w:val="18"/>
                    <w:szCs w:val="18"/>
                    <w:rtl/>
                  </w:rPr>
                  <w:t>2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end"/>
                </w:r>
                <w:r w:rsidRPr="00301815">
                  <w:rPr>
                    <w:rFonts w:cs="David"/>
                    <w:sz w:val="18"/>
                    <w:szCs w:val="18"/>
                    <w:rtl/>
                    <w:cs/>
                    <w:lang w:val="he-IL"/>
                  </w:rPr>
                  <w:t xml:space="preserve"> מתוך 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begin"/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  <w:rtl/>
                    <w:cs/>
                  </w:rPr>
                  <w:instrText>NUMPAGES</w:instrTex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separate"/>
                </w:r>
                <w:r w:rsidR="00D55052">
                  <w:rPr>
                    <w:rFonts w:cs="David"/>
                    <w:b/>
                    <w:bCs/>
                    <w:noProof/>
                    <w:sz w:val="18"/>
                    <w:szCs w:val="18"/>
                    <w:rtl/>
                  </w:rPr>
                  <w:t>4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  <w:p w:rsidR="006E4A40" w:rsidRDefault="006E4A40" w:rsidP="006E4A40">
    <w:pPr>
      <w:pStyle w:val="a8"/>
      <w:rPr>
        <w:rtl/>
        <w:cs/>
      </w:rPr>
    </w:pPr>
  </w:p>
  <w:p w:rsidR="006E4A40" w:rsidRDefault="006E4A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82" w:rsidRDefault="00DB4882" w:rsidP="006E4A40">
      <w:pPr>
        <w:spacing w:after="0" w:line="240" w:lineRule="auto"/>
      </w:pPr>
      <w:r>
        <w:separator/>
      </w:r>
    </w:p>
  </w:footnote>
  <w:footnote w:type="continuationSeparator" w:id="0">
    <w:p w:rsidR="00DB4882" w:rsidRDefault="00DB4882" w:rsidP="006E4A40">
      <w:pPr>
        <w:spacing w:after="0" w:line="240" w:lineRule="auto"/>
      </w:pPr>
      <w:r>
        <w:continuationSeparator/>
      </w:r>
    </w:p>
  </w:footnote>
  <w:footnote w:id="1">
    <w:p w:rsidR="006A293A" w:rsidRDefault="006A293A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החברות</w:t>
      </w:r>
      <w:r w:rsidRPr="006A293A">
        <w:rPr>
          <w:rFonts w:ascii="David-Reg" w:cs="David"/>
          <w:sz w:val="18"/>
          <w:szCs w:val="18"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פיננסיות</w:t>
      </w:r>
      <w:r w:rsidRPr="006A293A">
        <w:rPr>
          <w:rFonts w:ascii="David-Reg" w:cs="David"/>
          <w:sz w:val="18"/>
          <w:szCs w:val="18"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ללא</w:t>
      </w:r>
      <w:r w:rsidRPr="006A293A">
        <w:rPr>
          <w:rFonts w:ascii="David-Reg" w:cs="David"/>
          <w:sz w:val="18"/>
          <w:szCs w:val="18"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מערכת</w:t>
      </w:r>
      <w:r w:rsidRPr="006A293A">
        <w:rPr>
          <w:rFonts w:ascii="David-Reg" w:cs="David"/>
          <w:sz w:val="18"/>
          <w:szCs w:val="18"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הבנקאות</w:t>
      </w:r>
      <w:r w:rsidRPr="006A293A">
        <w:rPr>
          <w:rFonts w:ascii="David-Reg" w:cs="David"/>
          <w:sz w:val="18"/>
          <w:szCs w:val="18"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וללא</w:t>
      </w:r>
      <w:r w:rsidRPr="006A293A">
        <w:rPr>
          <w:rFonts w:ascii="David-Reg" w:cs="David"/>
          <w:sz w:val="18"/>
          <w:szCs w:val="18"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הגופים</w:t>
      </w:r>
      <w:r w:rsidRPr="006A293A">
        <w:rPr>
          <w:rFonts w:ascii="David-Reg" w:cs="David"/>
          <w:sz w:val="18"/>
          <w:szCs w:val="18"/>
        </w:rPr>
        <w:t xml:space="preserve"> </w:t>
      </w:r>
      <w:r w:rsidRPr="006A293A">
        <w:rPr>
          <w:rFonts w:ascii="David-Reg" w:cs="David" w:hint="cs"/>
          <w:sz w:val="18"/>
          <w:szCs w:val="18"/>
          <w:rtl/>
        </w:rPr>
        <w:t>המוסדיים</w:t>
      </w:r>
      <w:r w:rsidRPr="006A293A">
        <w:rPr>
          <w:rFonts w:ascii="David-Reg" w:cs="David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78A"/>
    <w:multiLevelType w:val="hybridMultilevel"/>
    <w:tmpl w:val="406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7246"/>
    <w:multiLevelType w:val="hybridMultilevel"/>
    <w:tmpl w:val="58F28D9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162C4D9C"/>
    <w:multiLevelType w:val="hybridMultilevel"/>
    <w:tmpl w:val="0E5C4EFA"/>
    <w:lvl w:ilvl="0" w:tplc="90A80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47F09"/>
    <w:multiLevelType w:val="hybridMultilevel"/>
    <w:tmpl w:val="A48C42DA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19381D0A"/>
    <w:multiLevelType w:val="hybridMultilevel"/>
    <w:tmpl w:val="72301658"/>
    <w:lvl w:ilvl="0" w:tplc="4E0EF9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B23F6C"/>
    <w:multiLevelType w:val="hybridMultilevel"/>
    <w:tmpl w:val="25FED19C"/>
    <w:lvl w:ilvl="0" w:tplc="DFBE00E2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4199C"/>
    <w:multiLevelType w:val="hybridMultilevel"/>
    <w:tmpl w:val="5C884684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>
    <w:nsid w:val="2E86009E"/>
    <w:multiLevelType w:val="hybridMultilevel"/>
    <w:tmpl w:val="CA7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A1485"/>
    <w:multiLevelType w:val="hybridMultilevel"/>
    <w:tmpl w:val="2E084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959EB"/>
    <w:multiLevelType w:val="hybridMultilevel"/>
    <w:tmpl w:val="CECA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808D5"/>
    <w:multiLevelType w:val="hybridMultilevel"/>
    <w:tmpl w:val="1A00F7DE"/>
    <w:lvl w:ilvl="0" w:tplc="4E0EF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D4082"/>
    <w:multiLevelType w:val="hybridMultilevel"/>
    <w:tmpl w:val="448C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57B8E"/>
    <w:multiLevelType w:val="hybridMultilevel"/>
    <w:tmpl w:val="23CC8B7E"/>
    <w:lvl w:ilvl="0" w:tplc="F8C0922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55409"/>
    <w:multiLevelType w:val="hybridMultilevel"/>
    <w:tmpl w:val="3916566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4">
    <w:nsid w:val="77874419"/>
    <w:multiLevelType w:val="hybridMultilevel"/>
    <w:tmpl w:val="094E49DA"/>
    <w:lvl w:ilvl="0" w:tplc="4E0EF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43"/>
    <w:rsid w:val="00011EC8"/>
    <w:rsid w:val="00033B59"/>
    <w:rsid w:val="0003662F"/>
    <w:rsid w:val="00071097"/>
    <w:rsid w:val="00077DA2"/>
    <w:rsid w:val="00094114"/>
    <w:rsid w:val="0009720D"/>
    <w:rsid w:val="000973EF"/>
    <w:rsid w:val="000A3948"/>
    <w:rsid w:val="000B2E2C"/>
    <w:rsid w:val="000B3125"/>
    <w:rsid w:val="000E132E"/>
    <w:rsid w:val="000E5356"/>
    <w:rsid w:val="0010369E"/>
    <w:rsid w:val="00114562"/>
    <w:rsid w:val="0015142D"/>
    <w:rsid w:val="001A1017"/>
    <w:rsid w:val="001A392B"/>
    <w:rsid w:val="001B0709"/>
    <w:rsid w:val="001C14F1"/>
    <w:rsid w:val="001D70FE"/>
    <w:rsid w:val="001E12EC"/>
    <w:rsid w:val="001F384B"/>
    <w:rsid w:val="00215BBE"/>
    <w:rsid w:val="00264F77"/>
    <w:rsid w:val="00265734"/>
    <w:rsid w:val="002802BC"/>
    <w:rsid w:val="002A1BC9"/>
    <w:rsid w:val="002B1D5A"/>
    <w:rsid w:val="002D2EE7"/>
    <w:rsid w:val="00306545"/>
    <w:rsid w:val="00316DB3"/>
    <w:rsid w:val="00320549"/>
    <w:rsid w:val="00341EC2"/>
    <w:rsid w:val="003451B1"/>
    <w:rsid w:val="00435E46"/>
    <w:rsid w:val="00477FBB"/>
    <w:rsid w:val="00480E5F"/>
    <w:rsid w:val="004B0D0C"/>
    <w:rsid w:val="004D694C"/>
    <w:rsid w:val="004E30FA"/>
    <w:rsid w:val="005175CE"/>
    <w:rsid w:val="00517D1F"/>
    <w:rsid w:val="0053375E"/>
    <w:rsid w:val="00547BEE"/>
    <w:rsid w:val="00551E33"/>
    <w:rsid w:val="005801F4"/>
    <w:rsid w:val="005A317B"/>
    <w:rsid w:val="005C3BD4"/>
    <w:rsid w:val="005D6EE3"/>
    <w:rsid w:val="005E416D"/>
    <w:rsid w:val="006005D8"/>
    <w:rsid w:val="00603043"/>
    <w:rsid w:val="00614AF5"/>
    <w:rsid w:val="00630DB3"/>
    <w:rsid w:val="00653851"/>
    <w:rsid w:val="00653BAE"/>
    <w:rsid w:val="00682A6E"/>
    <w:rsid w:val="00685430"/>
    <w:rsid w:val="00695FF6"/>
    <w:rsid w:val="006972AC"/>
    <w:rsid w:val="006A0382"/>
    <w:rsid w:val="006A293A"/>
    <w:rsid w:val="006B32C4"/>
    <w:rsid w:val="006D1620"/>
    <w:rsid w:val="006E0481"/>
    <w:rsid w:val="006E4A40"/>
    <w:rsid w:val="00716312"/>
    <w:rsid w:val="007208C0"/>
    <w:rsid w:val="007819A4"/>
    <w:rsid w:val="007A11FA"/>
    <w:rsid w:val="007B1AD6"/>
    <w:rsid w:val="007B36D2"/>
    <w:rsid w:val="007B373F"/>
    <w:rsid w:val="007D5DF9"/>
    <w:rsid w:val="00815292"/>
    <w:rsid w:val="00835150"/>
    <w:rsid w:val="008448AD"/>
    <w:rsid w:val="008775A5"/>
    <w:rsid w:val="0088602E"/>
    <w:rsid w:val="008C27BD"/>
    <w:rsid w:val="008D7EF6"/>
    <w:rsid w:val="008E2AAA"/>
    <w:rsid w:val="008F4267"/>
    <w:rsid w:val="009316EE"/>
    <w:rsid w:val="00952B15"/>
    <w:rsid w:val="00962019"/>
    <w:rsid w:val="00964D0D"/>
    <w:rsid w:val="00985093"/>
    <w:rsid w:val="0098781E"/>
    <w:rsid w:val="009879AC"/>
    <w:rsid w:val="009E03A9"/>
    <w:rsid w:val="009F63EB"/>
    <w:rsid w:val="00A12B0A"/>
    <w:rsid w:val="00A15F73"/>
    <w:rsid w:val="00A23475"/>
    <w:rsid w:val="00A242D6"/>
    <w:rsid w:val="00A248F6"/>
    <w:rsid w:val="00A62DEB"/>
    <w:rsid w:val="00AA72FA"/>
    <w:rsid w:val="00AB75BA"/>
    <w:rsid w:val="00AC2448"/>
    <w:rsid w:val="00B15D4C"/>
    <w:rsid w:val="00B172B4"/>
    <w:rsid w:val="00B3157C"/>
    <w:rsid w:val="00B43ACC"/>
    <w:rsid w:val="00B67F14"/>
    <w:rsid w:val="00B93C3E"/>
    <w:rsid w:val="00BA3848"/>
    <w:rsid w:val="00BB3636"/>
    <w:rsid w:val="00BB7CA3"/>
    <w:rsid w:val="00BB7F6C"/>
    <w:rsid w:val="00BE22E1"/>
    <w:rsid w:val="00C00E94"/>
    <w:rsid w:val="00C129D0"/>
    <w:rsid w:val="00C3025C"/>
    <w:rsid w:val="00C51A6A"/>
    <w:rsid w:val="00C673FA"/>
    <w:rsid w:val="00C74F6D"/>
    <w:rsid w:val="00C848D3"/>
    <w:rsid w:val="00C871E2"/>
    <w:rsid w:val="00CA2BC0"/>
    <w:rsid w:val="00CC3C00"/>
    <w:rsid w:val="00CC6614"/>
    <w:rsid w:val="00CE0FF0"/>
    <w:rsid w:val="00CF68A8"/>
    <w:rsid w:val="00D16DB2"/>
    <w:rsid w:val="00D55052"/>
    <w:rsid w:val="00D72C1D"/>
    <w:rsid w:val="00DB4882"/>
    <w:rsid w:val="00DB5734"/>
    <w:rsid w:val="00DF50B7"/>
    <w:rsid w:val="00E134F1"/>
    <w:rsid w:val="00E144C3"/>
    <w:rsid w:val="00E24DBC"/>
    <w:rsid w:val="00E4510C"/>
    <w:rsid w:val="00E823B2"/>
    <w:rsid w:val="00E92AF6"/>
    <w:rsid w:val="00EA51C4"/>
    <w:rsid w:val="00EA791D"/>
    <w:rsid w:val="00EB3718"/>
    <w:rsid w:val="00EC5B3C"/>
    <w:rsid w:val="00F01701"/>
    <w:rsid w:val="00F11718"/>
    <w:rsid w:val="00F1492F"/>
    <w:rsid w:val="00F2062E"/>
    <w:rsid w:val="00F35C66"/>
    <w:rsid w:val="00F424B6"/>
    <w:rsid w:val="00F62F43"/>
    <w:rsid w:val="00F95291"/>
    <w:rsid w:val="00FA3F80"/>
    <w:rsid w:val="00FB1D63"/>
    <w:rsid w:val="00FC325B"/>
    <w:rsid w:val="00FF0950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E4A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E4A40"/>
  </w:style>
  <w:style w:type="paragraph" w:styleId="a8">
    <w:name w:val="footer"/>
    <w:basedOn w:val="a"/>
    <w:link w:val="a9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E4A40"/>
  </w:style>
  <w:style w:type="character" w:styleId="Hyperlink">
    <w:name w:val="Hyperlink"/>
    <w:basedOn w:val="a0"/>
    <w:uiPriority w:val="99"/>
    <w:unhideWhenUsed/>
    <w:rsid w:val="008775A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248F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8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134F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34F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E134F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34F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E134F1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6A293A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6A293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29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E4A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E4A40"/>
  </w:style>
  <w:style w:type="paragraph" w:styleId="a8">
    <w:name w:val="footer"/>
    <w:basedOn w:val="a"/>
    <w:link w:val="a9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E4A40"/>
  </w:style>
  <w:style w:type="character" w:styleId="Hyperlink">
    <w:name w:val="Hyperlink"/>
    <w:basedOn w:val="a0"/>
    <w:uiPriority w:val="99"/>
    <w:unhideWhenUsed/>
    <w:rsid w:val="008775A5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248F6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8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134F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34F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E134F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34F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E134F1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6A293A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6A293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2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oi.org.il/he/NewsAndPublications/RegularPublications/Pages/MabatStat2018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3A231CC-9CCC-4FC6-A3CA-8CD942975A47}"/>
</file>

<file path=customXml/itemProps2.xml><?xml version="1.0" encoding="utf-8"?>
<ds:datastoreItem xmlns:ds="http://schemas.openxmlformats.org/officeDocument/2006/customXml" ds:itemID="{E8F3E34C-FDE7-4D91-8E4D-B049096291CE}"/>
</file>

<file path=customXml/itemProps3.xml><?xml version="1.0" encoding="utf-8"?>
<ds:datastoreItem xmlns:ds="http://schemas.openxmlformats.org/officeDocument/2006/customXml" ds:itemID="{CBF1ACD8-B682-4D76-A37D-C62B13052804}"/>
</file>

<file path=customXml/itemProps4.xml><?xml version="1.0" encoding="utf-8"?>
<ds:datastoreItem xmlns:ds="http://schemas.openxmlformats.org/officeDocument/2006/customXml" ds:itemID="{71989CA1-364F-4093-A577-61E287491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3576</Characters>
  <Application>Microsoft Office Word</Application>
  <DocSecurity>4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יאיר חיים</dc:creator>
  <cp:lastModifiedBy>מיטל רפאלי</cp:lastModifiedBy>
  <cp:revision>2</cp:revision>
  <cp:lastPrinted>2019-03-11T11:18:00Z</cp:lastPrinted>
  <dcterms:created xsi:type="dcterms:W3CDTF">2019-03-12T13:21:00Z</dcterms:created>
  <dcterms:modified xsi:type="dcterms:W3CDTF">2019-03-12T13:21:00Z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