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A8C" w:rsidRPr="00DA50E0" w:rsidRDefault="00287A8C" w:rsidP="00287A8C">
      <w:pPr>
        <w:pStyle w:val="aa"/>
        <w:bidi w:val="0"/>
        <w:spacing w:line="240" w:lineRule="auto"/>
        <w:rPr>
          <w:rFonts w:asciiTheme="minorHAnsi" w:hAnsiTheme="minorHAnsi" w:cstheme="minorHAnsi"/>
          <w:sz w:val="22"/>
          <w:szCs w:val="22"/>
        </w:rPr>
      </w:pPr>
    </w:p>
    <w:p w:rsidR="00287A8C" w:rsidRPr="00DA50E0" w:rsidRDefault="00287A8C" w:rsidP="00287A8C">
      <w:pPr>
        <w:spacing w:line="300" w:lineRule="atLeast"/>
        <w:jc w:val="center"/>
        <w:rPr>
          <w:rFonts w:asciiTheme="minorHAnsi" w:eastAsia="Times New Roman" w:hAnsiTheme="minorHAnsi" w:cstheme="minorHAnsi"/>
          <w:bCs/>
        </w:rPr>
      </w:pPr>
      <w:r w:rsidRPr="00DA50E0">
        <w:rPr>
          <w:rFonts w:asciiTheme="minorHAnsi" w:eastAsia="Times New Roman" w:hAnsiTheme="minorHAnsi" w:cstheme="minorHAnsi"/>
          <w:noProof/>
        </w:rPr>
        <w:drawing>
          <wp:inline distT="0" distB="0" distL="0" distR="0" wp14:anchorId="165E72A3" wp14:editId="406099AE">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287A8C" w:rsidRPr="00DA50E0" w:rsidRDefault="00287A8C" w:rsidP="00287A8C">
      <w:pPr>
        <w:spacing w:line="300" w:lineRule="atLeast"/>
        <w:jc w:val="center"/>
        <w:rPr>
          <w:rFonts w:asciiTheme="minorHAnsi" w:eastAsia="Times New Roman" w:hAnsiTheme="minorHAnsi" w:cstheme="minorHAnsi"/>
          <w:bCs/>
          <w:sz w:val="22"/>
          <w:szCs w:val="22"/>
        </w:rPr>
      </w:pPr>
      <w:r w:rsidRPr="00DA50E0">
        <w:rPr>
          <w:rFonts w:asciiTheme="minorHAnsi" w:eastAsia="Times New Roman" w:hAnsiTheme="minorHAnsi" w:cstheme="minorHAnsi"/>
          <w:bCs/>
          <w:sz w:val="22"/>
          <w:szCs w:val="22"/>
        </w:rPr>
        <w:t>BANK OF ISRAEL</w:t>
      </w:r>
    </w:p>
    <w:p w:rsidR="00287A8C" w:rsidRPr="00DA50E0" w:rsidRDefault="00287A8C" w:rsidP="00287A8C">
      <w:pPr>
        <w:spacing w:line="300" w:lineRule="atLeast"/>
        <w:jc w:val="center"/>
        <w:rPr>
          <w:rFonts w:asciiTheme="minorHAnsi" w:eastAsia="Times New Roman" w:hAnsiTheme="minorHAnsi" w:cstheme="minorHAnsi"/>
          <w:sz w:val="22"/>
          <w:szCs w:val="22"/>
        </w:rPr>
      </w:pPr>
      <w:r w:rsidRPr="00DA50E0">
        <w:rPr>
          <w:rFonts w:asciiTheme="minorHAnsi" w:eastAsia="Times New Roman" w:hAnsiTheme="minorHAnsi" w:cstheme="minorHAnsi"/>
          <w:sz w:val="22"/>
          <w:szCs w:val="22"/>
        </w:rPr>
        <w:t>Office of the Spokesperson and Economic Information</w:t>
      </w:r>
    </w:p>
    <w:p w:rsidR="00287A8C" w:rsidRPr="00DA50E0" w:rsidRDefault="00287A8C" w:rsidP="00DA50E0">
      <w:pPr>
        <w:pStyle w:val="aa"/>
        <w:bidi w:val="0"/>
        <w:spacing w:line="240" w:lineRule="auto"/>
        <w:rPr>
          <w:rFonts w:asciiTheme="minorHAnsi" w:hAnsiTheme="minorHAnsi" w:cstheme="minorHAnsi"/>
          <w:sz w:val="22"/>
          <w:szCs w:val="22"/>
        </w:rPr>
      </w:pPr>
    </w:p>
    <w:p w:rsidR="00287A8C" w:rsidRPr="00DA50E0" w:rsidRDefault="00287A8C" w:rsidP="00287A8C">
      <w:pPr>
        <w:jc w:val="center"/>
        <w:rPr>
          <w:rFonts w:asciiTheme="minorHAnsi" w:hAnsiTheme="minorHAnsi" w:cstheme="minorHAnsi"/>
          <w:b/>
          <w:bCs/>
          <w:sz w:val="28"/>
          <w:szCs w:val="28"/>
          <w:rtl/>
        </w:rPr>
      </w:pPr>
    </w:p>
    <w:p w:rsidR="00287A8C" w:rsidRPr="00DA50E0" w:rsidRDefault="00287A8C" w:rsidP="00287A8C">
      <w:pPr>
        <w:pStyle w:val="aa"/>
        <w:bidi w:val="0"/>
        <w:spacing w:line="240" w:lineRule="auto"/>
        <w:jc w:val="right"/>
        <w:rPr>
          <w:rFonts w:asciiTheme="minorHAnsi" w:hAnsiTheme="minorHAnsi" w:cstheme="minorHAnsi"/>
          <w:sz w:val="22"/>
          <w:szCs w:val="22"/>
        </w:rPr>
      </w:pPr>
    </w:p>
    <w:p w:rsidR="006A415B" w:rsidRPr="00DA50E0" w:rsidRDefault="00287A8C" w:rsidP="00287A8C">
      <w:pPr>
        <w:pStyle w:val="aa"/>
        <w:bidi w:val="0"/>
        <w:spacing w:line="240" w:lineRule="auto"/>
        <w:jc w:val="right"/>
        <w:rPr>
          <w:rFonts w:asciiTheme="minorHAnsi" w:hAnsiTheme="minorHAnsi" w:cstheme="minorHAnsi"/>
          <w:sz w:val="22"/>
          <w:szCs w:val="22"/>
        </w:rPr>
      </w:pPr>
      <w:r w:rsidRPr="00DA50E0">
        <w:rPr>
          <w:rFonts w:asciiTheme="minorHAnsi" w:hAnsiTheme="minorHAnsi" w:cstheme="minorHAnsi"/>
          <w:sz w:val="22"/>
          <w:szCs w:val="22"/>
        </w:rPr>
        <w:t>July 06</w:t>
      </w:r>
      <w:r w:rsidR="00221F10" w:rsidRPr="00DA50E0">
        <w:rPr>
          <w:rFonts w:asciiTheme="minorHAnsi" w:hAnsiTheme="minorHAnsi" w:cstheme="minorHAnsi"/>
          <w:sz w:val="22"/>
          <w:szCs w:val="22"/>
        </w:rPr>
        <w:t>,</w:t>
      </w:r>
      <w:r w:rsidR="00A40585" w:rsidRPr="00DA50E0">
        <w:rPr>
          <w:rFonts w:asciiTheme="minorHAnsi" w:hAnsiTheme="minorHAnsi" w:cstheme="minorHAnsi"/>
          <w:sz w:val="22"/>
          <w:szCs w:val="22"/>
        </w:rPr>
        <w:t xml:space="preserve"> 2026</w:t>
      </w:r>
    </w:p>
    <w:p w:rsidR="00287A8C" w:rsidRPr="00DA50E0" w:rsidRDefault="00287A8C" w:rsidP="00287A8C">
      <w:pPr>
        <w:spacing w:line="300" w:lineRule="atLeast"/>
        <w:rPr>
          <w:rFonts w:asciiTheme="minorHAnsi" w:eastAsia="Times New Roman" w:hAnsiTheme="minorHAnsi" w:cstheme="minorHAnsi"/>
          <w:sz w:val="22"/>
          <w:szCs w:val="22"/>
        </w:rPr>
      </w:pPr>
      <w:r w:rsidRPr="00DA50E0">
        <w:rPr>
          <w:rFonts w:asciiTheme="minorHAnsi" w:eastAsia="Times New Roman" w:hAnsiTheme="minorHAnsi" w:cstheme="minorHAnsi"/>
          <w:sz w:val="22"/>
          <w:szCs w:val="22"/>
        </w:rPr>
        <w:t>Press release</w:t>
      </w:r>
      <w:r w:rsidRPr="00DA50E0">
        <w:rPr>
          <w:rFonts w:asciiTheme="minorHAnsi" w:eastAsia="Times New Roman" w:hAnsiTheme="minorHAnsi" w:cstheme="minorHAnsi"/>
          <w:sz w:val="22"/>
          <w:szCs w:val="22"/>
        </w:rPr>
        <w:t>:</w:t>
      </w:r>
    </w:p>
    <w:p w:rsidR="00287A8C" w:rsidRPr="00DA50E0" w:rsidRDefault="00287A8C" w:rsidP="00287A8C">
      <w:pPr>
        <w:pStyle w:val="aa"/>
        <w:bidi w:val="0"/>
        <w:spacing w:line="240" w:lineRule="auto"/>
        <w:rPr>
          <w:rFonts w:asciiTheme="minorHAnsi" w:hAnsiTheme="minorHAnsi" w:cstheme="minorHAnsi"/>
          <w:sz w:val="22"/>
          <w:szCs w:val="22"/>
        </w:rPr>
      </w:pPr>
    </w:p>
    <w:p w:rsidR="00B06E18" w:rsidRPr="00DA50E0" w:rsidRDefault="00B06E18" w:rsidP="00A541E1">
      <w:pPr>
        <w:jc w:val="center"/>
        <w:rPr>
          <w:rFonts w:asciiTheme="minorHAnsi" w:hAnsiTheme="minorHAnsi" w:cstheme="minorHAnsi"/>
          <w:b/>
          <w:bCs/>
          <w:rtl/>
        </w:rPr>
      </w:pPr>
    </w:p>
    <w:p w:rsidR="006A415B" w:rsidRPr="00DA50E0" w:rsidRDefault="00221F10" w:rsidP="00E101C4">
      <w:pPr>
        <w:jc w:val="center"/>
        <w:rPr>
          <w:rFonts w:asciiTheme="minorHAnsi" w:hAnsiTheme="minorHAnsi" w:cstheme="minorHAnsi"/>
          <w:b/>
          <w:bCs/>
        </w:rPr>
      </w:pPr>
      <w:r w:rsidRPr="00DA50E0">
        <w:rPr>
          <w:rFonts w:asciiTheme="minorHAnsi" w:hAnsiTheme="minorHAnsi" w:cstheme="minorHAnsi"/>
          <w:b/>
          <w:bCs/>
        </w:rPr>
        <w:t xml:space="preserve">The Monetary Committee decides on </w:t>
      </w:r>
      <w:r w:rsidR="00E101C4" w:rsidRPr="00DA50E0">
        <w:rPr>
          <w:rFonts w:asciiTheme="minorHAnsi" w:hAnsiTheme="minorHAnsi" w:cstheme="minorHAnsi"/>
          <w:b/>
          <w:bCs/>
        </w:rPr>
        <w:t>July 6,</w:t>
      </w:r>
      <w:r w:rsidR="00A40585" w:rsidRPr="00DA50E0">
        <w:rPr>
          <w:rFonts w:asciiTheme="minorHAnsi" w:hAnsiTheme="minorHAnsi" w:cstheme="minorHAnsi"/>
          <w:b/>
          <w:bCs/>
        </w:rPr>
        <w:t xml:space="preserve"> 2026</w:t>
      </w:r>
      <w:r w:rsidRPr="00DA50E0">
        <w:rPr>
          <w:rFonts w:asciiTheme="minorHAnsi" w:hAnsiTheme="minorHAnsi" w:cstheme="minorHAnsi"/>
          <w:b/>
          <w:bCs/>
        </w:rPr>
        <w:t xml:space="preserve"> </w:t>
      </w:r>
    </w:p>
    <w:p w:rsidR="006A415B" w:rsidRPr="00DA50E0" w:rsidRDefault="00221F10" w:rsidP="00A87058">
      <w:pPr>
        <w:jc w:val="center"/>
        <w:rPr>
          <w:rFonts w:asciiTheme="minorHAnsi" w:hAnsiTheme="minorHAnsi" w:cstheme="minorHAnsi"/>
          <w:b/>
          <w:bCs/>
        </w:rPr>
      </w:pPr>
      <w:r w:rsidRPr="00DA50E0">
        <w:rPr>
          <w:rFonts w:asciiTheme="minorHAnsi" w:hAnsiTheme="minorHAnsi" w:cstheme="minorHAnsi"/>
          <w:b/>
          <w:bCs/>
        </w:rPr>
        <w:t xml:space="preserve">to </w:t>
      </w:r>
      <w:r w:rsidR="00E101C4" w:rsidRPr="00DA50E0">
        <w:rPr>
          <w:rFonts w:asciiTheme="minorHAnsi" w:hAnsiTheme="minorHAnsi" w:cstheme="minorHAnsi"/>
          <w:b/>
          <w:bCs/>
        </w:rPr>
        <w:t xml:space="preserve">lower </w:t>
      </w:r>
      <w:r w:rsidR="00BE5BD6" w:rsidRPr="00DA50E0">
        <w:rPr>
          <w:rFonts w:asciiTheme="minorHAnsi" w:hAnsiTheme="minorHAnsi" w:cstheme="minorHAnsi"/>
          <w:b/>
          <w:bCs/>
        </w:rPr>
        <w:t xml:space="preserve">the interest rate </w:t>
      </w:r>
      <w:r w:rsidR="00E101C4" w:rsidRPr="00DA50E0">
        <w:rPr>
          <w:rFonts w:asciiTheme="minorHAnsi" w:hAnsiTheme="minorHAnsi" w:cstheme="minorHAnsi"/>
          <w:b/>
          <w:bCs/>
        </w:rPr>
        <w:t>to</w:t>
      </w:r>
      <w:r w:rsidR="00BE5BD6" w:rsidRPr="00DA50E0">
        <w:rPr>
          <w:rFonts w:asciiTheme="minorHAnsi" w:hAnsiTheme="minorHAnsi" w:cstheme="minorHAnsi"/>
          <w:b/>
          <w:bCs/>
        </w:rPr>
        <w:t xml:space="preserve"> </w:t>
      </w:r>
      <w:r w:rsidR="00E101C4" w:rsidRPr="00DA50E0">
        <w:rPr>
          <w:rFonts w:asciiTheme="minorHAnsi" w:hAnsiTheme="minorHAnsi" w:cstheme="minorHAnsi"/>
          <w:b/>
          <w:bCs/>
        </w:rPr>
        <w:t>3</w:t>
      </w:r>
      <w:r w:rsidR="00D57771" w:rsidRPr="00DA50E0">
        <w:rPr>
          <w:rFonts w:asciiTheme="minorHAnsi" w:hAnsiTheme="minorHAnsi" w:cstheme="minorHAnsi"/>
          <w:b/>
          <w:bCs/>
        </w:rPr>
        <w:t>.</w:t>
      </w:r>
      <w:r w:rsidR="00E101C4" w:rsidRPr="00DA50E0">
        <w:rPr>
          <w:rFonts w:asciiTheme="minorHAnsi" w:hAnsiTheme="minorHAnsi" w:cstheme="minorHAnsi"/>
          <w:b/>
          <w:bCs/>
        </w:rPr>
        <w:t>5</w:t>
      </w:r>
      <w:r w:rsidR="00BE5BD6" w:rsidRPr="00DA50E0">
        <w:rPr>
          <w:rFonts w:asciiTheme="minorHAnsi" w:hAnsiTheme="minorHAnsi" w:cstheme="minorHAnsi"/>
          <w:b/>
          <w:bCs/>
        </w:rPr>
        <w:t xml:space="preserve"> percent</w:t>
      </w:r>
      <w:bookmarkStart w:id="0" w:name="_GoBack"/>
      <w:bookmarkEnd w:id="0"/>
    </w:p>
    <w:p w:rsidR="000512B0" w:rsidRPr="00DA50E0" w:rsidRDefault="000512B0" w:rsidP="00C2592B">
      <w:pPr>
        <w:jc w:val="both"/>
        <w:rPr>
          <w:rFonts w:asciiTheme="minorHAnsi" w:hAnsiTheme="minorHAnsi" w:cstheme="minorHAnsi"/>
          <w:sz w:val="22"/>
          <w:szCs w:val="22"/>
        </w:rPr>
      </w:pPr>
    </w:p>
    <w:p w:rsidR="00A40585" w:rsidRPr="00DA50E0" w:rsidRDefault="00A40585" w:rsidP="00A40585">
      <w:pPr>
        <w:pStyle w:val="NormalWeb"/>
        <w:shd w:val="clear" w:color="auto" w:fill="FFFFFF"/>
        <w:spacing w:before="0" w:beforeAutospacing="0" w:after="0" w:afterAutospacing="0"/>
        <w:jc w:val="both"/>
        <w:rPr>
          <w:rFonts w:asciiTheme="minorHAnsi" w:hAnsiTheme="minorHAnsi" w:cstheme="minorHAnsi"/>
          <w:b/>
          <w:bCs/>
          <w:color w:val="242424"/>
          <w:sz w:val="22"/>
          <w:szCs w:val="22"/>
        </w:rPr>
      </w:pPr>
    </w:p>
    <w:p w:rsidR="00E101C4" w:rsidRPr="00DA50E0" w:rsidRDefault="00E101C4" w:rsidP="00BD6626">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The memorandum of understanding signed between the United States and Iran led to a decline in energy prices and a moderation of the global geopolitical tension, but the level of uncertainty remains high.</w:t>
      </w:r>
    </w:p>
    <w:p w:rsidR="00E101C4" w:rsidRPr="00DA50E0" w:rsidRDefault="00E101C4" w:rsidP="00526148">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 xml:space="preserve">The inflation rate in May remained stable around the midpoint of the target range, and the risk premium </w:t>
      </w:r>
      <w:r w:rsidR="00526148" w:rsidRPr="00DA50E0">
        <w:rPr>
          <w:rFonts w:asciiTheme="minorHAnsi" w:hAnsiTheme="minorHAnsi" w:cstheme="minorHAnsi"/>
          <w:color w:val="242424"/>
          <w:sz w:val="22"/>
          <w:szCs w:val="22"/>
        </w:rPr>
        <w:t>is</w:t>
      </w:r>
      <w:r w:rsidRPr="00DA50E0">
        <w:rPr>
          <w:rFonts w:asciiTheme="minorHAnsi" w:hAnsiTheme="minorHAnsi" w:cstheme="minorHAnsi"/>
          <w:color w:val="242424"/>
          <w:sz w:val="22"/>
          <w:szCs w:val="22"/>
        </w:rPr>
        <w:t xml:space="preserve"> similar to before October 2023.  </w:t>
      </w:r>
      <w:proofErr w:type="gramStart"/>
      <w:r w:rsidRPr="00DA50E0">
        <w:rPr>
          <w:rFonts w:asciiTheme="minorHAnsi" w:hAnsiTheme="minorHAnsi" w:cstheme="minorHAnsi"/>
          <w:color w:val="242424"/>
          <w:sz w:val="22"/>
          <w:szCs w:val="22"/>
        </w:rPr>
        <w:t>Overall</w:t>
      </w:r>
      <w:proofErr w:type="gramEnd"/>
      <w:r w:rsidRPr="00DA50E0">
        <w:rPr>
          <w:rFonts w:asciiTheme="minorHAnsi" w:hAnsiTheme="minorHAnsi" w:cstheme="minorHAnsi"/>
          <w:color w:val="242424"/>
          <w:sz w:val="22"/>
          <w:szCs w:val="22"/>
        </w:rPr>
        <w:t xml:space="preserve"> during the reviewed period, the shekel depreciated with high volatility.</w:t>
      </w:r>
    </w:p>
    <w:p w:rsidR="00E101C4" w:rsidRPr="00DA50E0" w:rsidRDefault="00E101C4" w:rsidP="00BD6626">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Current economic indicators point to continued recovery of activity following the sharp decline with the beginning of Operation Roaring Lion</w:t>
      </w:r>
      <w:r w:rsidR="00120E6C" w:rsidRPr="00DA50E0">
        <w:rPr>
          <w:rFonts w:asciiTheme="minorHAnsi" w:hAnsiTheme="minorHAnsi" w:cstheme="minorHAnsi"/>
          <w:color w:val="242424"/>
          <w:sz w:val="22"/>
          <w:szCs w:val="22"/>
        </w:rPr>
        <w:t xml:space="preserve"> (the military confrontation with Iran in March–April)</w:t>
      </w:r>
      <w:r w:rsidRPr="00DA50E0">
        <w:rPr>
          <w:rFonts w:asciiTheme="minorHAnsi" w:hAnsiTheme="minorHAnsi" w:cstheme="minorHAnsi"/>
          <w:color w:val="242424"/>
          <w:sz w:val="22"/>
          <w:szCs w:val="22"/>
        </w:rPr>
        <w:t>.</w:t>
      </w:r>
    </w:p>
    <w:p w:rsidR="000258A8" w:rsidRPr="00DA50E0" w:rsidRDefault="00221F10" w:rsidP="00E101C4">
      <w:pPr>
        <w:pStyle w:val="NormalWeb"/>
        <w:numPr>
          <w:ilvl w:val="0"/>
          <w:numId w:val="14"/>
        </w:numPr>
        <w:shd w:val="clear" w:color="auto" w:fill="FFFFFF"/>
        <w:spacing w:before="0" w:beforeAutospacing="0" w:after="0" w:afterAutospacing="0"/>
        <w:ind w:left="350" w:hanging="357"/>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The labor market remains tight</w:t>
      </w:r>
      <w:r w:rsidR="00BD6626" w:rsidRPr="00DA50E0">
        <w:rPr>
          <w:rFonts w:asciiTheme="minorHAnsi" w:hAnsiTheme="minorHAnsi" w:cstheme="minorHAnsi"/>
          <w:color w:val="242424"/>
          <w:sz w:val="22"/>
          <w:szCs w:val="22"/>
        </w:rPr>
        <w:t xml:space="preserve"> and the</w:t>
      </w:r>
      <w:r w:rsidR="00DB784F" w:rsidRPr="00DA50E0">
        <w:rPr>
          <w:rFonts w:asciiTheme="minorHAnsi" w:hAnsiTheme="minorHAnsi" w:cstheme="minorHAnsi"/>
          <w:color w:val="242424"/>
          <w:sz w:val="22"/>
          <w:szCs w:val="22"/>
        </w:rPr>
        <w:t xml:space="preserve"> pace of wage increases in </w:t>
      </w:r>
      <w:r w:rsidR="00E101C4" w:rsidRPr="00DA50E0">
        <w:rPr>
          <w:rFonts w:asciiTheme="minorHAnsi" w:hAnsiTheme="minorHAnsi" w:cstheme="minorHAnsi"/>
          <w:color w:val="242424"/>
          <w:sz w:val="22"/>
          <w:szCs w:val="22"/>
        </w:rPr>
        <w:t>March–May was 6.8 percent relative to the same period last year.</w:t>
      </w:r>
    </w:p>
    <w:p w:rsidR="0001331B" w:rsidRPr="00DA50E0" w:rsidRDefault="00221F10" w:rsidP="00120E6C">
      <w:pPr>
        <w:pStyle w:val="ac"/>
        <w:numPr>
          <w:ilvl w:val="0"/>
          <w:numId w:val="14"/>
        </w:numPr>
        <w:bidi w:val="0"/>
        <w:spacing w:line="240" w:lineRule="auto"/>
        <w:ind w:left="336"/>
        <w:rPr>
          <w:rFonts w:asciiTheme="minorHAnsi" w:hAnsiTheme="minorHAnsi" w:cstheme="minorHAnsi"/>
          <w:sz w:val="22"/>
          <w:szCs w:val="22"/>
        </w:rPr>
      </w:pPr>
      <w:r w:rsidRPr="00DA50E0">
        <w:rPr>
          <w:rFonts w:asciiTheme="minorHAnsi" w:hAnsiTheme="minorHAnsi" w:cstheme="minorHAnsi"/>
          <w:color w:val="242424"/>
          <w:sz w:val="22"/>
          <w:szCs w:val="22"/>
        </w:rPr>
        <w:t xml:space="preserve">According to the Research Department forecast, </w:t>
      </w:r>
      <w:r w:rsidR="0001331B" w:rsidRPr="00DA50E0">
        <w:rPr>
          <w:rFonts w:asciiTheme="minorHAnsi" w:hAnsiTheme="minorHAnsi" w:cstheme="minorHAnsi"/>
          <w:color w:val="242424"/>
          <w:sz w:val="22"/>
          <w:szCs w:val="22"/>
        </w:rPr>
        <w:t xml:space="preserve">GDP </w:t>
      </w:r>
      <w:proofErr w:type="gramStart"/>
      <w:r w:rsidR="0001331B" w:rsidRPr="00DA50E0">
        <w:rPr>
          <w:rFonts w:asciiTheme="minorHAnsi" w:hAnsiTheme="minorHAnsi" w:cstheme="minorHAnsi"/>
          <w:color w:val="242424"/>
          <w:sz w:val="22"/>
          <w:szCs w:val="22"/>
        </w:rPr>
        <w:t>is expected</w:t>
      </w:r>
      <w:proofErr w:type="gramEnd"/>
      <w:r w:rsidR="0001331B" w:rsidRPr="00DA50E0">
        <w:rPr>
          <w:rFonts w:asciiTheme="minorHAnsi" w:hAnsiTheme="minorHAnsi" w:cstheme="minorHAnsi"/>
          <w:color w:val="242424"/>
          <w:sz w:val="22"/>
          <w:szCs w:val="22"/>
        </w:rPr>
        <w:t xml:space="preserve"> to grow by </w:t>
      </w:r>
      <w:r w:rsidR="00E101C4" w:rsidRPr="00DA50E0">
        <w:rPr>
          <w:rFonts w:asciiTheme="minorHAnsi" w:hAnsiTheme="minorHAnsi" w:cstheme="minorHAnsi"/>
          <w:color w:val="242424"/>
          <w:sz w:val="22"/>
          <w:szCs w:val="22"/>
        </w:rPr>
        <w:t>4</w:t>
      </w:r>
      <w:r w:rsidR="0001331B" w:rsidRPr="00DA50E0">
        <w:rPr>
          <w:rFonts w:asciiTheme="minorHAnsi" w:hAnsiTheme="minorHAnsi" w:cstheme="minorHAnsi"/>
          <w:color w:val="242424"/>
          <w:sz w:val="22"/>
          <w:szCs w:val="22"/>
        </w:rPr>
        <w:t xml:space="preserve"> percent in 2026 and by 5.5 percent in 2027</w:t>
      </w:r>
      <w:r w:rsidR="00E101C4" w:rsidRPr="00DA50E0">
        <w:rPr>
          <w:rFonts w:asciiTheme="minorHAnsi" w:hAnsiTheme="minorHAnsi" w:cstheme="minorHAnsi"/>
          <w:color w:val="242424"/>
          <w:sz w:val="22"/>
          <w:szCs w:val="22"/>
        </w:rPr>
        <w:t xml:space="preserve">. The Research Department’s assessment is that if the defense budget </w:t>
      </w:r>
      <w:proofErr w:type="gramStart"/>
      <w:r w:rsidR="00E101C4" w:rsidRPr="00DA50E0">
        <w:rPr>
          <w:rFonts w:asciiTheme="minorHAnsi" w:hAnsiTheme="minorHAnsi" w:cstheme="minorHAnsi"/>
          <w:color w:val="242424"/>
          <w:sz w:val="22"/>
          <w:szCs w:val="22"/>
        </w:rPr>
        <w:t>is not increased</w:t>
      </w:r>
      <w:proofErr w:type="gramEnd"/>
      <w:r w:rsidR="00E101C4" w:rsidRPr="00DA50E0">
        <w:rPr>
          <w:rFonts w:asciiTheme="minorHAnsi" w:hAnsiTheme="minorHAnsi" w:cstheme="minorHAnsi"/>
          <w:color w:val="242424"/>
          <w:sz w:val="22"/>
          <w:szCs w:val="22"/>
        </w:rPr>
        <w:t xml:space="preserve"> beyond the </w:t>
      </w:r>
      <w:r w:rsidR="00120E6C" w:rsidRPr="00DA50E0">
        <w:rPr>
          <w:rFonts w:asciiTheme="minorHAnsi" w:hAnsiTheme="minorHAnsi" w:cstheme="minorHAnsi"/>
          <w:color w:val="242424"/>
          <w:sz w:val="22"/>
          <w:szCs w:val="22"/>
        </w:rPr>
        <w:t>buffer reserved</w:t>
      </w:r>
      <w:r w:rsidR="00E101C4" w:rsidRPr="00DA50E0">
        <w:rPr>
          <w:rFonts w:asciiTheme="minorHAnsi" w:hAnsiTheme="minorHAnsi" w:cstheme="minorHAnsi"/>
          <w:color w:val="242424"/>
          <w:sz w:val="22"/>
          <w:szCs w:val="22"/>
        </w:rPr>
        <w:t xml:space="preserve"> in the State budget, the government’s budget </w:t>
      </w:r>
      <w:r w:rsidR="0001331B" w:rsidRPr="00DA50E0">
        <w:rPr>
          <w:rFonts w:asciiTheme="minorHAnsi" w:hAnsiTheme="minorHAnsi" w:cstheme="minorHAnsi"/>
          <w:sz w:val="22"/>
          <w:szCs w:val="22"/>
        </w:rPr>
        <w:t xml:space="preserve">deficit is expected to be </w:t>
      </w:r>
      <w:r w:rsidR="00E101C4" w:rsidRPr="00DA50E0">
        <w:rPr>
          <w:rFonts w:asciiTheme="minorHAnsi" w:hAnsiTheme="minorHAnsi" w:cstheme="minorHAnsi"/>
          <w:sz w:val="22"/>
          <w:szCs w:val="22"/>
        </w:rPr>
        <w:t>4.9</w:t>
      </w:r>
      <w:r w:rsidR="0001331B" w:rsidRPr="00DA50E0">
        <w:rPr>
          <w:rFonts w:asciiTheme="minorHAnsi" w:hAnsiTheme="minorHAnsi" w:cstheme="minorHAnsi"/>
          <w:sz w:val="22"/>
          <w:szCs w:val="22"/>
        </w:rPr>
        <w:t xml:space="preserve"> percent of GDP in 2026 and 4.</w:t>
      </w:r>
      <w:r w:rsidR="00E101C4" w:rsidRPr="00DA50E0">
        <w:rPr>
          <w:rFonts w:asciiTheme="minorHAnsi" w:hAnsiTheme="minorHAnsi" w:cstheme="minorHAnsi"/>
          <w:sz w:val="22"/>
          <w:szCs w:val="22"/>
        </w:rPr>
        <w:t>2</w:t>
      </w:r>
      <w:r w:rsidR="0001331B" w:rsidRPr="00DA50E0">
        <w:rPr>
          <w:rFonts w:asciiTheme="minorHAnsi" w:hAnsiTheme="minorHAnsi" w:cstheme="minorHAnsi"/>
          <w:sz w:val="22"/>
          <w:szCs w:val="22"/>
        </w:rPr>
        <w:t xml:space="preserve"> percent of GDP in 2027.  </w:t>
      </w:r>
    </w:p>
    <w:p w:rsidR="00DB784F" w:rsidRPr="00DA50E0" w:rsidRDefault="00DB784F" w:rsidP="00526148">
      <w:pPr>
        <w:pStyle w:val="NormalWeb"/>
        <w:numPr>
          <w:ilvl w:val="0"/>
          <w:numId w:val="14"/>
        </w:numPr>
        <w:shd w:val="clear" w:color="auto" w:fill="FFFFFF"/>
        <w:spacing w:before="0" w:beforeAutospacing="0" w:after="0" w:afterAutospacing="0"/>
        <w:ind w:left="336" w:hanging="357"/>
        <w:jc w:val="both"/>
        <w:rPr>
          <w:rFonts w:asciiTheme="minorHAnsi" w:hAnsiTheme="minorHAnsi" w:cstheme="minorHAnsi"/>
          <w:color w:val="242424"/>
          <w:sz w:val="22"/>
          <w:szCs w:val="22"/>
        </w:rPr>
      </w:pPr>
      <w:r w:rsidRPr="00DA50E0">
        <w:rPr>
          <w:rFonts w:asciiTheme="minorHAnsi" w:hAnsiTheme="minorHAnsi" w:cstheme="minorHAnsi"/>
          <w:sz w:val="22"/>
          <w:szCs w:val="22"/>
        </w:rPr>
        <w:t xml:space="preserve">The </w:t>
      </w:r>
      <w:r w:rsidR="00526148" w:rsidRPr="00DA50E0">
        <w:rPr>
          <w:rFonts w:asciiTheme="minorHAnsi" w:hAnsiTheme="minorHAnsi" w:cstheme="minorHAnsi"/>
          <w:sz w:val="22"/>
          <w:szCs w:val="22"/>
        </w:rPr>
        <w:t xml:space="preserve">annual rate of </w:t>
      </w:r>
      <w:r w:rsidR="001B2460" w:rsidRPr="00DA50E0">
        <w:rPr>
          <w:rFonts w:asciiTheme="minorHAnsi" w:hAnsiTheme="minorHAnsi" w:cstheme="minorHAnsi"/>
          <w:sz w:val="22"/>
          <w:szCs w:val="22"/>
        </w:rPr>
        <w:t xml:space="preserve">increase in the </w:t>
      </w:r>
      <w:r w:rsidRPr="00DA50E0">
        <w:rPr>
          <w:rFonts w:asciiTheme="minorHAnsi" w:hAnsiTheme="minorHAnsi" w:cstheme="minorHAnsi"/>
          <w:sz w:val="22"/>
          <w:szCs w:val="22"/>
        </w:rPr>
        <w:t xml:space="preserve">housing component </w:t>
      </w:r>
      <w:r w:rsidR="001B2460" w:rsidRPr="00DA50E0">
        <w:rPr>
          <w:rFonts w:asciiTheme="minorHAnsi" w:hAnsiTheme="minorHAnsi" w:cstheme="minorHAnsi"/>
          <w:sz w:val="22"/>
          <w:szCs w:val="22"/>
        </w:rPr>
        <w:t>of</w:t>
      </w:r>
      <w:r w:rsidRPr="00DA50E0">
        <w:rPr>
          <w:rFonts w:asciiTheme="minorHAnsi" w:hAnsiTheme="minorHAnsi" w:cstheme="minorHAnsi"/>
          <w:sz w:val="22"/>
          <w:szCs w:val="22"/>
        </w:rPr>
        <w:t xml:space="preserve"> the Consumer Price Index </w:t>
      </w:r>
      <w:r w:rsidR="001B2460" w:rsidRPr="00DA50E0">
        <w:rPr>
          <w:rFonts w:asciiTheme="minorHAnsi" w:hAnsiTheme="minorHAnsi" w:cstheme="minorHAnsi"/>
          <w:sz w:val="22"/>
          <w:szCs w:val="22"/>
        </w:rPr>
        <w:t>rose</w:t>
      </w:r>
      <w:r w:rsidRPr="00DA50E0">
        <w:rPr>
          <w:rFonts w:asciiTheme="minorHAnsi" w:hAnsiTheme="minorHAnsi" w:cstheme="minorHAnsi"/>
          <w:sz w:val="22"/>
          <w:szCs w:val="22"/>
        </w:rPr>
        <w:t xml:space="preserve"> to an annual rate of 4 percent in </w:t>
      </w:r>
      <w:r w:rsidR="001B2460" w:rsidRPr="00DA50E0">
        <w:rPr>
          <w:rFonts w:asciiTheme="minorHAnsi" w:hAnsiTheme="minorHAnsi" w:cstheme="minorHAnsi"/>
          <w:sz w:val="22"/>
          <w:szCs w:val="22"/>
        </w:rPr>
        <w:t>May</w:t>
      </w:r>
      <w:r w:rsidRPr="00DA50E0">
        <w:rPr>
          <w:rFonts w:asciiTheme="minorHAnsi" w:hAnsiTheme="minorHAnsi" w:cstheme="minorHAnsi"/>
          <w:sz w:val="22"/>
          <w:szCs w:val="22"/>
        </w:rPr>
        <w:t xml:space="preserve">.  The annual rate of increase </w:t>
      </w:r>
      <w:r w:rsidR="00526148" w:rsidRPr="00DA50E0">
        <w:rPr>
          <w:rFonts w:asciiTheme="minorHAnsi" w:hAnsiTheme="minorHAnsi" w:cstheme="minorHAnsi"/>
          <w:sz w:val="22"/>
          <w:szCs w:val="22"/>
        </w:rPr>
        <w:t xml:space="preserve">in renewing rental contracts was 2.5 percent, while the annual rate of increase </w:t>
      </w:r>
      <w:r w:rsidRPr="00DA50E0">
        <w:rPr>
          <w:rFonts w:asciiTheme="minorHAnsi" w:hAnsiTheme="minorHAnsi" w:cstheme="minorHAnsi"/>
          <w:sz w:val="22"/>
          <w:szCs w:val="22"/>
        </w:rPr>
        <w:t>in</w:t>
      </w:r>
      <w:r w:rsidR="001B2460" w:rsidRPr="00DA50E0">
        <w:rPr>
          <w:rFonts w:asciiTheme="minorHAnsi" w:hAnsiTheme="minorHAnsi" w:cstheme="minorHAnsi"/>
          <w:sz w:val="22"/>
          <w:szCs w:val="22"/>
        </w:rPr>
        <w:t xml:space="preserve"> rental contracts in which the</w:t>
      </w:r>
      <w:r w:rsidR="00383E0B" w:rsidRPr="00DA50E0">
        <w:rPr>
          <w:rFonts w:asciiTheme="minorHAnsi" w:hAnsiTheme="minorHAnsi" w:cstheme="minorHAnsi"/>
          <w:sz w:val="22"/>
          <w:szCs w:val="22"/>
        </w:rPr>
        <w:t>re was a change of</w:t>
      </w:r>
      <w:r w:rsidR="001B2460" w:rsidRPr="00DA50E0">
        <w:rPr>
          <w:rFonts w:asciiTheme="minorHAnsi" w:hAnsiTheme="minorHAnsi" w:cstheme="minorHAnsi"/>
          <w:sz w:val="22"/>
          <w:szCs w:val="22"/>
        </w:rPr>
        <w:t xml:space="preserve"> tenant accelerated to 6.8 percent in the May index.</w:t>
      </w:r>
      <w:r w:rsidRPr="00DA50E0">
        <w:rPr>
          <w:rFonts w:asciiTheme="minorHAnsi" w:hAnsiTheme="minorHAnsi" w:cstheme="minorHAnsi"/>
          <w:sz w:val="22"/>
          <w:szCs w:val="22"/>
        </w:rPr>
        <w:t xml:space="preserve"> </w:t>
      </w:r>
    </w:p>
    <w:p w:rsidR="00DB784F" w:rsidRPr="00DA50E0" w:rsidRDefault="00DB784F" w:rsidP="00DB784F">
      <w:pPr>
        <w:pStyle w:val="ac"/>
        <w:bidi w:val="0"/>
        <w:spacing w:line="240" w:lineRule="auto"/>
        <w:ind w:left="336"/>
        <w:rPr>
          <w:rFonts w:asciiTheme="minorHAnsi" w:hAnsiTheme="minorHAnsi" w:cstheme="minorHAnsi"/>
          <w:b/>
          <w:bCs/>
          <w:sz w:val="22"/>
          <w:szCs w:val="22"/>
        </w:rPr>
      </w:pPr>
    </w:p>
    <w:p w:rsidR="00514240" w:rsidRPr="00DA50E0" w:rsidRDefault="00221F10" w:rsidP="002851F2">
      <w:pPr>
        <w:ind w:right="-1"/>
        <w:jc w:val="both"/>
        <w:rPr>
          <w:rFonts w:asciiTheme="minorHAnsi" w:hAnsiTheme="minorHAnsi" w:cstheme="minorHAnsi"/>
          <w:b/>
          <w:bCs/>
          <w:sz w:val="22"/>
          <w:szCs w:val="22"/>
        </w:rPr>
      </w:pPr>
      <w:r w:rsidRPr="00DA50E0">
        <w:rPr>
          <w:rFonts w:asciiTheme="minorHAnsi" w:hAnsiTheme="minorHAnsi" w:cstheme="minorHAnsi"/>
          <w:b/>
          <w:bCs/>
          <w:sz w:val="22"/>
          <w:szCs w:val="22"/>
        </w:rPr>
        <w:t xml:space="preserve">The Monetary Committee’s policy is focusing on price stability, support for economic activity, and stability of the markets.  The interest rate path </w:t>
      </w:r>
      <w:r w:rsidR="003E2FB9" w:rsidRPr="00DA50E0">
        <w:rPr>
          <w:rFonts w:asciiTheme="minorHAnsi" w:hAnsiTheme="minorHAnsi" w:cstheme="minorHAnsi"/>
          <w:b/>
          <w:bCs/>
          <w:sz w:val="22"/>
          <w:szCs w:val="22"/>
        </w:rPr>
        <w:t>will be determined in accordance with</w:t>
      </w:r>
      <w:r w:rsidR="00560CDB" w:rsidRPr="00DA50E0">
        <w:rPr>
          <w:rFonts w:asciiTheme="minorHAnsi" w:hAnsiTheme="minorHAnsi" w:cstheme="minorHAnsi"/>
          <w:b/>
          <w:bCs/>
          <w:sz w:val="22"/>
          <w:szCs w:val="22"/>
        </w:rPr>
        <w:t xml:space="preserve"> the </w:t>
      </w:r>
      <w:r w:rsidR="001830D1" w:rsidRPr="00DA50E0">
        <w:rPr>
          <w:rFonts w:asciiTheme="minorHAnsi" w:hAnsiTheme="minorHAnsi" w:cstheme="minorHAnsi"/>
          <w:b/>
          <w:bCs/>
          <w:sz w:val="22"/>
          <w:szCs w:val="22"/>
        </w:rPr>
        <w:t>development</w:t>
      </w:r>
      <w:r w:rsidR="00560CDB" w:rsidRPr="00DA50E0">
        <w:rPr>
          <w:rFonts w:asciiTheme="minorHAnsi" w:hAnsiTheme="minorHAnsi" w:cstheme="minorHAnsi"/>
          <w:b/>
          <w:bCs/>
          <w:sz w:val="22"/>
          <w:szCs w:val="22"/>
        </w:rPr>
        <w:t xml:space="preserve"> of inflation, </w:t>
      </w:r>
      <w:r w:rsidR="008D5EB4" w:rsidRPr="00DA50E0">
        <w:rPr>
          <w:rFonts w:asciiTheme="minorHAnsi" w:hAnsiTheme="minorHAnsi" w:cstheme="minorHAnsi"/>
          <w:b/>
          <w:bCs/>
          <w:sz w:val="22"/>
          <w:szCs w:val="22"/>
        </w:rPr>
        <w:t>economic activity</w:t>
      </w:r>
      <w:r w:rsidR="00560CDB" w:rsidRPr="00DA50E0">
        <w:rPr>
          <w:rFonts w:asciiTheme="minorHAnsi" w:hAnsiTheme="minorHAnsi" w:cstheme="minorHAnsi"/>
          <w:b/>
          <w:bCs/>
          <w:sz w:val="22"/>
          <w:szCs w:val="22"/>
        </w:rPr>
        <w:t xml:space="preserve">, </w:t>
      </w:r>
      <w:r w:rsidRPr="00DA50E0">
        <w:rPr>
          <w:rFonts w:asciiTheme="minorHAnsi" w:hAnsiTheme="minorHAnsi" w:cstheme="minorHAnsi"/>
          <w:b/>
          <w:bCs/>
          <w:sz w:val="22"/>
          <w:szCs w:val="22"/>
        </w:rPr>
        <w:t xml:space="preserve">geopolitical uncertainty, </w:t>
      </w:r>
      <w:r w:rsidR="00560CDB" w:rsidRPr="00DA50E0">
        <w:rPr>
          <w:rFonts w:asciiTheme="minorHAnsi" w:hAnsiTheme="minorHAnsi" w:cstheme="minorHAnsi"/>
          <w:b/>
          <w:bCs/>
          <w:sz w:val="22"/>
          <w:szCs w:val="22"/>
        </w:rPr>
        <w:t xml:space="preserve">and fiscal </w:t>
      </w:r>
      <w:r w:rsidRPr="00DA50E0">
        <w:rPr>
          <w:rFonts w:asciiTheme="minorHAnsi" w:hAnsiTheme="minorHAnsi" w:cstheme="minorHAnsi"/>
          <w:b/>
          <w:bCs/>
          <w:sz w:val="22"/>
          <w:szCs w:val="22"/>
        </w:rPr>
        <w:t>developments</w:t>
      </w:r>
      <w:r w:rsidR="008D5EB4" w:rsidRPr="00DA50E0">
        <w:rPr>
          <w:rFonts w:asciiTheme="minorHAnsi" w:hAnsiTheme="minorHAnsi" w:cstheme="minorHAnsi"/>
          <w:b/>
          <w:bCs/>
          <w:sz w:val="22"/>
          <w:szCs w:val="22"/>
        </w:rPr>
        <w:t>.</w:t>
      </w:r>
    </w:p>
    <w:p w:rsidR="00982234" w:rsidRPr="00DA50E0" w:rsidRDefault="00982234" w:rsidP="006075EE">
      <w:pPr>
        <w:ind w:right="265"/>
        <w:jc w:val="both"/>
        <w:rPr>
          <w:rFonts w:asciiTheme="minorHAnsi" w:hAnsiTheme="minorHAnsi" w:cstheme="minorHAnsi"/>
          <w:b/>
          <w:bCs/>
          <w:sz w:val="22"/>
          <w:szCs w:val="22"/>
        </w:rPr>
      </w:pPr>
    </w:p>
    <w:p w:rsidR="001830D1" w:rsidRPr="00DA50E0" w:rsidRDefault="001830D1" w:rsidP="006075EE">
      <w:pPr>
        <w:ind w:right="265"/>
        <w:jc w:val="both"/>
        <w:rPr>
          <w:rFonts w:asciiTheme="minorHAnsi" w:hAnsiTheme="minorHAnsi" w:cstheme="minorHAnsi"/>
          <w:b/>
          <w:bCs/>
          <w:sz w:val="22"/>
          <w:szCs w:val="22"/>
        </w:rPr>
      </w:pPr>
    </w:p>
    <w:p w:rsidR="00982234" w:rsidRPr="00DA50E0" w:rsidRDefault="00982234" w:rsidP="006075EE">
      <w:pPr>
        <w:ind w:right="265"/>
        <w:jc w:val="both"/>
        <w:rPr>
          <w:rFonts w:asciiTheme="minorHAnsi" w:hAnsiTheme="minorHAnsi" w:cstheme="minorHAnsi"/>
          <w:b/>
          <w:bCs/>
          <w:sz w:val="22"/>
          <w:szCs w:val="22"/>
        </w:rPr>
      </w:pPr>
    </w:p>
    <w:p w:rsidR="007B5771" w:rsidRPr="00DA50E0" w:rsidRDefault="00221F10" w:rsidP="006075EE">
      <w:pPr>
        <w:rPr>
          <w:rFonts w:asciiTheme="minorHAnsi" w:hAnsiTheme="minorHAnsi" w:cstheme="minorHAnsi"/>
          <w:b/>
          <w:bCs/>
          <w:sz w:val="22"/>
          <w:szCs w:val="22"/>
        </w:rPr>
      </w:pPr>
      <w:r w:rsidRPr="00DA50E0">
        <w:rPr>
          <w:rFonts w:asciiTheme="minorHAnsi" w:hAnsiTheme="minorHAnsi" w:cstheme="minorHAnsi"/>
          <w:b/>
          <w:bCs/>
          <w:sz w:val="22"/>
          <w:szCs w:val="22"/>
        </w:rPr>
        <w:t>For the file of figures accompanying this notice, click here.</w:t>
      </w:r>
    </w:p>
    <w:p w:rsidR="002E392D" w:rsidRPr="00DA50E0" w:rsidRDefault="002E392D" w:rsidP="006075EE">
      <w:pPr>
        <w:jc w:val="both"/>
        <w:rPr>
          <w:rFonts w:asciiTheme="minorHAnsi" w:hAnsiTheme="minorHAnsi" w:cstheme="minorHAnsi"/>
          <w:sz w:val="22"/>
          <w:szCs w:val="22"/>
        </w:rPr>
      </w:pPr>
    </w:p>
    <w:p w:rsidR="00A34B91" w:rsidRPr="00DA50E0" w:rsidRDefault="00A34B91" w:rsidP="00BD7538">
      <w:pPr>
        <w:ind w:right="-1"/>
        <w:jc w:val="both"/>
        <w:rPr>
          <w:rFonts w:asciiTheme="minorHAnsi" w:hAnsiTheme="minorHAnsi" w:cstheme="minorHAnsi"/>
          <w:sz w:val="22"/>
          <w:szCs w:val="22"/>
        </w:rPr>
      </w:pPr>
    </w:p>
    <w:p w:rsidR="00526148" w:rsidRPr="00DA50E0" w:rsidRDefault="00526148" w:rsidP="00526148">
      <w:pPr>
        <w:ind w:right="-1"/>
        <w:jc w:val="both"/>
        <w:rPr>
          <w:rFonts w:asciiTheme="minorHAnsi" w:hAnsiTheme="minorHAnsi" w:cstheme="minorHAnsi"/>
          <w:color w:val="242424"/>
          <w:sz w:val="22"/>
          <w:szCs w:val="22"/>
        </w:rPr>
      </w:pPr>
      <w:r w:rsidRPr="00DA50E0">
        <w:rPr>
          <w:rFonts w:asciiTheme="minorHAnsi" w:hAnsiTheme="minorHAnsi" w:cstheme="minorHAnsi"/>
          <w:sz w:val="22"/>
          <w:szCs w:val="22"/>
        </w:rPr>
        <w:t xml:space="preserve">The memorandum of understanding signed between the United States and Iran lead to a decline in energy prices and a moderation of the global geopolitical tension, </w:t>
      </w:r>
      <w:r w:rsidRPr="00DA50E0">
        <w:rPr>
          <w:rFonts w:asciiTheme="minorHAnsi" w:hAnsiTheme="minorHAnsi" w:cstheme="minorHAnsi"/>
          <w:color w:val="242424"/>
          <w:sz w:val="22"/>
          <w:szCs w:val="22"/>
        </w:rPr>
        <w:t>but the level of uncertainty remains high. Economic activity continues to recover moderately.  The inflation rate in May remained stable around the midpoint of the target range, and the risk premium is similar to its level before October 7, 2023.  During the reviewed period, the shekel depreciated, with high volatility.</w:t>
      </w:r>
    </w:p>
    <w:p w:rsidR="00526148" w:rsidRPr="00DA50E0" w:rsidRDefault="00526148" w:rsidP="001B2460">
      <w:pPr>
        <w:ind w:right="-1"/>
        <w:jc w:val="both"/>
        <w:rPr>
          <w:rFonts w:asciiTheme="minorHAnsi" w:hAnsiTheme="minorHAnsi" w:cstheme="minorHAnsi"/>
          <w:sz w:val="22"/>
          <w:szCs w:val="22"/>
        </w:rPr>
      </w:pPr>
    </w:p>
    <w:p w:rsidR="003555E7" w:rsidRPr="00DA50E0" w:rsidRDefault="001B2460" w:rsidP="005D7167">
      <w:pPr>
        <w:ind w:right="-1"/>
        <w:jc w:val="both"/>
        <w:rPr>
          <w:rFonts w:asciiTheme="minorHAnsi" w:hAnsiTheme="minorHAnsi" w:cstheme="minorHAnsi"/>
          <w:b/>
          <w:bCs/>
          <w:sz w:val="22"/>
          <w:szCs w:val="22"/>
        </w:rPr>
      </w:pPr>
      <w:r w:rsidRPr="00DA50E0">
        <w:rPr>
          <w:rFonts w:asciiTheme="minorHAnsi" w:hAnsiTheme="minorHAnsi" w:cstheme="minorHAnsi"/>
          <w:sz w:val="22"/>
          <w:szCs w:val="22"/>
        </w:rPr>
        <w:t xml:space="preserve">The Consumer Price Index declined by 0.3 percent in </w:t>
      </w:r>
      <w:proofErr w:type="gramStart"/>
      <w:r w:rsidRPr="00DA50E0">
        <w:rPr>
          <w:rFonts w:asciiTheme="minorHAnsi" w:hAnsiTheme="minorHAnsi" w:cstheme="minorHAnsi"/>
          <w:sz w:val="22"/>
          <w:szCs w:val="22"/>
        </w:rPr>
        <w:t>May,</w:t>
      </w:r>
      <w:proofErr w:type="gramEnd"/>
      <w:r w:rsidRPr="00DA50E0">
        <w:rPr>
          <w:rFonts w:asciiTheme="minorHAnsi" w:hAnsiTheme="minorHAnsi" w:cstheme="minorHAnsi"/>
          <w:sz w:val="22"/>
          <w:szCs w:val="22"/>
        </w:rPr>
        <w:t xml:space="preserve"> and inflation in the past 12 months remained at 1.9 percent, near the midpoint of the target range</w:t>
      </w:r>
      <w:r w:rsidR="00F929D5" w:rsidRPr="00DA50E0">
        <w:rPr>
          <w:rFonts w:asciiTheme="minorHAnsi" w:hAnsiTheme="minorHAnsi" w:cstheme="minorHAnsi"/>
          <w:sz w:val="22"/>
          <w:szCs w:val="22"/>
        </w:rPr>
        <w:t xml:space="preserve"> </w:t>
      </w:r>
      <w:r w:rsidR="00E31FBB" w:rsidRPr="00DA50E0">
        <w:rPr>
          <w:rFonts w:asciiTheme="minorHAnsi" w:hAnsiTheme="minorHAnsi" w:cstheme="minorHAnsi"/>
          <w:sz w:val="22"/>
          <w:szCs w:val="22"/>
        </w:rPr>
        <w:t>(</w:t>
      </w:r>
      <w:r w:rsidR="00E31FBB" w:rsidRPr="00DA50E0">
        <w:rPr>
          <w:rFonts w:asciiTheme="minorHAnsi" w:hAnsiTheme="minorHAnsi" w:cstheme="minorHAnsi"/>
          <w:b/>
          <w:bCs/>
          <w:sz w:val="22"/>
          <w:szCs w:val="22"/>
        </w:rPr>
        <w:t>Figure 1</w:t>
      </w:r>
      <w:r w:rsidR="00E31FBB" w:rsidRPr="00DA50E0">
        <w:rPr>
          <w:rFonts w:asciiTheme="minorHAnsi" w:hAnsiTheme="minorHAnsi" w:cstheme="minorHAnsi"/>
          <w:sz w:val="22"/>
          <w:szCs w:val="22"/>
        </w:rPr>
        <w:t xml:space="preserve">).  </w:t>
      </w:r>
      <w:r w:rsidR="003978C2" w:rsidRPr="00DA50E0">
        <w:rPr>
          <w:rFonts w:asciiTheme="minorHAnsi" w:hAnsiTheme="minorHAnsi" w:cstheme="minorHAnsi"/>
          <w:sz w:val="22"/>
          <w:szCs w:val="22"/>
        </w:rPr>
        <w:t xml:space="preserve">Net of </w:t>
      </w:r>
      <w:proofErr w:type="gramStart"/>
      <w:r w:rsidR="003978C2" w:rsidRPr="00DA50E0">
        <w:rPr>
          <w:rFonts w:asciiTheme="minorHAnsi" w:hAnsiTheme="minorHAnsi" w:cstheme="minorHAnsi"/>
          <w:sz w:val="22"/>
          <w:szCs w:val="22"/>
        </w:rPr>
        <w:t>energy and fruit</w:t>
      </w:r>
      <w:proofErr w:type="gramEnd"/>
      <w:r w:rsidR="003978C2" w:rsidRPr="00DA50E0">
        <w:rPr>
          <w:rFonts w:asciiTheme="minorHAnsi" w:hAnsiTheme="minorHAnsi" w:cstheme="minorHAnsi"/>
          <w:sz w:val="22"/>
          <w:szCs w:val="22"/>
        </w:rPr>
        <w:t xml:space="preserve"> and vegetables, </w:t>
      </w:r>
      <w:r w:rsidR="00E31FBB" w:rsidRPr="00DA50E0">
        <w:rPr>
          <w:rFonts w:asciiTheme="minorHAnsi" w:hAnsiTheme="minorHAnsi" w:cstheme="minorHAnsi"/>
          <w:sz w:val="22"/>
          <w:szCs w:val="22"/>
        </w:rPr>
        <w:t xml:space="preserve">the annual </w:t>
      </w:r>
      <w:r w:rsidR="003978C2" w:rsidRPr="00DA50E0">
        <w:rPr>
          <w:rFonts w:asciiTheme="minorHAnsi" w:hAnsiTheme="minorHAnsi" w:cstheme="minorHAnsi"/>
          <w:sz w:val="22"/>
          <w:szCs w:val="22"/>
        </w:rPr>
        <w:t xml:space="preserve">inflation </w:t>
      </w:r>
      <w:r w:rsidR="00E31FBB" w:rsidRPr="00DA50E0">
        <w:rPr>
          <w:rFonts w:asciiTheme="minorHAnsi" w:hAnsiTheme="minorHAnsi" w:cstheme="minorHAnsi"/>
          <w:sz w:val="22"/>
          <w:szCs w:val="22"/>
        </w:rPr>
        <w:t xml:space="preserve">rate </w:t>
      </w:r>
      <w:r w:rsidR="00221F10" w:rsidRPr="00DA50E0">
        <w:rPr>
          <w:rFonts w:asciiTheme="minorHAnsi" w:hAnsiTheme="minorHAnsi" w:cstheme="minorHAnsi"/>
          <w:sz w:val="22"/>
          <w:szCs w:val="22"/>
        </w:rPr>
        <w:t>i</w:t>
      </w:r>
      <w:r w:rsidR="00BE5BD6" w:rsidRPr="00DA50E0">
        <w:rPr>
          <w:rFonts w:asciiTheme="minorHAnsi" w:hAnsiTheme="minorHAnsi" w:cstheme="minorHAnsi"/>
          <w:sz w:val="22"/>
          <w:szCs w:val="22"/>
        </w:rPr>
        <w:t>s</w:t>
      </w:r>
      <w:r w:rsidR="00F557EC" w:rsidRPr="00DA50E0">
        <w:rPr>
          <w:rFonts w:asciiTheme="minorHAnsi" w:hAnsiTheme="minorHAnsi" w:cstheme="minorHAnsi"/>
          <w:sz w:val="22"/>
          <w:szCs w:val="22"/>
        </w:rPr>
        <w:t xml:space="preserve"> </w:t>
      </w:r>
      <w:r w:rsidRPr="00DA50E0">
        <w:rPr>
          <w:rFonts w:asciiTheme="minorHAnsi" w:hAnsiTheme="minorHAnsi" w:cstheme="minorHAnsi"/>
          <w:sz w:val="22"/>
          <w:szCs w:val="22"/>
        </w:rPr>
        <w:t>1.6</w:t>
      </w:r>
      <w:r w:rsidR="00221F10" w:rsidRPr="00DA50E0">
        <w:rPr>
          <w:rFonts w:asciiTheme="minorHAnsi" w:hAnsiTheme="minorHAnsi" w:cstheme="minorHAnsi"/>
          <w:sz w:val="22"/>
          <w:szCs w:val="22"/>
        </w:rPr>
        <w:t xml:space="preserve"> </w:t>
      </w:r>
      <w:r w:rsidR="003978C2" w:rsidRPr="00DA50E0">
        <w:rPr>
          <w:rFonts w:asciiTheme="minorHAnsi" w:hAnsiTheme="minorHAnsi" w:cstheme="minorHAnsi"/>
          <w:sz w:val="22"/>
          <w:szCs w:val="22"/>
        </w:rPr>
        <w:t>percent</w:t>
      </w:r>
      <w:r w:rsidR="009775A1" w:rsidRPr="00DA50E0">
        <w:rPr>
          <w:rFonts w:asciiTheme="minorHAnsi" w:hAnsiTheme="minorHAnsi" w:cstheme="minorHAnsi"/>
          <w:sz w:val="22"/>
          <w:szCs w:val="22"/>
        </w:rPr>
        <w:t xml:space="preserve"> </w:t>
      </w:r>
      <w:r w:rsidR="003978C2" w:rsidRPr="00DA50E0">
        <w:rPr>
          <w:rFonts w:asciiTheme="minorHAnsi" w:hAnsiTheme="minorHAnsi" w:cstheme="minorHAnsi"/>
          <w:sz w:val="22"/>
          <w:szCs w:val="22"/>
        </w:rPr>
        <w:t>(</w:t>
      </w:r>
      <w:r w:rsidR="003978C2" w:rsidRPr="00DA50E0">
        <w:rPr>
          <w:rFonts w:asciiTheme="minorHAnsi" w:hAnsiTheme="minorHAnsi" w:cstheme="minorHAnsi"/>
          <w:b/>
          <w:bCs/>
          <w:sz w:val="22"/>
          <w:szCs w:val="22"/>
        </w:rPr>
        <w:t>Figure 2</w:t>
      </w:r>
      <w:r w:rsidR="003978C2" w:rsidRPr="00DA50E0">
        <w:rPr>
          <w:rFonts w:asciiTheme="minorHAnsi" w:hAnsiTheme="minorHAnsi" w:cstheme="minorHAnsi"/>
          <w:sz w:val="22"/>
          <w:szCs w:val="22"/>
        </w:rPr>
        <w:t>).</w:t>
      </w:r>
      <w:r w:rsidR="0071424E" w:rsidRPr="00DA50E0">
        <w:rPr>
          <w:rFonts w:asciiTheme="minorHAnsi" w:hAnsiTheme="minorHAnsi" w:cstheme="minorHAnsi"/>
          <w:sz w:val="22"/>
          <w:szCs w:val="22"/>
        </w:rPr>
        <w:t xml:space="preserve"> </w:t>
      </w:r>
      <w:r w:rsidR="000F3CD2" w:rsidRPr="00DA50E0">
        <w:rPr>
          <w:rFonts w:asciiTheme="minorHAnsi" w:hAnsiTheme="minorHAnsi" w:cstheme="minorHAnsi"/>
          <w:sz w:val="22"/>
          <w:szCs w:val="22"/>
        </w:rPr>
        <w:t>The annual inflation rate</w:t>
      </w:r>
      <w:r w:rsidR="00E201C7" w:rsidRPr="00DA50E0">
        <w:rPr>
          <w:rFonts w:asciiTheme="minorHAnsi" w:hAnsiTheme="minorHAnsi" w:cstheme="minorHAnsi"/>
          <w:sz w:val="22"/>
          <w:szCs w:val="22"/>
        </w:rPr>
        <w:t xml:space="preserve"> of</w:t>
      </w:r>
      <w:r w:rsidR="000F3CD2" w:rsidRPr="00DA50E0">
        <w:rPr>
          <w:rFonts w:asciiTheme="minorHAnsi" w:hAnsiTheme="minorHAnsi" w:cstheme="minorHAnsi"/>
          <w:sz w:val="22"/>
          <w:szCs w:val="22"/>
        </w:rPr>
        <w:t xml:space="preserve"> nontradable components</w:t>
      </w:r>
      <w:r w:rsidR="00E201C7" w:rsidRPr="00DA50E0">
        <w:rPr>
          <w:rFonts w:asciiTheme="minorHAnsi" w:hAnsiTheme="minorHAnsi" w:cstheme="minorHAnsi"/>
          <w:sz w:val="22"/>
          <w:szCs w:val="22"/>
        </w:rPr>
        <w:t xml:space="preserve"> </w:t>
      </w:r>
      <w:r w:rsidR="005D7167" w:rsidRPr="00DA50E0">
        <w:rPr>
          <w:rFonts w:asciiTheme="minorHAnsi" w:hAnsiTheme="minorHAnsi" w:cstheme="minorHAnsi"/>
          <w:sz w:val="22"/>
          <w:szCs w:val="22"/>
        </w:rPr>
        <w:t>was</w:t>
      </w:r>
      <w:r w:rsidR="00221F10" w:rsidRPr="00DA50E0">
        <w:rPr>
          <w:rFonts w:asciiTheme="minorHAnsi" w:hAnsiTheme="minorHAnsi" w:cstheme="minorHAnsi"/>
          <w:sz w:val="22"/>
          <w:szCs w:val="22"/>
        </w:rPr>
        <w:t xml:space="preserve"> </w:t>
      </w:r>
      <w:r w:rsidRPr="00DA50E0">
        <w:rPr>
          <w:rFonts w:asciiTheme="minorHAnsi" w:hAnsiTheme="minorHAnsi" w:cstheme="minorHAnsi"/>
          <w:sz w:val="22"/>
          <w:szCs w:val="22"/>
        </w:rPr>
        <w:t>2.9</w:t>
      </w:r>
      <w:r w:rsidR="00E201C7" w:rsidRPr="00DA50E0">
        <w:rPr>
          <w:rFonts w:asciiTheme="minorHAnsi" w:hAnsiTheme="minorHAnsi" w:cstheme="minorHAnsi"/>
          <w:sz w:val="22"/>
          <w:szCs w:val="22"/>
        </w:rPr>
        <w:t xml:space="preserve"> percent</w:t>
      </w:r>
      <w:r w:rsidR="006F21A7" w:rsidRPr="00DA50E0">
        <w:rPr>
          <w:rFonts w:asciiTheme="minorHAnsi" w:hAnsiTheme="minorHAnsi" w:cstheme="minorHAnsi"/>
          <w:sz w:val="22"/>
          <w:szCs w:val="22"/>
        </w:rPr>
        <w:t>,</w:t>
      </w:r>
      <w:r w:rsidR="00F167EB" w:rsidRPr="00DA50E0">
        <w:rPr>
          <w:rFonts w:asciiTheme="minorHAnsi" w:hAnsiTheme="minorHAnsi" w:cstheme="minorHAnsi"/>
          <w:sz w:val="22"/>
          <w:szCs w:val="22"/>
        </w:rPr>
        <w:t xml:space="preserve"> </w:t>
      </w:r>
      <w:r w:rsidR="006F21A7" w:rsidRPr="00DA50E0">
        <w:rPr>
          <w:rFonts w:asciiTheme="minorHAnsi" w:hAnsiTheme="minorHAnsi" w:cstheme="minorHAnsi"/>
          <w:sz w:val="22"/>
          <w:szCs w:val="22"/>
        </w:rPr>
        <w:t>and</w:t>
      </w:r>
      <w:r w:rsidR="00E201C7" w:rsidRPr="00DA50E0">
        <w:rPr>
          <w:rFonts w:asciiTheme="minorHAnsi" w:hAnsiTheme="minorHAnsi" w:cstheme="minorHAnsi"/>
          <w:sz w:val="22"/>
          <w:szCs w:val="22"/>
        </w:rPr>
        <w:t xml:space="preserve"> </w:t>
      </w:r>
      <w:r w:rsidR="006F21A7" w:rsidRPr="00DA50E0">
        <w:rPr>
          <w:rFonts w:asciiTheme="minorHAnsi" w:hAnsiTheme="minorHAnsi" w:cstheme="minorHAnsi"/>
          <w:sz w:val="22"/>
          <w:szCs w:val="22"/>
        </w:rPr>
        <w:t>t</w:t>
      </w:r>
      <w:r w:rsidR="00E201C7" w:rsidRPr="00DA50E0">
        <w:rPr>
          <w:rFonts w:asciiTheme="minorHAnsi" w:hAnsiTheme="minorHAnsi" w:cstheme="minorHAnsi"/>
          <w:sz w:val="22"/>
          <w:szCs w:val="22"/>
        </w:rPr>
        <w:t xml:space="preserve">he annual pace of inflation of the tradable components </w:t>
      </w:r>
      <w:r w:rsidR="005D7167" w:rsidRPr="00DA50E0">
        <w:rPr>
          <w:rFonts w:asciiTheme="minorHAnsi" w:hAnsiTheme="minorHAnsi" w:cstheme="minorHAnsi"/>
          <w:sz w:val="22"/>
          <w:szCs w:val="22"/>
        </w:rPr>
        <w:t>was</w:t>
      </w:r>
      <w:r w:rsidR="00DD34A2" w:rsidRPr="00DA50E0">
        <w:rPr>
          <w:rFonts w:asciiTheme="minorHAnsi" w:hAnsiTheme="minorHAnsi" w:cstheme="minorHAnsi"/>
          <w:sz w:val="22"/>
          <w:szCs w:val="22"/>
        </w:rPr>
        <w:t xml:space="preserve"> </w:t>
      </w:r>
      <w:r w:rsidRPr="00DA50E0">
        <w:rPr>
          <w:rFonts w:asciiTheme="minorHAnsi" w:hAnsiTheme="minorHAnsi" w:cstheme="minorHAnsi"/>
          <w:sz w:val="22"/>
          <w:szCs w:val="22"/>
        </w:rPr>
        <w:t>0.4</w:t>
      </w:r>
      <w:r w:rsidR="007E55D1" w:rsidRPr="00DA50E0">
        <w:rPr>
          <w:rFonts w:asciiTheme="minorHAnsi" w:hAnsiTheme="minorHAnsi" w:cstheme="minorHAnsi"/>
          <w:sz w:val="22"/>
          <w:szCs w:val="22"/>
        </w:rPr>
        <w:t xml:space="preserve"> percent</w:t>
      </w:r>
      <w:r w:rsidR="00651161" w:rsidRPr="00DA50E0">
        <w:rPr>
          <w:rFonts w:asciiTheme="minorHAnsi" w:hAnsiTheme="minorHAnsi" w:cstheme="minorHAnsi"/>
          <w:sz w:val="22"/>
          <w:szCs w:val="22"/>
        </w:rPr>
        <w:t xml:space="preserve"> (</w:t>
      </w:r>
      <w:r w:rsidR="00651161" w:rsidRPr="00DA50E0">
        <w:rPr>
          <w:rFonts w:asciiTheme="minorHAnsi" w:hAnsiTheme="minorHAnsi" w:cstheme="minorHAnsi"/>
          <w:b/>
          <w:bCs/>
          <w:sz w:val="22"/>
          <w:szCs w:val="22"/>
        </w:rPr>
        <w:t>Figure</w:t>
      </w:r>
      <w:r w:rsidR="00332016" w:rsidRPr="00DA50E0">
        <w:rPr>
          <w:rFonts w:asciiTheme="minorHAnsi" w:hAnsiTheme="minorHAnsi" w:cstheme="minorHAnsi"/>
          <w:b/>
          <w:bCs/>
          <w:sz w:val="22"/>
          <w:szCs w:val="22"/>
        </w:rPr>
        <w:t xml:space="preserve"> </w:t>
      </w:r>
      <w:r w:rsidR="00F557EC" w:rsidRPr="00DA50E0">
        <w:rPr>
          <w:rFonts w:asciiTheme="minorHAnsi" w:hAnsiTheme="minorHAnsi" w:cstheme="minorHAnsi"/>
          <w:b/>
          <w:bCs/>
          <w:sz w:val="22"/>
          <w:szCs w:val="22"/>
        </w:rPr>
        <w:t>3</w:t>
      </w:r>
      <w:r w:rsidR="00651161" w:rsidRPr="00DA50E0">
        <w:rPr>
          <w:rFonts w:asciiTheme="minorHAnsi" w:hAnsiTheme="minorHAnsi" w:cstheme="minorHAnsi"/>
          <w:sz w:val="22"/>
          <w:szCs w:val="22"/>
        </w:rPr>
        <w:t>).</w:t>
      </w:r>
      <w:r w:rsidR="00A34B91" w:rsidRPr="00DA50E0">
        <w:rPr>
          <w:rFonts w:asciiTheme="minorHAnsi" w:hAnsiTheme="minorHAnsi" w:cstheme="minorHAnsi"/>
          <w:sz w:val="22"/>
          <w:szCs w:val="22"/>
        </w:rPr>
        <w:t xml:space="preserve"> </w:t>
      </w:r>
      <w:r w:rsidRPr="00DA50E0">
        <w:rPr>
          <w:rFonts w:asciiTheme="minorHAnsi" w:hAnsiTheme="minorHAnsi" w:cstheme="minorHAnsi"/>
          <w:sz w:val="22"/>
          <w:szCs w:val="22"/>
        </w:rPr>
        <w:t xml:space="preserve">According to </w:t>
      </w:r>
      <w:r w:rsidR="00611531" w:rsidRPr="00DA50E0">
        <w:rPr>
          <w:rFonts w:asciiTheme="minorHAnsi" w:hAnsiTheme="minorHAnsi" w:cstheme="minorHAnsi"/>
          <w:sz w:val="22"/>
          <w:szCs w:val="22"/>
        </w:rPr>
        <w:t>forecasters</w:t>
      </w:r>
      <w:r w:rsidRPr="00DA50E0">
        <w:rPr>
          <w:rFonts w:asciiTheme="minorHAnsi" w:hAnsiTheme="minorHAnsi" w:cstheme="minorHAnsi"/>
          <w:sz w:val="22"/>
          <w:szCs w:val="22"/>
        </w:rPr>
        <w:t xml:space="preserve">’ assessments, inflation </w:t>
      </w:r>
      <w:proofErr w:type="gramStart"/>
      <w:r w:rsidRPr="00DA50E0">
        <w:rPr>
          <w:rFonts w:asciiTheme="minorHAnsi" w:hAnsiTheme="minorHAnsi" w:cstheme="minorHAnsi"/>
          <w:sz w:val="22"/>
          <w:szCs w:val="22"/>
        </w:rPr>
        <w:t>is expected</w:t>
      </w:r>
      <w:proofErr w:type="gramEnd"/>
      <w:r w:rsidRPr="00DA50E0">
        <w:rPr>
          <w:rFonts w:asciiTheme="minorHAnsi" w:hAnsiTheme="minorHAnsi" w:cstheme="minorHAnsi"/>
          <w:sz w:val="22"/>
          <w:szCs w:val="22"/>
        </w:rPr>
        <w:t xml:space="preserve"> to remain slightly below the midpoint of the target range in the coming months</w:t>
      </w:r>
      <w:r w:rsidR="00221F10" w:rsidRPr="00DA50E0">
        <w:rPr>
          <w:rFonts w:asciiTheme="minorHAnsi" w:hAnsiTheme="minorHAnsi" w:cstheme="minorHAnsi"/>
          <w:sz w:val="22"/>
          <w:szCs w:val="22"/>
        </w:rPr>
        <w:t xml:space="preserve"> </w:t>
      </w:r>
      <w:r w:rsidR="00610A83" w:rsidRPr="00DA50E0">
        <w:rPr>
          <w:rFonts w:asciiTheme="minorHAnsi" w:hAnsiTheme="minorHAnsi" w:cstheme="minorHAnsi"/>
          <w:sz w:val="22"/>
          <w:szCs w:val="22"/>
        </w:rPr>
        <w:t>(</w:t>
      </w:r>
      <w:r w:rsidR="00610A83" w:rsidRPr="00DA50E0">
        <w:rPr>
          <w:rFonts w:asciiTheme="minorHAnsi" w:hAnsiTheme="minorHAnsi" w:cstheme="minorHAnsi"/>
          <w:b/>
          <w:bCs/>
          <w:sz w:val="22"/>
          <w:szCs w:val="22"/>
        </w:rPr>
        <w:t>Figure 5</w:t>
      </w:r>
      <w:r w:rsidR="00610A83" w:rsidRPr="00DA50E0">
        <w:rPr>
          <w:rFonts w:asciiTheme="minorHAnsi" w:hAnsiTheme="minorHAnsi" w:cstheme="minorHAnsi"/>
          <w:sz w:val="22"/>
          <w:szCs w:val="22"/>
        </w:rPr>
        <w:t>).</w:t>
      </w:r>
      <w:r w:rsidR="0054460C" w:rsidRPr="00DA50E0">
        <w:rPr>
          <w:rFonts w:asciiTheme="minorHAnsi" w:hAnsiTheme="minorHAnsi" w:cstheme="minorHAnsi"/>
          <w:sz w:val="22"/>
          <w:szCs w:val="22"/>
        </w:rPr>
        <w:t xml:space="preserve"> </w:t>
      </w:r>
      <w:r w:rsidR="00D44977" w:rsidRPr="00DA50E0">
        <w:rPr>
          <w:rFonts w:asciiTheme="minorHAnsi" w:hAnsiTheme="minorHAnsi" w:cstheme="minorHAnsi"/>
          <w:sz w:val="22"/>
          <w:szCs w:val="22"/>
        </w:rPr>
        <w:t>I</w:t>
      </w:r>
      <w:r w:rsidR="00CC1BEA" w:rsidRPr="00DA50E0">
        <w:rPr>
          <w:rFonts w:asciiTheme="minorHAnsi" w:hAnsiTheme="minorHAnsi" w:cstheme="minorHAnsi"/>
          <w:sz w:val="22"/>
          <w:szCs w:val="22"/>
        </w:rPr>
        <w:t xml:space="preserve">nflation expectations for </w:t>
      </w:r>
      <w:r w:rsidR="0007516C" w:rsidRPr="00DA50E0">
        <w:rPr>
          <w:rFonts w:asciiTheme="minorHAnsi" w:hAnsiTheme="minorHAnsi" w:cstheme="minorHAnsi"/>
          <w:sz w:val="22"/>
          <w:szCs w:val="22"/>
        </w:rPr>
        <w:t>one year forward</w:t>
      </w:r>
      <w:r w:rsidR="00CC1BEA" w:rsidRPr="00DA50E0">
        <w:rPr>
          <w:rFonts w:asciiTheme="minorHAnsi" w:hAnsiTheme="minorHAnsi" w:cstheme="minorHAnsi"/>
          <w:sz w:val="22"/>
          <w:szCs w:val="22"/>
        </w:rPr>
        <w:t xml:space="preserve"> </w:t>
      </w:r>
      <w:r w:rsidR="00D44977" w:rsidRPr="00DA50E0">
        <w:rPr>
          <w:rFonts w:asciiTheme="minorHAnsi" w:hAnsiTheme="minorHAnsi" w:cstheme="minorHAnsi"/>
          <w:sz w:val="22"/>
          <w:szCs w:val="22"/>
        </w:rPr>
        <w:t xml:space="preserve">from </w:t>
      </w:r>
      <w:r w:rsidR="00221F10" w:rsidRPr="00DA50E0">
        <w:rPr>
          <w:rFonts w:asciiTheme="minorHAnsi" w:hAnsiTheme="minorHAnsi" w:cstheme="minorHAnsi"/>
          <w:sz w:val="22"/>
          <w:szCs w:val="22"/>
        </w:rPr>
        <w:t xml:space="preserve">the </w:t>
      </w:r>
      <w:r w:rsidR="00D44977" w:rsidRPr="00DA50E0">
        <w:rPr>
          <w:rFonts w:asciiTheme="minorHAnsi" w:hAnsiTheme="minorHAnsi" w:cstheme="minorHAnsi"/>
          <w:sz w:val="22"/>
          <w:szCs w:val="22"/>
        </w:rPr>
        <w:t xml:space="preserve">various sources </w:t>
      </w:r>
      <w:r w:rsidR="005D7167" w:rsidRPr="00DA50E0">
        <w:rPr>
          <w:rFonts w:asciiTheme="minorHAnsi" w:hAnsiTheme="minorHAnsi" w:cstheme="minorHAnsi"/>
          <w:sz w:val="22"/>
          <w:szCs w:val="22"/>
        </w:rPr>
        <w:t>are</w:t>
      </w:r>
      <w:r w:rsidRPr="00DA50E0">
        <w:rPr>
          <w:rFonts w:asciiTheme="minorHAnsi" w:hAnsiTheme="minorHAnsi" w:cstheme="minorHAnsi"/>
          <w:sz w:val="22"/>
          <w:szCs w:val="22"/>
        </w:rPr>
        <w:t xml:space="preserve"> below</w:t>
      </w:r>
      <w:r w:rsidR="00D44977" w:rsidRPr="00DA50E0">
        <w:rPr>
          <w:rFonts w:asciiTheme="minorHAnsi" w:hAnsiTheme="minorHAnsi" w:cstheme="minorHAnsi"/>
          <w:sz w:val="22"/>
          <w:szCs w:val="22"/>
        </w:rPr>
        <w:t xml:space="preserve"> the midpoint of</w:t>
      </w:r>
      <w:r w:rsidR="00E31FBB" w:rsidRPr="00DA50E0">
        <w:rPr>
          <w:rFonts w:asciiTheme="minorHAnsi" w:hAnsiTheme="minorHAnsi" w:cstheme="minorHAnsi"/>
          <w:sz w:val="22"/>
          <w:szCs w:val="22"/>
        </w:rPr>
        <w:t xml:space="preserve"> </w:t>
      </w:r>
      <w:r w:rsidR="00CC1BEA" w:rsidRPr="00DA50E0">
        <w:rPr>
          <w:rFonts w:asciiTheme="minorHAnsi" w:hAnsiTheme="minorHAnsi" w:cstheme="minorHAnsi"/>
          <w:sz w:val="22"/>
          <w:szCs w:val="22"/>
        </w:rPr>
        <w:t>the target range (</w:t>
      </w:r>
      <w:r w:rsidR="00CC1BEA" w:rsidRPr="00DA50E0">
        <w:rPr>
          <w:rFonts w:asciiTheme="minorHAnsi" w:hAnsiTheme="minorHAnsi" w:cstheme="minorHAnsi"/>
          <w:b/>
          <w:bCs/>
          <w:sz w:val="22"/>
          <w:szCs w:val="22"/>
        </w:rPr>
        <w:t>Figure 6</w:t>
      </w:r>
      <w:r w:rsidR="00CC1BEA" w:rsidRPr="00DA50E0">
        <w:rPr>
          <w:rFonts w:asciiTheme="minorHAnsi" w:hAnsiTheme="minorHAnsi" w:cstheme="minorHAnsi"/>
          <w:sz w:val="22"/>
          <w:szCs w:val="22"/>
        </w:rPr>
        <w:t xml:space="preserve">).  Expectations for the second year onward </w:t>
      </w:r>
      <w:r w:rsidRPr="00DA50E0">
        <w:rPr>
          <w:rFonts w:asciiTheme="minorHAnsi" w:hAnsiTheme="minorHAnsi" w:cstheme="minorHAnsi"/>
          <w:sz w:val="22"/>
          <w:szCs w:val="22"/>
        </w:rPr>
        <w:t xml:space="preserve">are </w:t>
      </w:r>
      <w:r w:rsidR="008470C0" w:rsidRPr="00DA50E0">
        <w:rPr>
          <w:rFonts w:asciiTheme="minorHAnsi" w:hAnsiTheme="minorHAnsi" w:cstheme="minorHAnsi"/>
          <w:sz w:val="22"/>
          <w:szCs w:val="22"/>
        </w:rPr>
        <w:t xml:space="preserve">also </w:t>
      </w:r>
      <w:r w:rsidRPr="00DA50E0">
        <w:rPr>
          <w:rFonts w:asciiTheme="minorHAnsi" w:hAnsiTheme="minorHAnsi" w:cstheme="minorHAnsi"/>
          <w:sz w:val="22"/>
          <w:szCs w:val="22"/>
        </w:rPr>
        <w:t>slightly below t</w:t>
      </w:r>
      <w:r w:rsidR="00075EFC" w:rsidRPr="00DA50E0">
        <w:rPr>
          <w:rFonts w:asciiTheme="minorHAnsi" w:hAnsiTheme="minorHAnsi" w:cstheme="minorHAnsi"/>
          <w:sz w:val="22"/>
          <w:szCs w:val="22"/>
        </w:rPr>
        <w:t>he midpoint of the target range</w:t>
      </w:r>
      <w:r w:rsidR="00221F10" w:rsidRPr="00DA50E0">
        <w:rPr>
          <w:rFonts w:asciiTheme="minorHAnsi" w:hAnsiTheme="minorHAnsi" w:cstheme="minorHAnsi"/>
          <w:sz w:val="22"/>
          <w:szCs w:val="22"/>
        </w:rPr>
        <w:t xml:space="preserve"> </w:t>
      </w:r>
      <w:r w:rsidR="00CC1BEA" w:rsidRPr="00DA50E0">
        <w:rPr>
          <w:rFonts w:asciiTheme="minorHAnsi" w:hAnsiTheme="minorHAnsi" w:cstheme="minorHAnsi"/>
          <w:sz w:val="22"/>
          <w:szCs w:val="22"/>
        </w:rPr>
        <w:t>(</w:t>
      </w:r>
      <w:r w:rsidR="00CC1BEA" w:rsidRPr="00DA50E0">
        <w:rPr>
          <w:rFonts w:asciiTheme="minorHAnsi" w:hAnsiTheme="minorHAnsi" w:cstheme="minorHAnsi"/>
          <w:b/>
          <w:bCs/>
          <w:sz w:val="22"/>
          <w:szCs w:val="22"/>
        </w:rPr>
        <w:t>Figure 7</w:t>
      </w:r>
      <w:r w:rsidR="00CC1BEA" w:rsidRPr="00DA50E0">
        <w:rPr>
          <w:rFonts w:asciiTheme="minorHAnsi" w:hAnsiTheme="minorHAnsi" w:cstheme="minorHAnsi"/>
          <w:sz w:val="22"/>
          <w:szCs w:val="22"/>
        </w:rPr>
        <w:t xml:space="preserve">). </w:t>
      </w:r>
      <w:r w:rsidR="00CC1BEA" w:rsidRPr="00DA50E0">
        <w:rPr>
          <w:rFonts w:asciiTheme="minorHAnsi" w:hAnsiTheme="minorHAnsi" w:cstheme="minorHAnsi"/>
          <w:b/>
          <w:bCs/>
          <w:sz w:val="22"/>
          <w:szCs w:val="22"/>
        </w:rPr>
        <w:t xml:space="preserve"> </w:t>
      </w:r>
    </w:p>
    <w:p w:rsidR="00CC1BEA" w:rsidRPr="00DA50E0" w:rsidRDefault="00CC1BEA" w:rsidP="00BD7538">
      <w:pPr>
        <w:pStyle w:val="ac"/>
        <w:bidi w:val="0"/>
        <w:spacing w:line="240" w:lineRule="auto"/>
        <w:ind w:left="0" w:right="-1"/>
        <w:rPr>
          <w:rFonts w:asciiTheme="minorHAnsi" w:hAnsiTheme="minorHAnsi" w:cstheme="minorHAnsi"/>
          <w:sz w:val="22"/>
          <w:szCs w:val="22"/>
        </w:rPr>
      </w:pPr>
    </w:p>
    <w:p w:rsidR="00CC1BEA" w:rsidRPr="00DA50E0" w:rsidRDefault="00221F10" w:rsidP="001B2460">
      <w:pPr>
        <w:pStyle w:val="ac"/>
        <w:bidi w:val="0"/>
        <w:spacing w:line="240" w:lineRule="auto"/>
        <w:ind w:left="0"/>
        <w:rPr>
          <w:rFonts w:asciiTheme="minorHAnsi" w:hAnsiTheme="minorHAnsi" w:cstheme="minorHAnsi"/>
          <w:color w:val="242424"/>
          <w:sz w:val="22"/>
          <w:szCs w:val="22"/>
        </w:rPr>
      </w:pPr>
      <w:r w:rsidRPr="00DA50E0">
        <w:rPr>
          <w:rFonts w:asciiTheme="minorHAnsi" w:hAnsiTheme="minorHAnsi" w:cstheme="minorHAnsi"/>
          <w:color w:val="242424"/>
          <w:sz w:val="22"/>
          <w:szCs w:val="22"/>
        </w:rPr>
        <w:t>Since the previous interest rate decision</w:t>
      </w:r>
      <w:r w:rsidR="001B2460" w:rsidRPr="00DA50E0">
        <w:rPr>
          <w:rFonts w:asciiTheme="minorHAnsi" w:hAnsiTheme="minorHAnsi" w:cstheme="minorHAnsi"/>
          <w:color w:val="242424"/>
          <w:sz w:val="22"/>
          <w:szCs w:val="22"/>
        </w:rPr>
        <w:t xml:space="preserve"> (the representative exchange rate set on May 21, 2026)</w:t>
      </w:r>
      <w:r w:rsidRPr="00DA50E0">
        <w:rPr>
          <w:rFonts w:asciiTheme="minorHAnsi" w:hAnsiTheme="minorHAnsi" w:cstheme="minorHAnsi"/>
          <w:color w:val="242424"/>
          <w:sz w:val="22"/>
          <w:szCs w:val="22"/>
        </w:rPr>
        <w:t xml:space="preserve">, the shekel has </w:t>
      </w:r>
      <w:r w:rsidR="00315216" w:rsidRPr="00DA50E0">
        <w:rPr>
          <w:rFonts w:asciiTheme="minorHAnsi" w:hAnsiTheme="minorHAnsi" w:cstheme="minorHAnsi"/>
          <w:color w:val="242424"/>
          <w:sz w:val="22"/>
          <w:szCs w:val="22"/>
        </w:rPr>
        <w:t>weakened</w:t>
      </w:r>
      <w:r w:rsidRPr="00DA50E0">
        <w:rPr>
          <w:rFonts w:asciiTheme="minorHAnsi" w:hAnsiTheme="minorHAnsi" w:cstheme="minorHAnsi"/>
          <w:color w:val="242424"/>
          <w:sz w:val="22"/>
          <w:szCs w:val="22"/>
        </w:rPr>
        <w:t xml:space="preserve"> by </w:t>
      </w:r>
      <w:r w:rsidR="001B2460" w:rsidRPr="00DA50E0">
        <w:rPr>
          <w:rFonts w:asciiTheme="minorHAnsi" w:hAnsiTheme="minorHAnsi" w:cstheme="minorHAnsi"/>
          <w:color w:val="242424"/>
          <w:sz w:val="22"/>
          <w:szCs w:val="22"/>
        </w:rPr>
        <w:t>3.1</w:t>
      </w:r>
      <w:r w:rsidRPr="00DA50E0">
        <w:rPr>
          <w:rFonts w:asciiTheme="minorHAnsi" w:hAnsiTheme="minorHAnsi" w:cstheme="minorHAnsi"/>
          <w:color w:val="242424"/>
          <w:sz w:val="22"/>
          <w:szCs w:val="22"/>
        </w:rPr>
        <w:t xml:space="preserve"> percent against the US dollar</w:t>
      </w:r>
      <w:r w:rsidR="00315216" w:rsidRPr="00DA50E0">
        <w:rPr>
          <w:rFonts w:asciiTheme="minorHAnsi" w:hAnsiTheme="minorHAnsi" w:cstheme="minorHAnsi"/>
          <w:color w:val="242424"/>
          <w:sz w:val="22"/>
          <w:szCs w:val="22"/>
        </w:rPr>
        <w:t xml:space="preserve"> </w:t>
      </w:r>
      <w:r w:rsidR="001B2460" w:rsidRPr="00DA50E0">
        <w:rPr>
          <w:rFonts w:asciiTheme="minorHAnsi" w:hAnsiTheme="minorHAnsi" w:cstheme="minorHAnsi"/>
          <w:color w:val="242424"/>
          <w:sz w:val="22"/>
          <w:szCs w:val="22"/>
        </w:rPr>
        <w:t>and</w:t>
      </w:r>
      <w:r w:rsidR="000258A8" w:rsidRPr="00DA50E0">
        <w:rPr>
          <w:rFonts w:asciiTheme="minorHAnsi" w:hAnsiTheme="minorHAnsi" w:cstheme="minorHAnsi"/>
          <w:color w:val="242424"/>
          <w:sz w:val="22"/>
          <w:szCs w:val="22"/>
        </w:rPr>
        <w:t xml:space="preserve"> </w:t>
      </w:r>
      <w:r w:rsidRPr="00DA50E0">
        <w:rPr>
          <w:rFonts w:asciiTheme="minorHAnsi" w:hAnsiTheme="minorHAnsi" w:cstheme="minorHAnsi"/>
          <w:color w:val="242424"/>
          <w:sz w:val="22"/>
          <w:szCs w:val="22"/>
        </w:rPr>
        <w:t xml:space="preserve">by </w:t>
      </w:r>
      <w:r w:rsidR="00A40585" w:rsidRPr="00DA50E0">
        <w:rPr>
          <w:rFonts w:asciiTheme="minorHAnsi" w:hAnsiTheme="minorHAnsi" w:cstheme="minorHAnsi"/>
          <w:color w:val="242424"/>
          <w:sz w:val="22"/>
          <w:szCs w:val="22"/>
        </w:rPr>
        <w:t>1.</w:t>
      </w:r>
      <w:r w:rsidR="001B2460" w:rsidRPr="00DA50E0">
        <w:rPr>
          <w:rFonts w:asciiTheme="minorHAnsi" w:hAnsiTheme="minorHAnsi" w:cstheme="minorHAnsi"/>
          <w:color w:val="242424"/>
          <w:sz w:val="22"/>
          <w:szCs w:val="22"/>
        </w:rPr>
        <w:t>5</w:t>
      </w:r>
      <w:r w:rsidRPr="00DA50E0">
        <w:rPr>
          <w:rFonts w:asciiTheme="minorHAnsi" w:hAnsiTheme="minorHAnsi" w:cstheme="minorHAnsi"/>
          <w:color w:val="242424"/>
          <w:sz w:val="22"/>
          <w:szCs w:val="22"/>
        </w:rPr>
        <w:t xml:space="preserve"> percent against the euro</w:t>
      </w:r>
      <w:r w:rsidR="00315216" w:rsidRPr="00DA50E0">
        <w:rPr>
          <w:rFonts w:asciiTheme="minorHAnsi" w:hAnsiTheme="minorHAnsi" w:cstheme="minorHAnsi"/>
          <w:color w:val="242424"/>
          <w:sz w:val="22"/>
          <w:szCs w:val="22"/>
        </w:rPr>
        <w:t>,</w:t>
      </w:r>
      <w:r w:rsidRPr="00DA50E0">
        <w:rPr>
          <w:rFonts w:asciiTheme="minorHAnsi" w:hAnsiTheme="minorHAnsi" w:cstheme="minorHAnsi"/>
          <w:color w:val="242424"/>
          <w:sz w:val="22"/>
          <w:szCs w:val="22"/>
        </w:rPr>
        <w:t xml:space="preserve"> </w:t>
      </w:r>
      <w:r w:rsidR="001B2460" w:rsidRPr="00DA50E0">
        <w:rPr>
          <w:rFonts w:asciiTheme="minorHAnsi" w:hAnsiTheme="minorHAnsi" w:cstheme="minorHAnsi"/>
          <w:color w:val="242424"/>
          <w:sz w:val="22"/>
          <w:szCs w:val="22"/>
        </w:rPr>
        <w:t>with volatility during the period after having appreciated markedly at the beginning of the period. I</w:t>
      </w:r>
      <w:r w:rsidRPr="00DA50E0">
        <w:rPr>
          <w:rFonts w:asciiTheme="minorHAnsi" w:hAnsiTheme="minorHAnsi" w:cstheme="minorHAnsi"/>
          <w:color w:val="242424"/>
          <w:sz w:val="22"/>
          <w:szCs w:val="22"/>
        </w:rPr>
        <w:t xml:space="preserve">n terms of the nominal effective </w:t>
      </w:r>
      <w:proofErr w:type="gramStart"/>
      <w:r w:rsidRPr="00DA50E0">
        <w:rPr>
          <w:rFonts w:asciiTheme="minorHAnsi" w:hAnsiTheme="minorHAnsi" w:cstheme="minorHAnsi"/>
          <w:color w:val="242424"/>
          <w:sz w:val="22"/>
          <w:szCs w:val="22"/>
        </w:rPr>
        <w:t>exchange</w:t>
      </w:r>
      <w:proofErr w:type="gramEnd"/>
      <w:r w:rsidRPr="00DA50E0">
        <w:rPr>
          <w:rFonts w:asciiTheme="minorHAnsi" w:hAnsiTheme="minorHAnsi" w:cstheme="minorHAnsi"/>
          <w:color w:val="242424"/>
          <w:sz w:val="22"/>
          <w:szCs w:val="22"/>
        </w:rPr>
        <w:t xml:space="preserve"> rate</w:t>
      </w:r>
      <w:r w:rsidR="001B2460" w:rsidRPr="00DA50E0">
        <w:rPr>
          <w:rFonts w:asciiTheme="minorHAnsi" w:hAnsiTheme="minorHAnsi" w:cstheme="minorHAnsi"/>
          <w:color w:val="242424"/>
          <w:sz w:val="22"/>
          <w:szCs w:val="22"/>
        </w:rPr>
        <w:t xml:space="preserve"> the shekel weakened by 2.1 percent</w:t>
      </w:r>
      <w:r w:rsidRPr="00DA50E0">
        <w:rPr>
          <w:rFonts w:asciiTheme="minorHAnsi" w:hAnsiTheme="minorHAnsi" w:cstheme="minorHAnsi"/>
          <w:color w:val="242424"/>
          <w:sz w:val="22"/>
          <w:szCs w:val="22"/>
        </w:rPr>
        <w:t>.</w:t>
      </w:r>
      <w:r w:rsidR="000258A8" w:rsidRPr="00DA50E0">
        <w:rPr>
          <w:rFonts w:asciiTheme="minorHAnsi" w:hAnsiTheme="minorHAnsi" w:cstheme="minorHAnsi"/>
          <w:color w:val="242424"/>
          <w:sz w:val="22"/>
          <w:szCs w:val="22"/>
        </w:rPr>
        <w:t xml:space="preserve"> </w:t>
      </w:r>
    </w:p>
    <w:p w:rsidR="001B2460" w:rsidRPr="00DA50E0" w:rsidRDefault="001B2460" w:rsidP="001B2460">
      <w:pPr>
        <w:pStyle w:val="ac"/>
        <w:bidi w:val="0"/>
        <w:spacing w:line="240" w:lineRule="auto"/>
        <w:ind w:left="0"/>
        <w:rPr>
          <w:rFonts w:asciiTheme="minorHAnsi" w:hAnsiTheme="minorHAnsi" w:cstheme="minorHAnsi"/>
          <w:color w:val="242424"/>
          <w:sz w:val="22"/>
          <w:szCs w:val="22"/>
        </w:rPr>
      </w:pPr>
    </w:p>
    <w:p w:rsidR="001B2460" w:rsidRPr="00DA50E0" w:rsidRDefault="001B2460" w:rsidP="005D7167">
      <w:pPr>
        <w:pStyle w:val="ac"/>
        <w:bidi w:val="0"/>
        <w:spacing w:line="240" w:lineRule="auto"/>
        <w:ind w:left="0"/>
        <w:rPr>
          <w:rFonts w:asciiTheme="minorHAnsi" w:hAnsiTheme="minorHAnsi" w:cstheme="minorHAnsi"/>
          <w:color w:val="242424"/>
          <w:sz w:val="22"/>
          <w:szCs w:val="22"/>
        </w:rPr>
      </w:pPr>
      <w:r w:rsidRPr="00DA50E0">
        <w:rPr>
          <w:rFonts w:asciiTheme="minorHAnsi" w:hAnsiTheme="minorHAnsi" w:cstheme="minorHAnsi"/>
          <w:color w:val="242424"/>
          <w:sz w:val="22"/>
          <w:szCs w:val="22"/>
        </w:rPr>
        <w:t xml:space="preserve">In the Monetary Committee’s assessment, </w:t>
      </w:r>
      <w:proofErr w:type="gramStart"/>
      <w:r w:rsidRPr="00DA50E0">
        <w:rPr>
          <w:rFonts w:asciiTheme="minorHAnsi" w:hAnsiTheme="minorHAnsi" w:cstheme="minorHAnsi"/>
          <w:color w:val="242424"/>
          <w:sz w:val="22"/>
          <w:szCs w:val="22"/>
        </w:rPr>
        <w:t>there are several factors that</w:t>
      </w:r>
      <w:proofErr w:type="gramEnd"/>
      <w:r w:rsidRPr="00DA50E0">
        <w:rPr>
          <w:rFonts w:asciiTheme="minorHAnsi" w:hAnsiTheme="minorHAnsi" w:cstheme="minorHAnsi"/>
          <w:color w:val="242424"/>
          <w:sz w:val="22"/>
          <w:szCs w:val="22"/>
        </w:rPr>
        <w:t xml:space="preserve"> may influence the development of inflation in opposite directions.  </w:t>
      </w:r>
      <w:r w:rsidR="005D7167" w:rsidRPr="00DA50E0">
        <w:rPr>
          <w:rFonts w:asciiTheme="minorHAnsi" w:hAnsiTheme="minorHAnsi" w:cstheme="minorHAnsi"/>
          <w:color w:val="242424"/>
          <w:sz w:val="22"/>
          <w:szCs w:val="22"/>
        </w:rPr>
        <w:t xml:space="preserve">The inflation environment </w:t>
      </w:r>
      <w:proofErr w:type="gramStart"/>
      <w:r w:rsidR="005D7167" w:rsidRPr="00DA50E0">
        <w:rPr>
          <w:rFonts w:asciiTheme="minorHAnsi" w:hAnsiTheme="minorHAnsi" w:cstheme="minorHAnsi"/>
          <w:color w:val="242424"/>
          <w:sz w:val="22"/>
          <w:szCs w:val="22"/>
        </w:rPr>
        <w:t>is greatly influenced</w:t>
      </w:r>
      <w:proofErr w:type="gramEnd"/>
      <w:r w:rsidR="005D7167" w:rsidRPr="00DA50E0">
        <w:rPr>
          <w:rFonts w:asciiTheme="minorHAnsi" w:hAnsiTheme="minorHAnsi" w:cstheme="minorHAnsi"/>
          <w:color w:val="242424"/>
          <w:sz w:val="22"/>
          <w:szCs w:val="22"/>
        </w:rPr>
        <w:t xml:space="preserve"> by geopolitical developments and their effects on economic activity and on energy prices, by the risk premium and the exchange rate, by the development of demand alongside supply constraints, and by </w:t>
      </w:r>
      <w:r w:rsidRPr="00DA50E0">
        <w:rPr>
          <w:rFonts w:asciiTheme="minorHAnsi" w:hAnsiTheme="minorHAnsi" w:cstheme="minorHAnsi"/>
          <w:color w:val="242424"/>
          <w:sz w:val="22"/>
          <w:szCs w:val="22"/>
        </w:rPr>
        <w:t>fiscal developments.</w:t>
      </w:r>
    </w:p>
    <w:p w:rsidR="00A40585" w:rsidRPr="00DA50E0" w:rsidRDefault="00A40585" w:rsidP="00A40585">
      <w:pPr>
        <w:pStyle w:val="ac"/>
        <w:bidi w:val="0"/>
        <w:spacing w:line="240" w:lineRule="auto"/>
        <w:ind w:left="0"/>
        <w:rPr>
          <w:rFonts w:asciiTheme="minorHAnsi" w:hAnsiTheme="minorHAnsi" w:cstheme="minorHAnsi"/>
          <w:color w:val="242424"/>
          <w:sz w:val="22"/>
          <w:szCs w:val="22"/>
        </w:rPr>
      </w:pPr>
    </w:p>
    <w:p w:rsidR="0008104C" w:rsidRPr="00DA50E0" w:rsidRDefault="00221F10" w:rsidP="0008104C">
      <w:pPr>
        <w:pStyle w:val="ac"/>
        <w:bidi w:val="0"/>
        <w:spacing w:line="240" w:lineRule="auto"/>
        <w:ind w:left="0"/>
        <w:rPr>
          <w:rFonts w:asciiTheme="minorHAnsi" w:hAnsiTheme="minorHAnsi" w:cstheme="minorHAnsi"/>
          <w:sz w:val="22"/>
          <w:szCs w:val="22"/>
        </w:rPr>
      </w:pPr>
      <w:r w:rsidRPr="00DA50E0">
        <w:rPr>
          <w:rFonts w:asciiTheme="minorHAnsi" w:hAnsiTheme="minorHAnsi" w:cstheme="minorHAnsi"/>
          <w:color w:val="242424"/>
          <w:sz w:val="22"/>
          <w:szCs w:val="22"/>
        </w:rPr>
        <w:t xml:space="preserve">The Bank of Israel Research Department revised its macroeconomic forecast. </w:t>
      </w:r>
      <w:r w:rsidR="0008104C" w:rsidRPr="00DA50E0">
        <w:rPr>
          <w:rFonts w:asciiTheme="minorHAnsi" w:hAnsiTheme="minorHAnsi" w:cstheme="minorHAnsi"/>
          <w:sz w:val="22"/>
          <w:szCs w:val="22"/>
        </w:rPr>
        <w:t xml:space="preserve">The working assumption underpinning the forecast is that in view of the memorandum of understanding signed between the United States and Iran, there will be no additional fighting with Iran during the forecast horizon. Another assumption on which the forecast </w:t>
      </w:r>
      <w:proofErr w:type="gramStart"/>
      <w:r w:rsidR="0008104C" w:rsidRPr="00DA50E0">
        <w:rPr>
          <w:rFonts w:asciiTheme="minorHAnsi" w:hAnsiTheme="minorHAnsi" w:cstheme="minorHAnsi"/>
          <w:sz w:val="22"/>
          <w:szCs w:val="22"/>
        </w:rPr>
        <w:t>is based</w:t>
      </w:r>
      <w:proofErr w:type="gramEnd"/>
      <w:r w:rsidR="0008104C" w:rsidRPr="00DA50E0">
        <w:rPr>
          <w:rFonts w:asciiTheme="minorHAnsi" w:hAnsiTheme="minorHAnsi" w:cstheme="minorHAnsi"/>
          <w:sz w:val="22"/>
          <w:szCs w:val="22"/>
        </w:rPr>
        <w:t xml:space="preserve"> is that global energy prices, which have fallen due to the agreement, will remain in the current low environment.  In addition, the forecast assumes that the intensity of the fighting in Lebanon will decline in a way that contributes to somewhat easing the supply constraints in the economy. </w:t>
      </w:r>
    </w:p>
    <w:p w:rsidR="0008104C" w:rsidRPr="00DA50E0" w:rsidRDefault="0008104C" w:rsidP="0008104C">
      <w:pPr>
        <w:pStyle w:val="ac"/>
        <w:bidi w:val="0"/>
        <w:spacing w:line="240" w:lineRule="auto"/>
        <w:ind w:left="0"/>
        <w:rPr>
          <w:rFonts w:asciiTheme="minorHAnsi" w:hAnsiTheme="minorHAnsi" w:cstheme="minorHAnsi"/>
          <w:color w:val="242424"/>
          <w:sz w:val="22"/>
          <w:szCs w:val="22"/>
        </w:rPr>
      </w:pPr>
    </w:p>
    <w:p w:rsidR="00AC4FFB" w:rsidRPr="00DA50E0" w:rsidRDefault="0008104C" w:rsidP="00512A91">
      <w:pPr>
        <w:pStyle w:val="ac"/>
        <w:bidi w:val="0"/>
        <w:spacing w:line="240" w:lineRule="auto"/>
        <w:ind w:left="0"/>
        <w:rPr>
          <w:rFonts w:asciiTheme="minorHAnsi" w:hAnsiTheme="minorHAnsi" w:cstheme="minorHAnsi"/>
          <w:sz w:val="22"/>
          <w:szCs w:val="22"/>
        </w:rPr>
      </w:pPr>
      <w:r w:rsidRPr="00DA50E0">
        <w:rPr>
          <w:rFonts w:asciiTheme="minorHAnsi" w:hAnsiTheme="minorHAnsi" w:cstheme="minorHAnsi"/>
          <w:color w:val="242424"/>
          <w:sz w:val="22"/>
          <w:szCs w:val="22"/>
        </w:rPr>
        <w:t>According to the Research Department’s assessment in this</w:t>
      </w:r>
      <w:r w:rsidR="00221F10" w:rsidRPr="00DA50E0">
        <w:rPr>
          <w:rFonts w:asciiTheme="minorHAnsi" w:hAnsiTheme="minorHAnsi" w:cstheme="minorHAnsi"/>
          <w:color w:val="242424"/>
          <w:sz w:val="22"/>
          <w:szCs w:val="22"/>
        </w:rPr>
        <w:t xml:space="preserve"> scenario</w:t>
      </w:r>
      <w:r w:rsidRPr="00DA50E0">
        <w:rPr>
          <w:rFonts w:asciiTheme="minorHAnsi" w:hAnsiTheme="minorHAnsi" w:cstheme="minorHAnsi"/>
          <w:color w:val="242424"/>
          <w:sz w:val="22"/>
          <w:szCs w:val="22"/>
        </w:rPr>
        <w:t xml:space="preserve">, GDP </w:t>
      </w:r>
      <w:proofErr w:type="gramStart"/>
      <w:r w:rsidRPr="00DA50E0">
        <w:rPr>
          <w:rFonts w:asciiTheme="minorHAnsi" w:hAnsiTheme="minorHAnsi" w:cstheme="minorHAnsi"/>
          <w:color w:val="242424"/>
          <w:sz w:val="22"/>
          <w:szCs w:val="22"/>
        </w:rPr>
        <w:t>is expected</w:t>
      </w:r>
      <w:proofErr w:type="gramEnd"/>
      <w:r w:rsidRPr="00DA50E0">
        <w:rPr>
          <w:rFonts w:asciiTheme="minorHAnsi" w:hAnsiTheme="minorHAnsi" w:cstheme="minorHAnsi"/>
          <w:color w:val="242424"/>
          <w:sz w:val="22"/>
          <w:szCs w:val="22"/>
        </w:rPr>
        <w:t xml:space="preserve"> to grow by 4 percent in 2026, compared with 3.8 percent in the March forecast, and by 5.5 percent in 2027, similar to the March forecast </w:t>
      </w:r>
      <w:r w:rsidR="00FF5010" w:rsidRPr="00DA50E0">
        <w:rPr>
          <w:rFonts w:asciiTheme="minorHAnsi" w:hAnsiTheme="minorHAnsi" w:cstheme="minorHAnsi"/>
          <w:color w:val="242424"/>
          <w:sz w:val="22"/>
          <w:szCs w:val="22"/>
        </w:rPr>
        <w:t>(</w:t>
      </w:r>
      <w:r w:rsidR="00FF5010" w:rsidRPr="00DA50E0">
        <w:rPr>
          <w:rFonts w:asciiTheme="minorHAnsi" w:hAnsiTheme="minorHAnsi" w:cstheme="minorHAnsi"/>
          <w:b/>
          <w:bCs/>
          <w:color w:val="242424"/>
          <w:sz w:val="22"/>
          <w:szCs w:val="22"/>
        </w:rPr>
        <w:t xml:space="preserve">Figure </w:t>
      </w:r>
      <w:r w:rsidR="00221F10" w:rsidRPr="00DA50E0">
        <w:rPr>
          <w:rFonts w:asciiTheme="minorHAnsi" w:hAnsiTheme="minorHAnsi" w:cstheme="minorHAnsi"/>
          <w:b/>
          <w:bCs/>
          <w:color w:val="242424"/>
          <w:sz w:val="22"/>
          <w:szCs w:val="22"/>
        </w:rPr>
        <w:t>10</w:t>
      </w:r>
      <w:r w:rsidR="00FF5010" w:rsidRPr="00DA50E0">
        <w:rPr>
          <w:rFonts w:asciiTheme="minorHAnsi" w:hAnsiTheme="minorHAnsi" w:cstheme="minorHAnsi"/>
          <w:color w:val="242424"/>
          <w:sz w:val="22"/>
          <w:szCs w:val="22"/>
        </w:rPr>
        <w:t xml:space="preserve">).  </w:t>
      </w:r>
      <w:r w:rsidR="00BC42F1" w:rsidRPr="00DA50E0">
        <w:rPr>
          <w:rFonts w:asciiTheme="minorHAnsi" w:hAnsiTheme="minorHAnsi" w:cstheme="minorHAnsi"/>
          <w:sz w:val="22"/>
          <w:szCs w:val="22"/>
        </w:rPr>
        <w:t>In the labor market, t</w:t>
      </w:r>
      <w:r w:rsidR="00221F10" w:rsidRPr="00DA50E0">
        <w:rPr>
          <w:rFonts w:asciiTheme="minorHAnsi" w:hAnsiTheme="minorHAnsi" w:cstheme="minorHAnsi"/>
          <w:sz w:val="22"/>
          <w:szCs w:val="22"/>
        </w:rPr>
        <w:t xml:space="preserve">he broad unemployment rate </w:t>
      </w:r>
      <w:r w:rsidRPr="00DA50E0">
        <w:rPr>
          <w:rFonts w:asciiTheme="minorHAnsi" w:hAnsiTheme="minorHAnsi" w:cstheme="minorHAnsi"/>
          <w:sz w:val="22"/>
          <w:szCs w:val="22"/>
        </w:rPr>
        <w:t>is expected to be 4.6 percent on average in 2026, mainly due to the sharp increase during Operation Roaring Lion (the military confrontation with Iran in March–April), and to stabilize at 3 percent during the second half of 2026.</w:t>
      </w:r>
      <w:r w:rsidR="00152554" w:rsidRPr="00DA50E0">
        <w:rPr>
          <w:rFonts w:asciiTheme="minorHAnsi" w:hAnsiTheme="minorHAnsi" w:cstheme="minorHAnsi"/>
          <w:sz w:val="22"/>
          <w:szCs w:val="22"/>
        </w:rPr>
        <w:t xml:space="preserve"> The inflation rate </w:t>
      </w:r>
      <w:proofErr w:type="gramStart"/>
      <w:r w:rsidR="00152554" w:rsidRPr="00DA50E0">
        <w:rPr>
          <w:rFonts w:asciiTheme="minorHAnsi" w:hAnsiTheme="minorHAnsi" w:cstheme="minorHAnsi"/>
          <w:sz w:val="22"/>
          <w:szCs w:val="22"/>
        </w:rPr>
        <w:t>is expected</w:t>
      </w:r>
      <w:proofErr w:type="gramEnd"/>
      <w:r w:rsidR="00152554" w:rsidRPr="00DA50E0">
        <w:rPr>
          <w:rFonts w:asciiTheme="minorHAnsi" w:hAnsiTheme="minorHAnsi" w:cstheme="minorHAnsi"/>
          <w:sz w:val="22"/>
          <w:szCs w:val="22"/>
        </w:rPr>
        <w:t xml:space="preserve"> to be 1.8 percent in 2026 and in 2027.  </w:t>
      </w:r>
      <w:r w:rsidR="00FF5010" w:rsidRPr="00DA50E0">
        <w:rPr>
          <w:rFonts w:asciiTheme="minorHAnsi" w:hAnsiTheme="minorHAnsi" w:cstheme="minorHAnsi"/>
          <w:sz w:val="22"/>
          <w:szCs w:val="22"/>
        </w:rPr>
        <w:t xml:space="preserve">In the Department’s estimation, </w:t>
      </w:r>
      <w:r w:rsidR="00152554" w:rsidRPr="00DA50E0">
        <w:rPr>
          <w:rFonts w:asciiTheme="minorHAnsi" w:hAnsiTheme="minorHAnsi" w:cstheme="minorHAnsi"/>
          <w:color w:val="242424"/>
          <w:sz w:val="22"/>
          <w:szCs w:val="22"/>
        </w:rPr>
        <w:t xml:space="preserve">if the defense budget </w:t>
      </w:r>
      <w:proofErr w:type="gramStart"/>
      <w:r w:rsidR="00152554" w:rsidRPr="00DA50E0">
        <w:rPr>
          <w:rFonts w:asciiTheme="minorHAnsi" w:hAnsiTheme="minorHAnsi" w:cstheme="minorHAnsi"/>
          <w:color w:val="242424"/>
          <w:sz w:val="22"/>
          <w:szCs w:val="22"/>
        </w:rPr>
        <w:t>is not increased</w:t>
      </w:r>
      <w:proofErr w:type="gramEnd"/>
      <w:r w:rsidR="00152554" w:rsidRPr="00DA50E0">
        <w:rPr>
          <w:rFonts w:asciiTheme="minorHAnsi" w:hAnsiTheme="minorHAnsi" w:cstheme="minorHAnsi"/>
          <w:color w:val="242424"/>
          <w:sz w:val="22"/>
          <w:szCs w:val="22"/>
        </w:rPr>
        <w:t xml:space="preserve"> beyond the reserves allocated in the State budget, the government’s budget </w:t>
      </w:r>
      <w:r w:rsidR="00152554" w:rsidRPr="00DA50E0">
        <w:rPr>
          <w:rFonts w:asciiTheme="minorHAnsi" w:hAnsiTheme="minorHAnsi" w:cstheme="minorHAnsi"/>
          <w:sz w:val="22"/>
          <w:szCs w:val="22"/>
        </w:rPr>
        <w:t xml:space="preserve">deficit is expected to be 4.9 percent of GDP in 2026 and 4.2 percent of GDP in 2027.  The debt to GDP ratio </w:t>
      </w:r>
      <w:proofErr w:type="gramStart"/>
      <w:r w:rsidR="00152554" w:rsidRPr="00DA50E0">
        <w:rPr>
          <w:rFonts w:asciiTheme="minorHAnsi" w:hAnsiTheme="minorHAnsi" w:cstheme="minorHAnsi"/>
          <w:sz w:val="22"/>
          <w:szCs w:val="22"/>
        </w:rPr>
        <w:t>is expected</w:t>
      </w:r>
      <w:proofErr w:type="gramEnd"/>
      <w:r w:rsidR="00152554" w:rsidRPr="00DA50E0">
        <w:rPr>
          <w:rFonts w:asciiTheme="minorHAnsi" w:hAnsiTheme="minorHAnsi" w:cstheme="minorHAnsi"/>
          <w:sz w:val="22"/>
          <w:szCs w:val="22"/>
        </w:rPr>
        <w:t xml:space="preserve"> to be about 69 percent at the end of 2026 </w:t>
      </w:r>
      <w:r w:rsidR="00221F10" w:rsidRPr="00DA50E0">
        <w:rPr>
          <w:rFonts w:asciiTheme="minorHAnsi" w:hAnsiTheme="minorHAnsi" w:cstheme="minorHAnsi"/>
          <w:sz w:val="22"/>
          <w:szCs w:val="22"/>
        </w:rPr>
        <w:t xml:space="preserve">and </w:t>
      </w:r>
      <w:r w:rsidR="008470C0" w:rsidRPr="00DA50E0">
        <w:rPr>
          <w:rFonts w:asciiTheme="minorHAnsi" w:hAnsiTheme="minorHAnsi" w:cstheme="minorHAnsi"/>
          <w:sz w:val="22"/>
          <w:szCs w:val="22"/>
        </w:rPr>
        <w:t>at the end of</w:t>
      </w:r>
      <w:r w:rsidR="009A5263" w:rsidRPr="00DA50E0">
        <w:rPr>
          <w:rFonts w:asciiTheme="minorHAnsi" w:hAnsiTheme="minorHAnsi" w:cstheme="minorHAnsi"/>
          <w:sz w:val="22"/>
          <w:szCs w:val="22"/>
        </w:rPr>
        <w:t xml:space="preserve"> </w:t>
      </w:r>
      <w:r w:rsidR="00221F10" w:rsidRPr="00DA50E0">
        <w:rPr>
          <w:rFonts w:asciiTheme="minorHAnsi" w:hAnsiTheme="minorHAnsi" w:cstheme="minorHAnsi"/>
          <w:sz w:val="22"/>
          <w:szCs w:val="22"/>
        </w:rPr>
        <w:t xml:space="preserve">2027.  </w:t>
      </w:r>
      <w:r w:rsidR="00152554" w:rsidRPr="00DA50E0">
        <w:rPr>
          <w:rFonts w:asciiTheme="minorHAnsi" w:hAnsiTheme="minorHAnsi" w:cstheme="minorHAnsi"/>
          <w:sz w:val="22"/>
          <w:szCs w:val="22"/>
        </w:rPr>
        <w:t>There is still uncertainty regarding the final size of the defense budget, and a further increase may lead to exceeding the deficit target and an increase in inflation.  The</w:t>
      </w:r>
      <w:r w:rsidR="00512A91" w:rsidRPr="00DA50E0">
        <w:rPr>
          <w:rFonts w:asciiTheme="minorHAnsi" w:hAnsiTheme="minorHAnsi" w:cstheme="minorHAnsi"/>
          <w:sz w:val="22"/>
          <w:szCs w:val="22"/>
        </w:rPr>
        <w:t>re is high uncertainty around</w:t>
      </w:r>
      <w:r w:rsidR="00152554" w:rsidRPr="00DA50E0">
        <w:rPr>
          <w:rFonts w:asciiTheme="minorHAnsi" w:hAnsiTheme="minorHAnsi" w:cstheme="minorHAnsi"/>
          <w:sz w:val="22"/>
          <w:szCs w:val="22"/>
        </w:rPr>
        <w:t xml:space="preserve"> </w:t>
      </w:r>
      <w:r w:rsidR="00512A91" w:rsidRPr="00DA50E0">
        <w:rPr>
          <w:rFonts w:asciiTheme="minorHAnsi" w:hAnsiTheme="minorHAnsi" w:cstheme="minorHAnsi"/>
          <w:sz w:val="22"/>
          <w:szCs w:val="22"/>
        </w:rPr>
        <w:t xml:space="preserve">the </w:t>
      </w:r>
      <w:r w:rsidR="00152554" w:rsidRPr="00DA50E0">
        <w:rPr>
          <w:rFonts w:asciiTheme="minorHAnsi" w:hAnsiTheme="minorHAnsi" w:cstheme="minorHAnsi"/>
          <w:sz w:val="22"/>
          <w:szCs w:val="22"/>
        </w:rPr>
        <w:t xml:space="preserve">forecast </w:t>
      </w:r>
      <w:r w:rsidR="00512A91" w:rsidRPr="00DA50E0">
        <w:rPr>
          <w:rFonts w:asciiTheme="minorHAnsi" w:hAnsiTheme="minorHAnsi" w:cstheme="minorHAnsi"/>
          <w:sz w:val="22"/>
          <w:szCs w:val="22"/>
        </w:rPr>
        <w:t>related to</w:t>
      </w:r>
      <w:r w:rsidR="00152554" w:rsidRPr="00DA50E0">
        <w:rPr>
          <w:rFonts w:asciiTheme="minorHAnsi" w:hAnsiTheme="minorHAnsi" w:cstheme="minorHAnsi"/>
          <w:sz w:val="22"/>
          <w:szCs w:val="22"/>
        </w:rPr>
        <w:t xml:space="preserve"> geopolitical developments in the region and their impact on the economy.</w:t>
      </w:r>
    </w:p>
    <w:p w:rsidR="009A5263" w:rsidRPr="00DA50E0" w:rsidRDefault="009A5263" w:rsidP="009A5263">
      <w:pPr>
        <w:pStyle w:val="ac"/>
        <w:bidi w:val="0"/>
        <w:spacing w:line="240" w:lineRule="auto"/>
        <w:ind w:left="0"/>
        <w:rPr>
          <w:rFonts w:asciiTheme="minorHAnsi" w:hAnsiTheme="minorHAnsi" w:cstheme="minorHAnsi"/>
          <w:sz w:val="22"/>
          <w:szCs w:val="22"/>
        </w:rPr>
      </w:pPr>
    </w:p>
    <w:p w:rsidR="00290FD9" w:rsidRPr="00DA50E0" w:rsidRDefault="00221F10" w:rsidP="00BC42F1">
      <w:pPr>
        <w:jc w:val="both"/>
        <w:rPr>
          <w:rFonts w:asciiTheme="minorHAnsi" w:hAnsiTheme="minorHAnsi" w:cstheme="minorHAnsi"/>
          <w:sz w:val="22"/>
          <w:szCs w:val="22"/>
        </w:rPr>
      </w:pPr>
      <w:r w:rsidRPr="00DA50E0">
        <w:rPr>
          <w:rFonts w:asciiTheme="minorHAnsi" w:hAnsiTheme="minorHAnsi" w:cstheme="minorHAnsi"/>
          <w:sz w:val="22"/>
          <w:szCs w:val="22"/>
        </w:rPr>
        <w:t>Current indicators</w:t>
      </w:r>
      <w:r w:rsidR="00AC4FFB" w:rsidRPr="00DA50E0">
        <w:rPr>
          <w:rFonts w:asciiTheme="minorHAnsi" w:hAnsiTheme="minorHAnsi" w:cstheme="minorHAnsi"/>
          <w:sz w:val="22"/>
          <w:szCs w:val="22"/>
        </w:rPr>
        <w:t xml:space="preserve"> of economic activity</w:t>
      </w:r>
      <w:r w:rsidRPr="00DA50E0">
        <w:rPr>
          <w:rFonts w:asciiTheme="minorHAnsi" w:hAnsiTheme="minorHAnsi" w:cstheme="minorHAnsi"/>
          <w:sz w:val="22"/>
          <w:szCs w:val="22"/>
        </w:rPr>
        <w:t xml:space="preserve"> </w:t>
      </w:r>
      <w:r w:rsidR="002A19E5" w:rsidRPr="00DA50E0">
        <w:rPr>
          <w:rFonts w:asciiTheme="minorHAnsi" w:hAnsiTheme="minorHAnsi" w:cstheme="minorHAnsi"/>
          <w:sz w:val="22"/>
          <w:szCs w:val="22"/>
        </w:rPr>
        <w:t>point to continued recovery following the sharp decline of activity with the beginning of Operation Roaring Lion</w:t>
      </w:r>
      <w:r w:rsidR="00363666" w:rsidRPr="00DA50E0">
        <w:rPr>
          <w:rFonts w:asciiTheme="minorHAnsi" w:hAnsiTheme="minorHAnsi" w:cstheme="minorHAnsi"/>
          <w:sz w:val="22"/>
          <w:szCs w:val="22"/>
        </w:rPr>
        <w:t xml:space="preserve">.  Credit card </w:t>
      </w:r>
      <w:r w:rsidR="002A19E5" w:rsidRPr="00DA50E0">
        <w:rPr>
          <w:rFonts w:asciiTheme="minorHAnsi" w:hAnsiTheme="minorHAnsi" w:cstheme="minorHAnsi"/>
          <w:sz w:val="22"/>
          <w:szCs w:val="22"/>
        </w:rPr>
        <w:t>expenditures</w:t>
      </w:r>
      <w:r w:rsidR="00363666" w:rsidRPr="00DA50E0">
        <w:rPr>
          <w:rFonts w:asciiTheme="minorHAnsi" w:hAnsiTheme="minorHAnsi" w:cstheme="minorHAnsi"/>
          <w:sz w:val="22"/>
          <w:szCs w:val="22"/>
        </w:rPr>
        <w:t xml:space="preserve"> in current prices </w:t>
      </w:r>
      <w:r w:rsidR="002A19E5" w:rsidRPr="00DA50E0">
        <w:rPr>
          <w:rFonts w:asciiTheme="minorHAnsi" w:hAnsiTheme="minorHAnsi" w:cstheme="minorHAnsi"/>
          <w:sz w:val="22"/>
          <w:szCs w:val="22"/>
        </w:rPr>
        <w:t xml:space="preserve">are </w:t>
      </w:r>
      <w:r w:rsidR="005D7167" w:rsidRPr="00DA50E0">
        <w:rPr>
          <w:rFonts w:asciiTheme="minorHAnsi" w:hAnsiTheme="minorHAnsi" w:cstheme="minorHAnsi"/>
          <w:sz w:val="22"/>
          <w:szCs w:val="22"/>
        </w:rPr>
        <w:t xml:space="preserve">slightly </w:t>
      </w:r>
      <w:r w:rsidR="002A19E5" w:rsidRPr="00DA50E0">
        <w:rPr>
          <w:rFonts w:asciiTheme="minorHAnsi" w:hAnsiTheme="minorHAnsi" w:cstheme="minorHAnsi"/>
          <w:sz w:val="22"/>
          <w:szCs w:val="22"/>
        </w:rPr>
        <w:t>above</w:t>
      </w:r>
      <w:r w:rsidR="005D7167" w:rsidRPr="00DA50E0">
        <w:rPr>
          <w:rFonts w:asciiTheme="minorHAnsi" w:hAnsiTheme="minorHAnsi" w:cstheme="minorHAnsi"/>
          <w:sz w:val="22"/>
          <w:szCs w:val="22"/>
        </w:rPr>
        <w:t xml:space="preserve"> the long-term trend line </w:t>
      </w:r>
      <w:r w:rsidR="002A19E5" w:rsidRPr="00DA50E0">
        <w:rPr>
          <w:rFonts w:asciiTheme="minorHAnsi" w:hAnsiTheme="minorHAnsi" w:cstheme="minorHAnsi"/>
          <w:sz w:val="22"/>
          <w:szCs w:val="22"/>
        </w:rPr>
        <w:t>(</w:t>
      </w:r>
      <w:r w:rsidR="002A19E5" w:rsidRPr="00DA50E0">
        <w:rPr>
          <w:rFonts w:asciiTheme="minorHAnsi" w:hAnsiTheme="minorHAnsi" w:cstheme="minorHAnsi"/>
          <w:b/>
          <w:bCs/>
          <w:sz w:val="22"/>
          <w:szCs w:val="22"/>
        </w:rPr>
        <w:t>Figure 1</w:t>
      </w:r>
      <w:r w:rsidR="00BC42F1" w:rsidRPr="00DA50E0">
        <w:rPr>
          <w:rFonts w:asciiTheme="minorHAnsi" w:hAnsiTheme="minorHAnsi" w:cstheme="minorHAnsi"/>
          <w:b/>
          <w:bCs/>
          <w:sz w:val="22"/>
          <w:szCs w:val="22"/>
        </w:rPr>
        <w:t>2</w:t>
      </w:r>
      <w:r w:rsidR="002A19E5" w:rsidRPr="00DA50E0">
        <w:rPr>
          <w:rFonts w:asciiTheme="minorHAnsi" w:hAnsiTheme="minorHAnsi" w:cstheme="minorHAnsi"/>
          <w:sz w:val="22"/>
          <w:szCs w:val="22"/>
        </w:rPr>
        <w:t>)</w:t>
      </w:r>
      <w:r w:rsidR="0001331B" w:rsidRPr="00DA50E0">
        <w:rPr>
          <w:rFonts w:asciiTheme="minorHAnsi" w:hAnsiTheme="minorHAnsi" w:cstheme="minorHAnsi"/>
          <w:sz w:val="22"/>
          <w:szCs w:val="22"/>
        </w:rPr>
        <w:t>.</w:t>
      </w:r>
      <w:r w:rsidR="00363666" w:rsidRPr="00DA50E0">
        <w:rPr>
          <w:rFonts w:asciiTheme="minorHAnsi" w:hAnsiTheme="minorHAnsi" w:cstheme="minorHAnsi"/>
          <w:sz w:val="22"/>
          <w:szCs w:val="22"/>
        </w:rPr>
        <w:t xml:space="preserve"> </w:t>
      </w:r>
    </w:p>
    <w:p w:rsidR="00290FD9" w:rsidRPr="00DA50E0" w:rsidRDefault="00290FD9" w:rsidP="00290FD9">
      <w:pPr>
        <w:jc w:val="both"/>
        <w:rPr>
          <w:rFonts w:asciiTheme="minorHAnsi" w:hAnsiTheme="minorHAnsi" w:cstheme="minorHAnsi"/>
          <w:sz w:val="22"/>
          <w:szCs w:val="22"/>
        </w:rPr>
      </w:pPr>
    </w:p>
    <w:p w:rsidR="002A19E5" w:rsidRPr="00DA50E0" w:rsidRDefault="00221F10" w:rsidP="00120E6C">
      <w:pPr>
        <w:jc w:val="both"/>
        <w:rPr>
          <w:rFonts w:asciiTheme="minorHAnsi" w:hAnsiTheme="minorHAnsi" w:cstheme="minorHAnsi"/>
          <w:sz w:val="22"/>
          <w:szCs w:val="22"/>
        </w:rPr>
      </w:pPr>
      <w:proofErr w:type="gramStart"/>
      <w:r w:rsidRPr="00DA50E0">
        <w:rPr>
          <w:rFonts w:asciiTheme="minorHAnsi" w:hAnsiTheme="minorHAnsi" w:cstheme="minorHAnsi"/>
          <w:sz w:val="22"/>
          <w:szCs w:val="22"/>
        </w:rPr>
        <w:t xml:space="preserve">The aggregate balance in the Central Bureau of Statistics Business Tendency Survey for </w:t>
      </w:r>
      <w:r w:rsidR="002A19E5" w:rsidRPr="00DA50E0">
        <w:rPr>
          <w:rFonts w:asciiTheme="minorHAnsi" w:hAnsiTheme="minorHAnsi" w:cstheme="minorHAnsi"/>
          <w:sz w:val="22"/>
          <w:szCs w:val="22"/>
        </w:rPr>
        <w:t>May</w:t>
      </w:r>
      <w:r w:rsidR="00290FD9" w:rsidRPr="00DA50E0">
        <w:rPr>
          <w:rFonts w:asciiTheme="minorHAnsi" w:hAnsiTheme="minorHAnsi" w:cstheme="minorHAnsi"/>
          <w:sz w:val="22"/>
          <w:szCs w:val="22"/>
        </w:rPr>
        <w:t xml:space="preserve"> </w:t>
      </w:r>
      <w:r w:rsidR="002A19E5" w:rsidRPr="00DA50E0">
        <w:rPr>
          <w:rFonts w:asciiTheme="minorHAnsi" w:hAnsiTheme="minorHAnsi" w:cstheme="minorHAnsi"/>
          <w:sz w:val="22"/>
          <w:szCs w:val="22"/>
        </w:rPr>
        <w:t>increase</w:t>
      </w:r>
      <w:r w:rsidR="00290FD9" w:rsidRPr="00DA50E0">
        <w:rPr>
          <w:rFonts w:asciiTheme="minorHAnsi" w:hAnsiTheme="minorHAnsi" w:cstheme="minorHAnsi"/>
          <w:sz w:val="22"/>
          <w:szCs w:val="22"/>
        </w:rPr>
        <w:t>d</w:t>
      </w:r>
      <w:r w:rsidR="002A19E5" w:rsidRPr="00DA50E0">
        <w:rPr>
          <w:rFonts w:asciiTheme="minorHAnsi" w:hAnsiTheme="minorHAnsi" w:cstheme="minorHAnsi"/>
          <w:sz w:val="22"/>
          <w:szCs w:val="22"/>
        </w:rPr>
        <w:t xml:space="preserve"> following the sharp decline due to Operation Roaring Lion, but has not yet returned to its level from before the </w:t>
      </w:r>
      <w:r w:rsidR="00120E6C" w:rsidRPr="00DA50E0">
        <w:rPr>
          <w:rFonts w:asciiTheme="minorHAnsi" w:hAnsiTheme="minorHAnsi" w:cstheme="minorHAnsi"/>
          <w:sz w:val="22"/>
          <w:szCs w:val="22"/>
        </w:rPr>
        <w:t>Operation</w:t>
      </w:r>
      <w:r w:rsidR="00290FD9" w:rsidRPr="00DA50E0">
        <w:rPr>
          <w:rFonts w:asciiTheme="minorHAnsi" w:hAnsiTheme="minorHAnsi" w:cstheme="minorHAnsi"/>
          <w:sz w:val="22"/>
          <w:szCs w:val="22"/>
        </w:rPr>
        <w:t>.</w:t>
      </w:r>
      <w:proofErr w:type="gramEnd"/>
      <w:r w:rsidRPr="00DA50E0">
        <w:rPr>
          <w:rFonts w:asciiTheme="minorHAnsi" w:hAnsiTheme="minorHAnsi" w:cstheme="minorHAnsi"/>
          <w:sz w:val="22"/>
          <w:szCs w:val="22"/>
        </w:rPr>
        <w:t xml:space="preserve"> (</w:t>
      </w:r>
      <w:r w:rsidRPr="00DA50E0">
        <w:rPr>
          <w:rFonts w:asciiTheme="minorHAnsi" w:hAnsiTheme="minorHAnsi" w:cstheme="minorHAnsi"/>
          <w:b/>
          <w:bCs/>
          <w:sz w:val="22"/>
          <w:szCs w:val="22"/>
        </w:rPr>
        <w:t>Figure 1</w:t>
      </w:r>
      <w:r w:rsidR="00BC42F1" w:rsidRPr="00DA50E0">
        <w:rPr>
          <w:rFonts w:asciiTheme="minorHAnsi" w:hAnsiTheme="minorHAnsi" w:cstheme="minorHAnsi"/>
          <w:b/>
          <w:bCs/>
          <w:sz w:val="22"/>
          <w:szCs w:val="22"/>
        </w:rPr>
        <w:t>1</w:t>
      </w:r>
      <w:r w:rsidRPr="00DA50E0">
        <w:rPr>
          <w:rFonts w:asciiTheme="minorHAnsi" w:hAnsiTheme="minorHAnsi" w:cstheme="minorHAnsi"/>
          <w:sz w:val="22"/>
          <w:szCs w:val="22"/>
        </w:rPr>
        <w:t>).</w:t>
      </w:r>
      <w:r w:rsidR="002A19E5" w:rsidRPr="00DA50E0">
        <w:rPr>
          <w:rFonts w:asciiTheme="minorHAnsi" w:hAnsiTheme="minorHAnsi" w:cstheme="minorHAnsi"/>
          <w:sz w:val="22"/>
          <w:szCs w:val="22"/>
        </w:rPr>
        <w:t xml:space="preserve">  In the second estimate of National Accounts data for the first quarter (seasonally adjusted in annual terms), which reflects the impact of Operation Roaring Lion on economic activity, GDP was revised downward to </w:t>
      </w:r>
      <w:r w:rsidR="00120E6C" w:rsidRPr="00DA50E0">
        <w:rPr>
          <w:rFonts w:asciiTheme="minorHAnsi" w:hAnsiTheme="minorHAnsi" w:cstheme="minorHAnsi"/>
          <w:sz w:val="22"/>
          <w:szCs w:val="22"/>
        </w:rPr>
        <w:t>minus</w:t>
      </w:r>
      <w:r w:rsidR="002A19E5" w:rsidRPr="00DA50E0">
        <w:rPr>
          <w:rFonts w:asciiTheme="minorHAnsi" w:hAnsiTheme="minorHAnsi" w:cstheme="minorHAnsi"/>
          <w:sz w:val="22"/>
          <w:szCs w:val="22"/>
        </w:rPr>
        <w:t>-3.8 percent.  This decline in GDP is more moderate than previous</w:t>
      </w:r>
      <w:r w:rsidR="00120E6C" w:rsidRPr="00DA50E0">
        <w:rPr>
          <w:rFonts w:asciiTheme="minorHAnsi" w:hAnsiTheme="minorHAnsi" w:cstheme="minorHAnsi"/>
          <w:sz w:val="22"/>
          <w:szCs w:val="22"/>
        </w:rPr>
        <w:t>ly</w:t>
      </w:r>
      <w:r w:rsidR="002A19E5" w:rsidRPr="00DA50E0">
        <w:rPr>
          <w:rFonts w:asciiTheme="minorHAnsi" w:hAnsiTheme="minorHAnsi" w:cstheme="minorHAnsi"/>
          <w:sz w:val="22"/>
          <w:szCs w:val="22"/>
        </w:rPr>
        <w:t xml:space="preserve"> forecast.  </w:t>
      </w:r>
      <w:r w:rsidR="00120E6C" w:rsidRPr="00DA50E0">
        <w:rPr>
          <w:rFonts w:asciiTheme="minorHAnsi" w:hAnsiTheme="minorHAnsi" w:cstheme="minorHAnsi"/>
          <w:sz w:val="22"/>
          <w:szCs w:val="22"/>
        </w:rPr>
        <w:t xml:space="preserve">A </w:t>
      </w:r>
      <w:r w:rsidR="002A19E5" w:rsidRPr="00DA50E0">
        <w:rPr>
          <w:rFonts w:asciiTheme="minorHAnsi" w:hAnsiTheme="minorHAnsi" w:cstheme="minorHAnsi"/>
          <w:sz w:val="22"/>
          <w:szCs w:val="22"/>
        </w:rPr>
        <w:t>Research Department analys</w:t>
      </w:r>
      <w:r w:rsidR="00120E6C" w:rsidRPr="00DA50E0">
        <w:rPr>
          <w:rFonts w:asciiTheme="minorHAnsi" w:hAnsiTheme="minorHAnsi" w:cstheme="minorHAnsi"/>
          <w:sz w:val="22"/>
          <w:szCs w:val="22"/>
        </w:rPr>
        <w:t>i</w:t>
      </w:r>
      <w:r w:rsidR="002A19E5" w:rsidRPr="00DA50E0">
        <w:rPr>
          <w:rFonts w:asciiTheme="minorHAnsi" w:hAnsiTheme="minorHAnsi" w:cstheme="minorHAnsi"/>
          <w:sz w:val="22"/>
          <w:szCs w:val="22"/>
        </w:rPr>
        <w:t>s indicate</w:t>
      </w:r>
      <w:r w:rsidR="00120E6C" w:rsidRPr="00DA50E0">
        <w:rPr>
          <w:rFonts w:asciiTheme="minorHAnsi" w:hAnsiTheme="minorHAnsi" w:cstheme="minorHAnsi"/>
          <w:sz w:val="22"/>
          <w:szCs w:val="22"/>
        </w:rPr>
        <w:t>s</w:t>
      </w:r>
      <w:r w:rsidR="002A19E5" w:rsidRPr="00DA50E0">
        <w:rPr>
          <w:rFonts w:asciiTheme="minorHAnsi" w:hAnsiTheme="minorHAnsi" w:cstheme="minorHAnsi"/>
          <w:sz w:val="22"/>
          <w:szCs w:val="22"/>
        </w:rPr>
        <w:t xml:space="preserve"> that a significant portion of the </w:t>
      </w:r>
      <w:r w:rsidR="005D7167" w:rsidRPr="00DA50E0">
        <w:rPr>
          <w:rFonts w:asciiTheme="minorHAnsi" w:hAnsiTheme="minorHAnsi" w:cstheme="minorHAnsi"/>
          <w:sz w:val="22"/>
          <w:szCs w:val="22"/>
        </w:rPr>
        <w:t xml:space="preserve">recent </w:t>
      </w:r>
      <w:r w:rsidR="002A19E5" w:rsidRPr="00DA50E0">
        <w:rPr>
          <w:rFonts w:asciiTheme="minorHAnsi" w:hAnsiTheme="minorHAnsi" w:cstheme="minorHAnsi"/>
          <w:sz w:val="22"/>
          <w:szCs w:val="22"/>
        </w:rPr>
        <w:t xml:space="preserve">economic growth reflects foreign production by global firms operating in Israel, and that net of the activity of these firms, growth was lower in view of the supply constraints.  As the supply constraints ease, growth </w:t>
      </w:r>
      <w:proofErr w:type="gramStart"/>
      <w:r w:rsidR="002A19E5" w:rsidRPr="00DA50E0">
        <w:rPr>
          <w:rFonts w:asciiTheme="minorHAnsi" w:hAnsiTheme="minorHAnsi" w:cstheme="minorHAnsi"/>
          <w:sz w:val="22"/>
          <w:szCs w:val="22"/>
        </w:rPr>
        <w:t>will be based</w:t>
      </w:r>
      <w:proofErr w:type="gramEnd"/>
      <w:r w:rsidR="002A19E5" w:rsidRPr="00DA50E0">
        <w:rPr>
          <w:rFonts w:asciiTheme="minorHAnsi" w:hAnsiTheme="minorHAnsi" w:cstheme="minorHAnsi"/>
          <w:sz w:val="22"/>
          <w:szCs w:val="22"/>
        </w:rPr>
        <w:t xml:space="preserve"> on a broader mix of industries and firms in the economy, and GDP will converge toward the long-term trend line.</w:t>
      </w:r>
    </w:p>
    <w:p w:rsidR="002A19E5" w:rsidRPr="00DA50E0" w:rsidRDefault="002A19E5" w:rsidP="002A19E5">
      <w:pPr>
        <w:jc w:val="both"/>
        <w:rPr>
          <w:rFonts w:asciiTheme="minorHAnsi" w:hAnsiTheme="minorHAnsi" w:cstheme="minorHAnsi"/>
          <w:sz w:val="22"/>
          <w:szCs w:val="22"/>
        </w:rPr>
      </w:pPr>
    </w:p>
    <w:p w:rsidR="002A19E5" w:rsidRPr="00DA50E0" w:rsidRDefault="002A19E5" w:rsidP="00BC42F1">
      <w:pPr>
        <w:jc w:val="both"/>
        <w:rPr>
          <w:rFonts w:asciiTheme="minorHAnsi" w:hAnsiTheme="minorHAnsi" w:cstheme="minorHAnsi"/>
          <w:sz w:val="22"/>
          <w:szCs w:val="22"/>
        </w:rPr>
      </w:pPr>
      <w:r w:rsidRPr="00DA50E0">
        <w:rPr>
          <w:rFonts w:asciiTheme="minorHAnsi" w:hAnsiTheme="minorHAnsi" w:cstheme="minorHAnsi"/>
          <w:sz w:val="22"/>
          <w:szCs w:val="22"/>
        </w:rPr>
        <w:t>Capital raised in the high-tech sector during the second quarter totaled about $4 billion, similar to the first quarter of the year but lower than the last two quarters of 2025 (</w:t>
      </w:r>
      <w:r w:rsidRPr="00DA50E0">
        <w:rPr>
          <w:rFonts w:asciiTheme="minorHAnsi" w:hAnsiTheme="minorHAnsi" w:cstheme="minorHAnsi"/>
          <w:b/>
          <w:bCs/>
          <w:sz w:val="22"/>
          <w:szCs w:val="22"/>
        </w:rPr>
        <w:t>Figure 13</w:t>
      </w:r>
      <w:r w:rsidRPr="00DA50E0">
        <w:rPr>
          <w:rFonts w:asciiTheme="minorHAnsi" w:hAnsiTheme="minorHAnsi" w:cstheme="minorHAnsi"/>
          <w:sz w:val="22"/>
          <w:szCs w:val="22"/>
        </w:rPr>
        <w:t xml:space="preserve">).  Foreign trade data for May indicate an increase in </w:t>
      </w:r>
      <w:r w:rsidR="005D7167" w:rsidRPr="00DA50E0">
        <w:rPr>
          <w:rFonts w:asciiTheme="minorHAnsi" w:hAnsiTheme="minorHAnsi" w:cstheme="minorHAnsi"/>
          <w:sz w:val="22"/>
          <w:szCs w:val="22"/>
        </w:rPr>
        <w:t xml:space="preserve">goods </w:t>
      </w:r>
      <w:r w:rsidRPr="00DA50E0">
        <w:rPr>
          <w:rFonts w:asciiTheme="minorHAnsi" w:hAnsiTheme="minorHAnsi" w:cstheme="minorHAnsi"/>
          <w:sz w:val="22"/>
          <w:szCs w:val="22"/>
        </w:rPr>
        <w:t>imports and a sharper increase in goods exports, which led to a narrowing of the trade deficit (</w:t>
      </w:r>
      <w:r w:rsidRPr="00DA50E0">
        <w:rPr>
          <w:rFonts w:asciiTheme="minorHAnsi" w:hAnsiTheme="minorHAnsi" w:cstheme="minorHAnsi"/>
          <w:b/>
          <w:bCs/>
          <w:sz w:val="22"/>
          <w:szCs w:val="22"/>
        </w:rPr>
        <w:t xml:space="preserve">Figure </w:t>
      </w:r>
      <w:r w:rsidR="00F542FA" w:rsidRPr="00DA50E0">
        <w:rPr>
          <w:rFonts w:asciiTheme="minorHAnsi" w:hAnsiTheme="minorHAnsi" w:cstheme="minorHAnsi"/>
          <w:b/>
          <w:bCs/>
          <w:sz w:val="22"/>
          <w:szCs w:val="22"/>
        </w:rPr>
        <w:t>2</w:t>
      </w:r>
      <w:r w:rsidR="00BC42F1" w:rsidRPr="00DA50E0">
        <w:rPr>
          <w:rFonts w:asciiTheme="minorHAnsi" w:hAnsiTheme="minorHAnsi" w:cstheme="minorHAnsi"/>
          <w:b/>
          <w:bCs/>
          <w:sz w:val="22"/>
          <w:szCs w:val="22"/>
        </w:rPr>
        <w:t>0</w:t>
      </w:r>
      <w:r w:rsidRPr="00DA50E0">
        <w:rPr>
          <w:rFonts w:asciiTheme="minorHAnsi" w:hAnsiTheme="minorHAnsi" w:cstheme="minorHAnsi"/>
          <w:sz w:val="22"/>
          <w:szCs w:val="22"/>
        </w:rPr>
        <w:t>)</w:t>
      </w:r>
      <w:r w:rsidR="00F542FA" w:rsidRPr="00DA50E0">
        <w:rPr>
          <w:rFonts w:asciiTheme="minorHAnsi" w:hAnsiTheme="minorHAnsi" w:cstheme="minorHAnsi"/>
          <w:sz w:val="22"/>
          <w:szCs w:val="22"/>
        </w:rPr>
        <w:t>.  Services exports are also high.  In parallel, balance of payments data indicate a relatively high surplus in goods and services in the past two quarters, in view of stability in imports and an increase in exports.</w:t>
      </w:r>
    </w:p>
    <w:p w:rsidR="0046525C" w:rsidRPr="00DA50E0" w:rsidRDefault="0046525C" w:rsidP="0046525C">
      <w:pPr>
        <w:jc w:val="both"/>
        <w:rPr>
          <w:rFonts w:asciiTheme="minorHAnsi" w:hAnsiTheme="minorHAnsi" w:cstheme="minorHAnsi"/>
          <w:sz w:val="22"/>
          <w:szCs w:val="22"/>
        </w:rPr>
      </w:pPr>
    </w:p>
    <w:p w:rsidR="00244C15" w:rsidRPr="00DA50E0" w:rsidRDefault="00221F10" w:rsidP="00BC42F1">
      <w:pPr>
        <w:ind w:right="-1"/>
        <w:jc w:val="both"/>
        <w:rPr>
          <w:rFonts w:asciiTheme="minorHAnsi" w:hAnsiTheme="minorHAnsi" w:cstheme="minorHAnsi"/>
          <w:sz w:val="22"/>
          <w:szCs w:val="22"/>
        </w:rPr>
      </w:pPr>
      <w:r w:rsidRPr="00DA50E0">
        <w:rPr>
          <w:rFonts w:asciiTheme="minorHAnsi" w:hAnsiTheme="minorHAnsi" w:cstheme="minorHAnsi"/>
          <w:sz w:val="22"/>
          <w:szCs w:val="22"/>
        </w:rPr>
        <w:t>The cumulative deficit in the government budget</w:t>
      </w:r>
      <w:r w:rsidR="0072321A" w:rsidRPr="00DA50E0">
        <w:rPr>
          <w:rFonts w:asciiTheme="minorHAnsi" w:hAnsiTheme="minorHAnsi" w:cstheme="minorHAnsi"/>
          <w:sz w:val="22"/>
          <w:szCs w:val="22"/>
        </w:rPr>
        <w:t xml:space="preserve"> in the past 12 months</w:t>
      </w:r>
      <w:r w:rsidR="00446E4B" w:rsidRPr="00DA50E0">
        <w:rPr>
          <w:rFonts w:asciiTheme="minorHAnsi" w:hAnsiTheme="minorHAnsi" w:cstheme="minorHAnsi"/>
          <w:sz w:val="22"/>
          <w:szCs w:val="22"/>
        </w:rPr>
        <w:t xml:space="preserve"> </w:t>
      </w:r>
      <w:r w:rsidR="00E55E97" w:rsidRPr="00DA50E0">
        <w:rPr>
          <w:rFonts w:asciiTheme="minorHAnsi" w:hAnsiTheme="minorHAnsi" w:cstheme="minorHAnsi"/>
          <w:sz w:val="22"/>
          <w:szCs w:val="22"/>
        </w:rPr>
        <w:t xml:space="preserve">was </w:t>
      </w:r>
      <w:r w:rsidR="00F542FA" w:rsidRPr="00DA50E0">
        <w:rPr>
          <w:rFonts w:asciiTheme="minorHAnsi" w:hAnsiTheme="minorHAnsi" w:cstheme="minorHAnsi"/>
          <w:sz w:val="22"/>
          <w:szCs w:val="22"/>
        </w:rPr>
        <w:t>3.8</w:t>
      </w:r>
      <w:r w:rsidR="0072321A" w:rsidRPr="00DA50E0">
        <w:rPr>
          <w:rFonts w:asciiTheme="minorHAnsi" w:hAnsiTheme="minorHAnsi" w:cstheme="minorHAnsi"/>
          <w:sz w:val="22"/>
          <w:szCs w:val="22"/>
        </w:rPr>
        <w:t xml:space="preserve"> percent of GDP</w:t>
      </w:r>
      <w:r w:rsidR="00446E4B" w:rsidRPr="00DA50E0">
        <w:rPr>
          <w:rFonts w:asciiTheme="minorHAnsi" w:hAnsiTheme="minorHAnsi" w:cstheme="minorHAnsi"/>
          <w:sz w:val="22"/>
          <w:szCs w:val="22"/>
        </w:rPr>
        <w:t xml:space="preserve"> in </w:t>
      </w:r>
      <w:r w:rsidR="00F542FA" w:rsidRPr="00DA50E0">
        <w:rPr>
          <w:rFonts w:asciiTheme="minorHAnsi" w:hAnsiTheme="minorHAnsi" w:cstheme="minorHAnsi"/>
          <w:sz w:val="22"/>
          <w:szCs w:val="22"/>
        </w:rPr>
        <w:t xml:space="preserve">May, similar to April, mainly due to the low level of government expenditures in view of the interim budget in the first quarter of the year, which </w:t>
      </w:r>
      <w:proofErr w:type="gramStart"/>
      <w:r w:rsidR="00F542FA" w:rsidRPr="00DA50E0">
        <w:rPr>
          <w:rFonts w:asciiTheme="minorHAnsi" w:hAnsiTheme="minorHAnsi" w:cstheme="minorHAnsi"/>
          <w:sz w:val="22"/>
          <w:szCs w:val="22"/>
        </w:rPr>
        <w:t>are expected</w:t>
      </w:r>
      <w:proofErr w:type="gramEnd"/>
      <w:r w:rsidR="00F542FA" w:rsidRPr="00DA50E0">
        <w:rPr>
          <w:rFonts w:asciiTheme="minorHAnsi" w:hAnsiTheme="minorHAnsi" w:cstheme="minorHAnsi"/>
          <w:sz w:val="22"/>
          <w:szCs w:val="22"/>
        </w:rPr>
        <w:t xml:space="preserve"> to increase during the rest of the year</w:t>
      </w:r>
      <w:r w:rsidR="006872F2" w:rsidRPr="00DA50E0">
        <w:rPr>
          <w:rFonts w:asciiTheme="minorHAnsi" w:hAnsiTheme="minorHAnsi" w:cstheme="minorHAnsi"/>
          <w:sz w:val="22"/>
          <w:szCs w:val="22"/>
        </w:rPr>
        <w:t>.</w:t>
      </w:r>
      <w:r w:rsidR="00C1765B" w:rsidRPr="00DA50E0">
        <w:rPr>
          <w:rFonts w:asciiTheme="minorHAnsi" w:hAnsiTheme="minorHAnsi" w:cstheme="minorHAnsi"/>
          <w:sz w:val="22"/>
          <w:szCs w:val="22"/>
        </w:rPr>
        <w:t xml:space="preserve"> </w:t>
      </w:r>
      <w:r w:rsidR="006872F2" w:rsidRPr="00DA50E0">
        <w:rPr>
          <w:rFonts w:asciiTheme="minorHAnsi" w:hAnsiTheme="minorHAnsi" w:cstheme="minorHAnsi"/>
          <w:sz w:val="22"/>
          <w:szCs w:val="22"/>
        </w:rPr>
        <w:t>G</w:t>
      </w:r>
      <w:r w:rsidR="00C1765B" w:rsidRPr="00DA50E0">
        <w:rPr>
          <w:rFonts w:asciiTheme="minorHAnsi" w:hAnsiTheme="minorHAnsi" w:cstheme="minorHAnsi"/>
          <w:sz w:val="22"/>
          <w:szCs w:val="22"/>
        </w:rPr>
        <w:t xml:space="preserve">overnment </w:t>
      </w:r>
      <w:r w:rsidR="003A1FB0" w:rsidRPr="00DA50E0">
        <w:rPr>
          <w:rFonts w:asciiTheme="minorHAnsi" w:hAnsiTheme="minorHAnsi" w:cstheme="minorHAnsi"/>
          <w:sz w:val="22"/>
          <w:szCs w:val="22"/>
        </w:rPr>
        <w:t xml:space="preserve">receipts </w:t>
      </w:r>
      <w:r w:rsidR="006872F2" w:rsidRPr="00DA50E0">
        <w:rPr>
          <w:rFonts w:asciiTheme="minorHAnsi" w:hAnsiTheme="minorHAnsi" w:cstheme="minorHAnsi"/>
          <w:sz w:val="22"/>
          <w:szCs w:val="22"/>
        </w:rPr>
        <w:t xml:space="preserve">from direct taxation </w:t>
      </w:r>
      <w:r w:rsidR="003A1FB0" w:rsidRPr="00DA50E0">
        <w:rPr>
          <w:rFonts w:asciiTheme="minorHAnsi" w:hAnsiTheme="minorHAnsi" w:cstheme="minorHAnsi"/>
          <w:sz w:val="22"/>
          <w:szCs w:val="22"/>
        </w:rPr>
        <w:t xml:space="preserve">in </w:t>
      </w:r>
      <w:r w:rsidR="00F542FA" w:rsidRPr="00DA50E0">
        <w:rPr>
          <w:rFonts w:asciiTheme="minorHAnsi" w:hAnsiTheme="minorHAnsi" w:cstheme="minorHAnsi"/>
          <w:sz w:val="22"/>
          <w:szCs w:val="22"/>
        </w:rPr>
        <w:t>May</w:t>
      </w:r>
      <w:r w:rsidR="00C1765B" w:rsidRPr="00DA50E0">
        <w:rPr>
          <w:rFonts w:asciiTheme="minorHAnsi" w:hAnsiTheme="minorHAnsi" w:cstheme="minorHAnsi"/>
          <w:sz w:val="22"/>
          <w:szCs w:val="22"/>
        </w:rPr>
        <w:t xml:space="preserve"> (in fixed prices and net of legislative changes and one-off revenues)</w:t>
      </w:r>
      <w:r w:rsidR="00446E4B" w:rsidRPr="00DA50E0">
        <w:rPr>
          <w:rFonts w:asciiTheme="minorHAnsi" w:hAnsiTheme="minorHAnsi" w:cstheme="minorHAnsi"/>
          <w:sz w:val="22"/>
          <w:szCs w:val="22"/>
        </w:rPr>
        <w:t xml:space="preserve"> </w:t>
      </w:r>
      <w:r w:rsidR="009731C7" w:rsidRPr="00DA50E0">
        <w:rPr>
          <w:rFonts w:asciiTheme="minorHAnsi" w:hAnsiTheme="minorHAnsi" w:cstheme="minorHAnsi"/>
          <w:sz w:val="22"/>
          <w:szCs w:val="22"/>
        </w:rPr>
        <w:t>remain above</w:t>
      </w:r>
      <w:r w:rsidR="00C1765B" w:rsidRPr="00DA50E0">
        <w:rPr>
          <w:rFonts w:asciiTheme="minorHAnsi" w:hAnsiTheme="minorHAnsi" w:cstheme="minorHAnsi"/>
          <w:sz w:val="22"/>
          <w:szCs w:val="22"/>
        </w:rPr>
        <w:t xml:space="preserve"> the long-term trend</w:t>
      </w:r>
      <w:r w:rsidR="003A1FB0" w:rsidRPr="00DA50E0">
        <w:rPr>
          <w:rFonts w:asciiTheme="minorHAnsi" w:hAnsiTheme="minorHAnsi" w:cstheme="minorHAnsi"/>
          <w:sz w:val="22"/>
          <w:szCs w:val="22"/>
        </w:rPr>
        <w:t xml:space="preserve"> (</w:t>
      </w:r>
      <w:r w:rsidR="003A1FB0" w:rsidRPr="00DA50E0">
        <w:rPr>
          <w:rFonts w:asciiTheme="minorHAnsi" w:hAnsiTheme="minorHAnsi" w:cstheme="minorHAnsi"/>
          <w:b/>
          <w:bCs/>
          <w:sz w:val="22"/>
          <w:szCs w:val="22"/>
        </w:rPr>
        <w:t xml:space="preserve">Figure </w:t>
      </w:r>
      <w:r w:rsidR="000D73D6" w:rsidRPr="00DA50E0">
        <w:rPr>
          <w:rFonts w:asciiTheme="minorHAnsi" w:hAnsiTheme="minorHAnsi" w:cstheme="minorHAnsi"/>
          <w:b/>
          <w:bCs/>
          <w:sz w:val="22"/>
          <w:szCs w:val="22"/>
        </w:rPr>
        <w:t>1</w:t>
      </w:r>
      <w:r w:rsidR="00BC42F1" w:rsidRPr="00DA50E0">
        <w:rPr>
          <w:rFonts w:asciiTheme="minorHAnsi" w:hAnsiTheme="minorHAnsi" w:cstheme="minorHAnsi"/>
          <w:b/>
          <w:bCs/>
          <w:sz w:val="22"/>
          <w:szCs w:val="22"/>
        </w:rPr>
        <w:t>4</w:t>
      </w:r>
      <w:r w:rsidR="003A1FB0" w:rsidRPr="00DA50E0">
        <w:rPr>
          <w:rFonts w:asciiTheme="minorHAnsi" w:hAnsiTheme="minorHAnsi" w:cstheme="minorHAnsi"/>
          <w:sz w:val="22"/>
          <w:szCs w:val="22"/>
        </w:rPr>
        <w:t>).</w:t>
      </w:r>
      <w:r w:rsidR="00C1765B" w:rsidRPr="00DA50E0">
        <w:rPr>
          <w:rFonts w:asciiTheme="minorHAnsi" w:hAnsiTheme="minorHAnsi" w:cstheme="minorHAnsi"/>
          <w:sz w:val="22"/>
          <w:szCs w:val="22"/>
        </w:rPr>
        <w:t xml:space="preserve">  </w:t>
      </w:r>
    </w:p>
    <w:p w:rsidR="006872F2" w:rsidRPr="00DA50E0" w:rsidRDefault="006872F2" w:rsidP="006872F2">
      <w:pPr>
        <w:ind w:right="-1"/>
        <w:jc w:val="both"/>
        <w:rPr>
          <w:rFonts w:asciiTheme="minorHAnsi" w:hAnsiTheme="minorHAnsi" w:cstheme="minorHAnsi"/>
          <w:sz w:val="22"/>
          <w:szCs w:val="22"/>
        </w:rPr>
      </w:pPr>
    </w:p>
    <w:p w:rsidR="00F43BB0" w:rsidRPr="00DA50E0" w:rsidRDefault="00221F10" w:rsidP="00B4369C">
      <w:pPr>
        <w:ind w:right="-1"/>
        <w:jc w:val="both"/>
        <w:rPr>
          <w:rFonts w:asciiTheme="minorHAnsi" w:hAnsiTheme="minorHAnsi" w:cstheme="minorHAnsi"/>
          <w:sz w:val="22"/>
          <w:szCs w:val="22"/>
          <w:rtl/>
        </w:rPr>
      </w:pPr>
      <w:r w:rsidRPr="00DA50E0">
        <w:rPr>
          <w:rFonts w:asciiTheme="minorHAnsi" w:hAnsiTheme="minorHAnsi" w:cstheme="minorHAnsi"/>
          <w:color w:val="242424"/>
          <w:sz w:val="22"/>
          <w:szCs w:val="22"/>
        </w:rPr>
        <w:t>T</w:t>
      </w:r>
      <w:r w:rsidR="0075186B" w:rsidRPr="00DA50E0">
        <w:rPr>
          <w:rFonts w:asciiTheme="minorHAnsi" w:hAnsiTheme="minorHAnsi" w:cstheme="minorHAnsi"/>
          <w:color w:val="242424"/>
          <w:sz w:val="22"/>
          <w:szCs w:val="22"/>
        </w:rPr>
        <w:t>he labor market remains tight</w:t>
      </w:r>
      <w:r w:rsidR="00A44540" w:rsidRPr="00DA50E0">
        <w:rPr>
          <w:rFonts w:asciiTheme="minorHAnsi" w:hAnsiTheme="minorHAnsi" w:cstheme="minorHAnsi"/>
          <w:color w:val="242424"/>
          <w:sz w:val="22"/>
          <w:szCs w:val="22"/>
        </w:rPr>
        <w:t>.</w:t>
      </w:r>
      <w:r w:rsidRPr="00DA50E0">
        <w:rPr>
          <w:rFonts w:asciiTheme="minorHAnsi" w:hAnsiTheme="minorHAnsi" w:cstheme="minorHAnsi"/>
          <w:color w:val="242424"/>
          <w:sz w:val="22"/>
          <w:szCs w:val="22"/>
        </w:rPr>
        <w:t xml:space="preserve"> </w:t>
      </w:r>
      <w:r w:rsidR="00A44540" w:rsidRPr="00DA50E0">
        <w:rPr>
          <w:rFonts w:asciiTheme="minorHAnsi" w:hAnsiTheme="minorHAnsi" w:cstheme="minorHAnsi"/>
          <w:color w:val="242424"/>
          <w:sz w:val="22"/>
          <w:szCs w:val="22"/>
        </w:rPr>
        <w:t>The rate of absentees due to reserve mobilization declined to 0.5 percent in May.</w:t>
      </w:r>
      <w:r w:rsidR="006249A1" w:rsidRPr="00DA50E0">
        <w:rPr>
          <w:rFonts w:asciiTheme="minorHAnsi" w:hAnsiTheme="minorHAnsi" w:cstheme="minorHAnsi"/>
          <w:color w:val="242424"/>
          <w:sz w:val="22"/>
          <w:szCs w:val="22"/>
        </w:rPr>
        <w:t xml:space="preserve"> </w:t>
      </w:r>
      <w:r w:rsidR="006249A1" w:rsidRPr="00DA50E0">
        <w:rPr>
          <w:rFonts w:asciiTheme="minorHAnsi" w:hAnsiTheme="minorHAnsi" w:cstheme="minorHAnsi"/>
          <w:sz w:val="22"/>
          <w:szCs w:val="22"/>
        </w:rPr>
        <w:t xml:space="preserve">The broad unemployment rate among the prime working ages (25–64) </w:t>
      </w:r>
      <w:r w:rsidR="00A44540" w:rsidRPr="00DA50E0">
        <w:rPr>
          <w:rFonts w:asciiTheme="minorHAnsi" w:hAnsiTheme="minorHAnsi" w:cstheme="minorHAnsi"/>
          <w:sz w:val="22"/>
          <w:szCs w:val="22"/>
        </w:rPr>
        <w:t>declined to</w:t>
      </w:r>
      <w:r w:rsidR="006249A1" w:rsidRPr="00DA50E0">
        <w:rPr>
          <w:rFonts w:asciiTheme="minorHAnsi" w:hAnsiTheme="minorHAnsi" w:cstheme="minorHAnsi"/>
          <w:sz w:val="22"/>
          <w:szCs w:val="22"/>
        </w:rPr>
        <w:t xml:space="preserve"> 3 percent in </w:t>
      </w:r>
      <w:r w:rsidR="00A44540" w:rsidRPr="00DA50E0">
        <w:rPr>
          <w:rFonts w:asciiTheme="minorHAnsi" w:hAnsiTheme="minorHAnsi" w:cstheme="minorHAnsi"/>
          <w:sz w:val="22"/>
          <w:szCs w:val="22"/>
        </w:rPr>
        <w:t>May</w:t>
      </w:r>
      <w:r w:rsidR="006249A1" w:rsidRPr="00DA50E0">
        <w:rPr>
          <w:rFonts w:asciiTheme="minorHAnsi" w:hAnsiTheme="minorHAnsi" w:cstheme="minorHAnsi"/>
          <w:sz w:val="22"/>
          <w:szCs w:val="22"/>
        </w:rPr>
        <w:t xml:space="preserve"> (</w:t>
      </w:r>
      <w:r w:rsidR="006249A1" w:rsidRPr="00DA50E0">
        <w:rPr>
          <w:rFonts w:asciiTheme="minorHAnsi" w:hAnsiTheme="minorHAnsi" w:cstheme="minorHAnsi"/>
          <w:b/>
          <w:bCs/>
          <w:sz w:val="22"/>
          <w:szCs w:val="22"/>
        </w:rPr>
        <w:t>Figure 1</w:t>
      </w:r>
      <w:r w:rsidR="00BC42F1" w:rsidRPr="00DA50E0">
        <w:rPr>
          <w:rFonts w:asciiTheme="minorHAnsi" w:hAnsiTheme="minorHAnsi" w:cstheme="minorHAnsi"/>
          <w:b/>
          <w:bCs/>
          <w:sz w:val="22"/>
          <w:szCs w:val="22"/>
        </w:rPr>
        <w:t>5a</w:t>
      </w:r>
      <w:r w:rsidR="006249A1" w:rsidRPr="00DA50E0">
        <w:rPr>
          <w:rFonts w:asciiTheme="minorHAnsi" w:hAnsiTheme="minorHAnsi" w:cstheme="minorHAnsi"/>
          <w:sz w:val="22"/>
          <w:szCs w:val="22"/>
        </w:rPr>
        <w:t xml:space="preserve">). </w:t>
      </w:r>
      <w:r w:rsidR="00A44540" w:rsidRPr="00DA50E0">
        <w:rPr>
          <w:rFonts w:asciiTheme="minorHAnsi" w:hAnsiTheme="minorHAnsi" w:cstheme="minorHAnsi"/>
          <w:sz w:val="22"/>
          <w:szCs w:val="22"/>
        </w:rPr>
        <w:t>The job vacancy rate increased slightly to 4.2 percent in May, but remains lower than it was prior to Operation Roaring Lion and prior to October 7, 2023 (</w:t>
      </w:r>
      <w:r w:rsidR="00A44540" w:rsidRPr="00DA50E0">
        <w:rPr>
          <w:rFonts w:asciiTheme="minorHAnsi" w:hAnsiTheme="minorHAnsi" w:cstheme="minorHAnsi"/>
          <w:b/>
          <w:bCs/>
          <w:sz w:val="22"/>
          <w:szCs w:val="22"/>
        </w:rPr>
        <w:t>Figure 1</w:t>
      </w:r>
      <w:r w:rsidR="00BC42F1" w:rsidRPr="00DA50E0">
        <w:rPr>
          <w:rFonts w:asciiTheme="minorHAnsi" w:hAnsiTheme="minorHAnsi" w:cstheme="minorHAnsi"/>
          <w:b/>
          <w:bCs/>
          <w:sz w:val="22"/>
          <w:szCs w:val="22"/>
        </w:rPr>
        <w:t>6a</w:t>
      </w:r>
      <w:r w:rsidR="00A44540" w:rsidRPr="00DA50E0">
        <w:rPr>
          <w:rFonts w:asciiTheme="minorHAnsi" w:hAnsiTheme="minorHAnsi" w:cstheme="minorHAnsi"/>
          <w:sz w:val="22"/>
          <w:szCs w:val="22"/>
        </w:rPr>
        <w:t>)</w:t>
      </w:r>
      <w:r w:rsidR="00F43BB0" w:rsidRPr="00DA50E0">
        <w:rPr>
          <w:rFonts w:asciiTheme="minorHAnsi" w:hAnsiTheme="minorHAnsi" w:cstheme="minorHAnsi"/>
          <w:sz w:val="22"/>
          <w:szCs w:val="22"/>
        </w:rPr>
        <w:t>. Similar to previous months,</w:t>
      </w:r>
      <w:r w:rsidR="00A44540" w:rsidRPr="00DA50E0">
        <w:rPr>
          <w:rFonts w:asciiTheme="minorHAnsi" w:hAnsiTheme="minorHAnsi" w:cstheme="minorHAnsi"/>
          <w:b/>
          <w:bCs/>
          <w:sz w:val="22"/>
          <w:szCs w:val="22"/>
        </w:rPr>
        <w:t xml:space="preserve"> </w:t>
      </w:r>
      <w:r w:rsidR="00F43BB0" w:rsidRPr="00DA50E0">
        <w:rPr>
          <w:rFonts w:asciiTheme="minorHAnsi" w:hAnsiTheme="minorHAnsi" w:cstheme="minorHAnsi"/>
          <w:sz w:val="22"/>
          <w:szCs w:val="22"/>
        </w:rPr>
        <w:t>t</w:t>
      </w:r>
      <w:r w:rsidR="0075186B" w:rsidRPr="00DA50E0">
        <w:rPr>
          <w:rFonts w:asciiTheme="minorHAnsi" w:hAnsiTheme="minorHAnsi" w:cstheme="minorHAnsi"/>
          <w:sz w:val="22"/>
          <w:szCs w:val="22"/>
        </w:rPr>
        <w:t>he employment</w:t>
      </w:r>
      <w:r w:rsidR="00F43BB0" w:rsidRPr="00DA50E0">
        <w:rPr>
          <w:rFonts w:asciiTheme="minorHAnsi" w:hAnsiTheme="minorHAnsi" w:cstheme="minorHAnsi"/>
          <w:sz w:val="22"/>
          <w:szCs w:val="22"/>
        </w:rPr>
        <w:t xml:space="preserve"> and participation</w:t>
      </w:r>
      <w:r w:rsidR="0075186B" w:rsidRPr="00DA50E0">
        <w:rPr>
          <w:rFonts w:asciiTheme="minorHAnsi" w:hAnsiTheme="minorHAnsi" w:cstheme="minorHAnsi"/>
          <w:sz w:val="22"/>
          <w:szCs w:val="22"/>
        </w:rPr>
        <w:t xml:space="preserve"> rate</w:t>
      </w:r>
      <w:r w:rsidR="00F43BB0" w:rsidRPr="00DA50E0">
        <w:rPr>
          <w:rFonts w:asciiTheme="minorHAnsi" w:hAnsiTheme="minorHAnsi" w:cstheme="minorHAnsi"/>
          <w:sz w:val="22"/>
          <w:szCs w:val="22"/>
        </w:rPr>
        <w:t>s</w:t>
      </w:r>
      <w:r w:rsidR="0075186B" w:rsidRPr="00DA50E0">
        <w:rPr>
          <w:rFonts w:asciiTheme="minorHAnsi" w:hAnsiTheme="minorHAnsi" w:cstheme="minorHAnsi"/>
          <w:sz w:val="22"/>
          <w:szCs w:val="22"/>
        </w:rPr>
        <w:t xml:space="preserve"> </w:t>
      </w:r>
      <w:r w:rsidR="00120E6C" w:rsidRPr="00DA50E0">
        <w:rPr>
          <w:rFonts w:asciiTheme="minorHAnsi" w:hAnsiTheme="minorHAnsi" w:cstheme="minorHAnsi"/>
          <w:sz w:val="22"/>
          <w:szCs w:val="22"/>
        </w:rPr>
        <w:t xml:space="preserve">among those aged 15+ </w:t>
      </w:r>
      <w:r w:rsidR="00A44540" w:rsidRPr="00DA50E0">
        <w:rPr>
          <w:rFonts w:asciiTheme="minorHAnsi" w:hAnsiTheme="minorHAnsi" w:cstheme="minorHAnsi"/>
          <w:sz w:val="22"/>
          <w:szCs w:val="22"/>
        </w:rPr>
        <w:t>declined in May</w:t>
      </w:r>
      <w:r w:rsidR="00F43BB0" w:rsidRPr="00DA50E0">
        <w:rPr>
          <w:rFonts w:asciiTheme="minorHAnsi" w:hAnsiTheme="minorHAnsi" w:cstheme="minorHAnsi"/>
          <w:sz w:val="22"/>
          <w:szCs w:val="22"/>
        </w:rPr>
        <w:t>,</w:t>
      </w:r>
      <w:r w:rsidR="00A44540" w:rsidRPr="00DA50E0">
        <w:rPr>
          <w:rFonts w:asciiTheme="minorHAnsi" w:hAnsiTheme="minorHAnsi" w:cstheme="minorHAnsi"/>
          <w:sz w:val="22"/>
          <w:szCs w:val="22"/>
        </w:rPr>
        <w:t xml:space="preserve"> </w:t>
      </w:r>
      <w:r w:rsidR="0075186B" w:rsidRPr="00DA50E0">
        <w:rPr>
          <w:rFonts w:asciiTheme="minorHAnsi" w:hAnsiTheme="minorHAnsi" w:cstheme="minorHAnsi"/>
          <w:sz w:val="22"/>
          <w:szCs w:val="22"/>
        </w:rPr>
        <w:t xml:space="preserve">to </w:t>
      </w:r>
      <w:r w:rsidR="00A44540" w:rsidRPr="00DA50E0">
        <w:rPr>
          <w:rFonts w:asciiTheme="minorHAnsi" w:hAnsiTheme="minorHAnsi" w:cstheme="minorHAnsi"/>
          <w:sz w:val="22"/>
          <w:szCs w:val="22"/>
        </w:rPr>
        <w:t>60 percent</w:t>
      </w:r>
      <w:r w:rsidR="0075186B" w:rsidRPr="00DA50E0">
        <w:rPr>
          <w:rFonts w:asciiTheme="minorHAnsi" w:hAnsiTheme="minorHAnsi" w:cstheme="minorHAnsi"/>
          <w:sz w:val="22"/>
          <w:szCs w:val="22"/>
        </w:rPr>
        <w:t xml:space="preserve"> and </w:t>
      </w:r>
      <w:r w:rsidR="00A44540" w:rsidRPr="00DA50E0">
        <w:rPr>
          <w:rFonts w:asciiTheme="minorHAnsi" w:hAnsiTheme="minorHAnsi" w:cstheme="minorHAnsi"/>
          <w:sz w:val="22"/>
          <w:szCs w:val="22"/>
        </w:rPr>
        <w:t>6</w:t>
      </w:r>
      <w:r w:rsidR="0075186B" w:rsidRPr="00DA50E0">
        <w:rPr>
          <w:rFonts w:asciiTheme="minorHAnsi" w:hAnsiTheme="minorHAnsi" w:cstheme="minorHAnsi"/>
          <w:sz w:val="22"/>
          <w:szCs w:val="22"/>
        </w:rPr>
        <w:t>1.</w:t>
      </w:r>
      <w:r w:rsidR="00A44540" w:rsidRPr="00DA50E0">
        <w:rPr>
          <w:rFonts w:asciiTheme="minorHAnsi" w:hAnsiTheme="minorHAnsi" w:cstheme="minorHAnsi"/>
          <w:sz w:val="22"/>
          <w:szCs w:val="22"/>
        </w:rPr>
        <w:t>6</w:t>
      </w:r>
      <w:r w:rsidR="0075186B" w:rsidRPr="00DA50E0">
        <w:rPr>
          <w:rFonts w:asciiTheme="minorHAnsi" w:hAnsiTheme="minorHAnsi" w:cstheme="minorHAnsi"/>
          <w:sz w:val="22"/>
          <w:szCs w:val="22"/>
        </w:rPr>
        <w:t xml:space="preserve"> percent</w:t>
      </w:r>
      <w:r w:rsidR="00F43BB0" w:rsidRPr="00DA50E0">
        <w:rPr>
          <w:rFonts w:asciiTheme="minorHAnsi" w:hAnsiTheme="minorHAnsi" w:cstheme="minorHAnsi"/>
          <w:sz w:val="22"/>
          <w:szCs w:val="22"/>
        </w:rPr>
        <w:t>, respectively</w:t>
      </w:r>
      <w:r w:rsidR="0072321A" w:rsidRPr="00DA50E0">
        <w:rPr>
          <w:rFonts w:asciiTheme="minorHAnsi" w:hAnsiTheme="minorHAnsi" w:cstheme="minorHAnsi"/>
          <w:sz w:val="22"/>
          <w:szCs w:val="22"/>
        </w:rPr>
        <w:t>.</w:t>
      </w:r>
      <w:r w:rsidR="00F43BB0" w:rsidRPr="00DA50E0">
        <w:rPr>
          <w:rFonts w:asciiTheme="minorHAnsi" w:hAnsiTheme="minorHAnsi" w:cstheme="minorHAnsi"/>
          <w:sz w:val="22"/>
          <w:szCs w:val="22"/>
        </w:rPr>
        <w:t xml:space="preserve">  The declines were most prominent among the younger ages.  Among the prime working ages (25–64), the employment and participation rates remained stable in May, at 78.8 percent and 80.9 percent respectively (</w:t>
      </w:r>
      <w:r w:rsidR="00F43BB0" w:rsidRPr="00DA50E0">
        <w:rPr>
          <w:rFonts w:asciiTheme="minorHAnsi" w:hAnsiTheme="minorHAnsi" w:cstheme="minorHAnsi"/>
          <w:b/>
          <w:bCs/>
          <w:sz w:val="22"/>
          <w:szCs w:val="22"/>
        </w:rPr>
        <w:t>Figure 1</w:t>
      </w:r>
      <w:r w:rsidR="00B4369C" w:rsidRPr="00DA50E0">
        <w:rPr>
          <w:rFonts w:asciiTheme="minorHAnsi" w:hAnsiTheme="minorHAnsi" w:cstheme="minorHAnsi"/>
          <w:b/>
          <w:bCs/>
          <w:sz w:val="22"/>
          <w:szCs w:val="22"/>
        </w:rPr>
        <w:t>5a</w:t>
      </w:r>
      <w:r w:rsidR="00F43BB0" w:rsidRPr="00DA50E0">
        <w:rPr>
          <w:rFonts w:asciiTheme="minorHAnsi" w:hAnsiTheme="minorHAnsi" w:cstheme="minorHAnsi"/>
          <w:sz w:val="22"/>
          <w:szCs w:val="22"/>
        </w:rPr>
        <w:t>).</w:t>
      </w:r>
      <w:r w:rsidR="0075186B" w:rsidRPr="00DA50E0">
        <w:rPr>
          <w:rFonts w:asciiTheme="minorHAnsi" w:hAnsiTheme="minorHAnsi" w:cstheme="minorHAnsi"/>
          <w:sz w:val="22"/>
          <w:szCs w:val="22"/>
        </w:rPr>
        <w:t xml:space="preserve"> </w:t>
      </w:r>
      <w:r w:rsidR="00F43BB0" w:rsidRPr="00DA50E0">
        <w:rPr>
          <w:rFonts w:asciiTheme="minorHAnsi" w:hAnsiTheme="minorHAnsi" w:cstheme="minorHAnsi"/>
          <w:sz w:val="22"/>
          <w:szCs w:val="22"/>
        </w:rPr>
        <w:t>W</w:t>
      </w:r>
      <w:r w:rsidR="0075186B" w:rsidRPr="00DA50E0">
        <w:rPr>
          <w:rFonts w:asciiTheme="minorHAnsi" w:hAnsiTheme="minorHAnsi" w:cstheme="minorHAnsi"/>
          <w:sz w:val="22"/>
          <w:szCs w:val="22"/>
        </w:rPr>
        <w:t>age</w:t>
      </w:r>
      <w:r w:rsidR="00F43BB0" w:rsidRPr="00DA50E0">
        <w:rPr>
          <w:rFonts w:asciiTheme="minorHAnsi" w:hAnsiTheme="minorHAnsi" w:cstheme="minorHAnsi"/>
          <w:sz w:val="22"/>
          <w:szCs w:val="22"/>
        </w:rPr>
        <w:t>s are</w:t>
      </w:r>
      <w:r w:rsidR="00E43071" w:rsidRPr="00DA50E0">
        <w:rPr>
          <w:rFonts w:asciiTheme="minorHAnsi" w:hAnsiTheme="minorHAnsi" w:cstheme="minorHAnsi"/>
          <w:sz w:val="22"/>
          <w:szCs w:val="22"/>
        </w:rPr>
        <w:t xml:space="preserve"> increas</w:t>
      </w:r>
      <w:r w:rsidR="00F43BB0" w:rsidRPr="00DA50E0">
        <w:rPr>
          <w:rFonts w:asciiTheme="minorHAnsi" w:hAnsiTheme="minorHAnsi" w:cstheme="minorHAnsi"/>
          <w:sz w:val="22"/>
          <w:szCs w:val="22"/>
        </w:rPr>
        <w:t>ing rapidly, reflecting a tight labor market.  Wages increased by 6.8 percent in March–May</w:t>
      </w:r>
      <w:r w:rsidR="0054578F" w:rsidRPr="00DA50E0">
        <w:rPr>
          <w:rFonts w:asciiTheme="minorHAnsi" w:hAnsiTheme="minorHAnsi" w:cstheme="minorHAnsi"/>
          <w:sz w:val="22"/>
          <w:szCs w:val="22"/>
        </w:rPr>
        <w:t xml:space="preserve"> relative to the same period last year</w:t>
      </w:r>
      <w:r w:rsidR="00970DF3" w:rsidRPr="00DA50E0">
        <w:rPr>
          <w:rFonts w:asciiTheme="minorHAnsi" w:hAnsiTheme="minorHAnsi" w:cstheme="minorHAnsi"/>
          <w:sz w:val="22"/>
          <w:szCs w:val="22"/>
        </w:rPr>
        <w:t>.</w:t>
      </w:r>
      <w:r w:rsidR="00454674" w:rsidRPr="00DA50E0">
        <w:rPr>
          <w:rFonts w:asciiTheme="minorHAnsi" w:hAnsiTheme="minorHAnsi" w:cstheme="minorHAnsi"/>
          <w:sz w:val="22"/>
          <w:szCs w:val="22"/>
        </w:rPr>
        <w:t xml:space="preserve"> </w:t>
      </w:r>
      <w:r w:rsidR="00F43BB0" w:rsidRPr="00DA50E0">
        <w:rPr>
          <w:rFonts w:asciiTheme="minorHAnsi" w:hAnsiTheme="minorHAnsi" w:cstheme="minorHAnsi"/>
          <w:sz w:val="22"/>
          <w:szCs w:val="22"/>
        </w:rPr>
        <w:t>The increase in wages partly reflects increases in the minimum wage and in public sector wages.  The pace of wage increases in the business sector rose to 6.4 percent in February–April, relative to the same period last year (</w:t>
      </w:r>
      <w:r w:rsidR="00F43BB0" w:rsidRPr="00DA50E0">
        <w:rPr>
          <w:rFonts w:asciiTheme="minorHAnsi" w:hAnsiTheme="minorHAnsi" w:cstheme="minorHAnsi"/>
          <w:b/>
          <w:bCs/>
          <w:sz w:val="22"/>
          <w:szCs w:val="22"/>
        </w:rPr>
        <w:t>Figure 1</w:t>
      </w:r>
      <w:r w:rsidR="00BC42F1" w:rsidRPr="00DA50E0">
        <w:rPr>
          <w:rFonts w:asciiTheme="minorHAnsi" w:hAnsiTheme="minorHAnsi" w:cstheme="minorHAnsi"/>
          <w:b/>
          <w:bCs/>
          <w:sz w:val="22"/>
          <w:szCs w:val="22"/>
        </w:rPr>
        <w:t>7</w:t>
      </w:r>
      <w:r w:rsidR="00F43BB0" w:rsidRPr="00DA50E0">
        <w:rPr>
          <w:rFonts w:asciiTheme="minorHAnsi" w:hAnsiTheme="minorHAnsi" w:cstheme="minorHAnsi"/>
          <w:sz w:val="22"/>
          <w:szCs w:val="22"/>
        </w:rPr>
        <w:t>).</w:t>
      </w:r>
      <w:r w:rsidR="005D7167" w:rsidRPr="00DA50E0">
        <w:rPr>
          <w:rFonts w:asciiTheme="minorHAnsi" w:hAnsiTheme="minorHAnsi" w:cstheme="minorHAnsi"/>
          <w:sz w:val="22"/>
          <w:szCs w:val="22"/>
        </w:rPr>
        <w:t xml:space="preserve"> However, the data </w:t>
      </w:r>
      <w:proofErr w:type="gramStart"/>
      <w:r w:rsidR="005D7167" w:rsidRPr="00DA50E0">
        <w:rPr>
          <w:rFonts w:asciiTheme="minorHAnsi" w:hAnsiTheme="minorHAnsi" w:cstheme="minorHAnsi"/>
          <w:sz w:val="22"/>
          <w:szCs w:val="22"/>
        </w:rPr>
        <w:t>are still influenced</w:t>
      </w:r>
      <w:proofErr w:type="gramEnd"/>
      <w:r w:rsidR="005D7167" w:rsidRPr="00DA50E0">
        <w:rPr>
          <w:rFonts w:asciiTheme="minorHAnsi" w:hAnsiTheme="minorHAnsi" w:cstheme="minorHAnsi"/>
          <w:sz w:val="22"/>
          <w:szCs w:val="22"/>
        </w:rPr>
        <w:t xml:space="preserve"> by changes in the composition of labor due to the effects of Operation Roaring Lion.</w:t>
      </w:r>
    </w:p>
    <w:p w:rsidR="00F43BB0" w:rsidRPr="00DA50E0" w:rsidRDefault="00F43BB0" w:rsidP="00F43BB0">
      <w:pPr>
        <w:ind w:right="-1"/>
        <w:jc w:val="both"/>
        <w:rPr>
          <w:rFonts w:asciiTheme="minorHAnsi" w:hAnsiTheme="minorHAnsi" w:cstheme="minorHAnsi"/>
          <w:sz w:val="22"/>
          <w:szCs w:val="22"/>
        </w:rPr>
      </w:pPr>
    </w:p>
    <w:p w:rsidR="00383E0B" w:rsidRPr="00DA50E0" w:rsidRDefault="00F43BB0" w:rsidP="002B6560">
      <w:pPr>
        <w:ind w:right="-1"/>
        <w:jc w:val="both"/>
        <w:rPr>
          <w:rFonts w:asciiTheme="minorHAnsi" w:hAnsiTheme="minorHAnsi" w:cstheme="minorHAnsi"/>
          <w:sz w:val="22"/>
          <w:szCs w:val="22"/>
        </w:rPr>
      </w:pPr>
      <w:r w:rsidRPr="00DA50E0">
        <w:rPr>
          <w:rFonts w:asciiTheme="minorHAnsi" w:hAnsiTheme="minorHAnsi" w:cstheme="minorHAnsi"/>
          <w:sz w:val="22"/>
          <w:szCs w:val="22"/>
        </w:rPr>
        <w:t>The level of activity in the construction industry remains relatively high.  According to Central Bureau of Statistics data, in the first quarter of 2026, the annual pace of building starts was about 7</w:t>
      </w:r>
      <w:r w:rsidR="00B4369C" w:rsidRPr="00DA50E0">
        <w:rPr>
          <w:rFonts w:asciiTheme="minorHAnsi" w:hAnsiTheme="minorHAnsi" w:cstheme="minorHAnsi"/>
          <w:sz w:val="22"/>
          <w:szCs w:val="22"/>
        </w:rPr>
        <w:t>6</w:t>
      </w:r>
      <w:r w:rsidRPr="00DA50E0">
        <w:rPr>
          <w:rFonts w:asciiTheme="minorHAnsi" w:hAnsiTheme="minorHAnsi" w:cstheme="minorHAnsi"/>
          <w:sz w:val="22"/>
          <w:szCs w:val="22"/>
        </w:rPr>
        <w:t>,000, building completions continue to increase, and building permits remained stable at a high volume</w:t>
      </w:r>
      <w:r w:rsidR="00B4369C" w:rsidRPr="00DA50E0">
        <w:rPr>
          <w:rFonts w:asciiTheme="minorHAnsi" w:hAnsiTheme="minorHAnsi" w:cstheme="minorHAnsi"/>
          <w:sz w:val="22"/>
          <w:szCs w:val="22"/>
        </w:rPr>
        <w:t xml:space="preserve"> (</w:t>
      </w:r>
      <w:r w:rsidR="00B4369C" w:rsidRPr="00DA50E0">
        <w:rPr>
          <w:rFonts w:asciiTheme="minorHAnsi" w:hAnsiTheme="minorHAnsi" w:cstheme="minorHAnsi"/>
          <w:b/>
          <w:bCs/>
          <w:sz w:val="22"/>
          <w:szCs w:val="22"/>
        </w:rPr>
        <w:t>Figure 19</w:t>
      </w:r>
      <w:r w:rsidR="00B4369C" w:rsidRPr="00DA50E0">
        <w:rPr>
          <w:rFonts w:asciiTheme="minorHAnsi" w:hAnsiTheme="minorHAnsi" w:cstheme="minorHAnsi"/>
          <w:sz w:val="22"/>
          <w:szCs w:val="22"/>
        </w:rPr>
        <w:t>)</w:t>
      </w:r>
      <w:r w:rsidRPr="00DA50E0">
        <w:rPr>
          <w:rFonts w:asciiTheme="minorHAnsi" w:hAnsiTheme="minorHAnsi" w:cstheme="minorHAnsi"/>
          <w:sz w:val="22"/>
          <w:szCs w:val="22"/>
        </w:rPr>
        <w:t>.  The stock of unsold dwellings remains high.  In March–April, home prices declined by 0.3 percent, and in annual terms they declined by 1.3 percent</w:t>
      </w:r>
      <w:r w:rsidR="00221F10" w:rsidRPr="00DA50E0">
        <w:rPr>
          <w:rFonts w:asciiTheme="minorHAnsi" w:hAnsiTheme="minorHAnsi" w:cstheme="minorHAnsi"/>
          <w:sz w:val="22"/>
          <w:szCs w:val="22"/>
        </w:rPr>
        <w:t xml:space="preserve"> (</w:t>
      </w:r>
      <w:r w:rsidR="00221F10" w:rsidRPr="00DA50E0">
        <w:rPr>
          <w:rFonts w:asciiTheme="minorHAnsi" w:hAnsiTheme="minorHAnsi" w:cstheme="minorHAnsi"/>
          <w:b/>
          <w:bCs/>
          <w:sz w:val="22"/>
          <w:szCs w:val="22"/>
        </w:rPr>
        <w:t>Figure 8</w:t>
      </w:r>
      <w:r w:rsidR="00221F10" w:rsidRPr="00DA50E0">
        <w:rPr>
          <w:rFonts w:asciiTheme="minorHAnsi" w:hAnsiTheme="minorHAnsi" w:cstheme="minorHAnsi"/>
          <w:sz w:val="22"/>
          <w:szCs w:val="22"/>
        </w:rPr>
        <w:t xml:space="preserve">). </w:t>
      </w:r>
      <w:r w:rsidR="005B565F" w:rsidRPr="00DA50E0">
        <w:rPr>
          <w:rFonts w:asciiTheme="minorHAnsi" w:hAnsiTheme="minorHAnsi" w:cstheme="minorHAnsi"/>
          <w:sz w:val="22"/>
          <w:szCs w:val="22"/>
        </w:rPr>
        <w:t xml:space="preserve">In </w:t>
      </w:r>
      <w:r w:rsidR="002B6560">
        <w:rPr>
          <w:rFonts w:asciiTheme="minorHAnsi" w:hAnsiTheme="minorHAnsi" w:cstheme="minorHAnsi"/>
          <w:sz w:val="22"/>
          <w:szCs w:val="22"/>
        </w:rPr>
        <w:t>May</w:t>
      </w:r>
      <w:r w:rsidR="005B565F" w:rsidRPr="00DA50E0">
        <w:rPr>
          <w:rFonts w:asciiTheme="minorHAnsi" w:hAnsiTheme="minorHAnsi" w:cstheme="minorHAnsi"/>
          <w:sz w:val="22"/>
          <w:szCs w:val="22"/>
        </w:rPr>
        <w:t xml:space="preserve">, mortgage borrowing totaled about NIS </w:t>
      </w:r>
      <w:r w:rsidR="00383E0B" w:rsidRPr="00DA50E0">
        <w:rPr>
          <w:rFonts w:asciiTheme="minorHAnsi" w:hAnsiTheme="minorHAnsi" w:cstheme="minorHAnsi"/>
          <w:sz w:val="22"/>
          <w:szCs w:val="22"/>
        </w:rPr>
        <w:t>9.5</w:t>
      </w:r>
      <w:r w:rsidR="005B565F" w:rsidRPr="00DA50E0">
        <w:rPr>
          <w:rFonts w:asciiTheme="minorHAnsi" w:hAnsiTheme="minorHAnsi" w:cstheme="minorHAnsi"/>
          <w:sz w:val="22"/>
          <w:szCs w:val="22"/>
        </w:rPr>
        <w:t xml:space="preserve"> billion in seasonally adjusted terms</w:t>
      </w:r>
      <w:r w:rsidR="00221F10" w:rsidRPr="00DA50E0">
        <w:rPr>
          <w:rFonts w:asciiTheme="minorHAnsi" w:hAnsiTheme="minorHAnsi" w:cstheme="minorHAnsi"/>
          <w:sz w:val="22"/>
          <w:szCs w:val="22"/>
        </w:rPr>
        <w:t xml:space="preserve"> (</w:t>
      </w:r>
      <w:r w:rsidR="00221F10" w:rsidRPr="00DA50E0">
        <w:rPr>
          <w:rFonts w:asciiTheme="minorHAnsi" w:hAnsiTheme="minorHAnsi" w:cstheme="minorHAnsi"/>
          <w:b/>
          <w:bCs/>
          <w:sz w:val="22"/>
          <w:szCs w:val="22"/>
        </w:rPr>
        <w:t>Figure 9</w:t>
      </w:r>
      <w:r w:rsidR="00221F10" w:rsidRPr="00DA50E0">
        <w:rPr>
          <w:rFonts w:asciiTheme="minorHAnsi" w:hAnsiTheme="minorHAnsi" w:cstheme="minorHAnsi"/>
          <w:sz w:val="22"/>
          <w:szCs w:val="22"/>
        </w:rPr>
        <w:t xml:space="preserve">). </w:t>
      </w:r>
    </w:p>
    <w:p w:rsidR="00383E0B" w:rsidRPr="00DA50E0" w:rsidRDefault="00383E0B" w:rsidP="00383E0B">
      <w:pPr>
        <w:ind w:right="-1"/>
        <w:jc w:val="both"/>
        <w:rPr>
          <w:rFonts w:asciiTheme="minorHAnsi" w:hAnsiTheme="minorHAnsi" w:cstheme="minorHAnsi"/>
          <w:sz w:val="22"/>
          <w:szCs w:val="22"/>
        </w:rPr>
      </w:pPr>
    </w:p>
    <w:p w:rsidR="00454674" w:rsidRPr="00DA50E0" w:rsidRDefault="0055197F" w:rsidP="00B4369C">
      <w:pPr>
        <w:ind w:right="-1"/>
        <w:jc w:val="both"/>
        <w:rPr>
          <w:rFonts w:asciiTheme="minorHAnsi" w:hAnsiTheme="minorHAnsi" w:cstheme="minorHAnsi"/>
          <w:sz w:val="22"/>
          <w:szCs w:val="22"/>
        </w:rPr>
      </w:pPr>
      <w:r w:rsidRPr="00DA50E0">
        <w:rPr>
          <w:rFonts w:asciiTheme="minorHAnsi" w:hAnsiTheme="minorHAnsi" w:cstheme="minorHAnsi"/>
          <w:sz w:val="22"/>
          <w:szCs w:val="22"/>
        </w:rPr>
        <w:t xml:space="preserve">The </w:t>
      </w:r>
      <w:r w:rsidR="00383E0B" w:rsidRPr="00DA50E0">
        <w:rPr>
          <w:rFonts w:asciiTheme="minorHAnsi" w:hAnsiTheme="minorHAnsi" w:cstheme="minorHAnsi"/>
          <w:sz w:val="22"/>
          <w:szCs w:val="22"/>
        </w:rPr>
        <w:t xml:space="preserve">pace of increase in the </w:t>
      </w:r>
      <w:r w:rsidRPr="00DA50E0">
        <w:rPr>
          <w:rFonts w:asciiTheme="minorHAnsi" w:hAnsiTheme="minorHAnsi" w:cstheme="minorHAnsi"/>
          <w:sz w:val="22"/>
          <w:szCs w:val="22"/>
        </w:rPr>
        <w:t xml:space="preserve">housing component </w:t>
      </w:r>
      <w:r w:rsidR="00383E0B" w:rsidRPr="00DA50E0">
        <w:rPr>
          <w:rFonts w:asciiTheme="minorHAnsi" w:hAnsiTheme="minorHAnsi" w:cstheme="minorHAnsi"/>
          <w:sz w:val="22"/>
          <w:szCs w:val="22"/>
        </w:rPr>
        <w:t>of</w:t>
      </w:r>
      <w:r w:rsidRPr="00DA50E0">
        <w:rPr>
          <w:rFonts w:asciiTheme="minorHAnsi" w:hAnsiTheme="minorHAnsi" w:cstheme="minorHAnsi"/>
          <w:sz w:val="22"/>
          <w:szCs w:val="22"/>
        </w:rPr>
        <w:t xml:space="preserve"> the Consumer Price Index </w:t>
      </w:r>
      <w:r w:rsidR="00383E0B" w:rsidRPr="00DA50E0">
        <w:rPr>
          <w:rFonts w:asciiTheme="minorHAnsi" w:hAnsiTheme="minorHAnsi" w:cstheme="minorHAnsi"/>
          <w:sz w:val="22"/>
          <w:szCs w:val="22"/>
        </w:rPr>
        <w:t>rose</w:t>
      </w:r>
      <w:r w:rsidRPr="00DA50E0">
        <w:rPr>
          <w:rFonts w:asciiTheme="minorHAnsi" w:hAnsiTheme="minorHAnsi" w:cstheme="minorHAnsi"/>
          <w:sz w:val="22"/>
          <w:szCs w:val="22"/>
        </w:rPr>
        <w:t xml:space="preserve"> to an annual rate of 4 percent in the </w:t>
      </w:r>
      <w:r w:rsidR="00383E0B" w:rsidRPr="00DA50E0">
        <w:rPr>
          <w:rFonts w:asciiTheme="minorHAnsi" w:hAnsiTheme="minorHAnsi" w:cstheme="minorHAnsi"/>
          <w:sz w:val="22"/>
          <w:szCs w:val="22"/>
        </w:rPr>
        <w:t>May</w:t>
      </w:r>
      <w:r w:rsidRPr="00DA50E0">
        <w:rPr>
          <w:rFonts w:asciiTheme="minorHAnsi" w:hAnsiTheme="minorHAnsi" w:cstheme="minorHAnsi"/>
          <w:sz w:val="22"/>
          <w:szCs w:val="22"/>
        </w:rPr>
        <w:t xml:space="preserve"> Index.  </w:t>
      </w:r>
      <w:r w:rsidR="00B4369C" w:rsidRPr="00DA50E0">
        <w:rPr>
          <w:rFonts w:asciiTheme="minorHAnsi" w:hAnsiTheme="minorHAnsi" w:cstheme="minorHAnsi"/>
          <w:sz w:val="22"/>
          <w:szCs w:val="22"/>
        </w:rPr>
        <w:t xml:space="preserve">The annual rate of increase in renewing rental contracts was 2.5 percent. </w:t>
      </w:r>
      <w:r w:rsidRPr="00DA50E0">
        <w:rPr>
          <w:rFonts w:asciiTheme="minorHAnsi" w:hAnsiTheme="minorHAnsi" w:cstheme="minorHAnsi"/>
          <w:sz w:val="22"/>
          <w:szCs w:val="22"/>
        </w:rPr>
        <w:t>The annual rate of incr</w:t>
      </w:r>
      <w:r w:rsidR="00F17A1E" w:rsidRPr="00DA50E0">
        <w:rPr>
          <w:rFonts w:asciiTheme="minorHAnsi" w:hAnsiTheme="minorHAnsi" w:cstheme="minorHAnsi"/>
          <w:sz w:val="22"/>
          <w:szCs w:val="22"/>
        </w:rPr>
        <w:t xml:space="preserve">ease in </w:t>
      </w:r>
      <w:r w:rsidR="00383E0B" w:rsidRPr="00DA50E0">
        <w:rPr>
          <w:rFonts w:asciiTheme="minorHAnsi" w:hAnsiTheme="minorHAnsi" w:cstheme="minorHAnsi"/>
          <w:sz w:val="22"/>
          <w:szCs w:val="22"/>
        </w:rPr>
        <w:t xml:space="preserve">rental contracts in which there was a change of tenant accelerated to 6.8 </w:t>
      </w:r>
      <w:r w:rsidR="00F17A1E" w:rsidRPr="00DA50E0">
        <w:rPr>
          <w:rFonts w:asciiTheme="minorHAnsi" w:hAnsiTheme="minorHAnsi" w:cstheme="minorHAnsi"/>
          <w:sz w:val="22"/>
          <w:szCs w:val="22"/>
        </w:rPr>
        <w:t xml:space="preserve">percent in the </w:t>
      </w:r>
      <w:r w:rsidR="00383E0B" w:rsidRPr="00DA50E0">
        <w:rPr>
          <w:rFonts w:asciiTheme="minorHAnsi" w:hAnsiTheme="minorHAnsi" w:cstheme="minorHAnsi"/>
          <w:sz w:val="22"/>
          <w:szCs w:val="22"/>
        </w:rPr>
        <w:t>May</w:t>
      </w:r>
      <w:r w:rsidR="00F17A1E" w:rsidRPr="00DA50E0">
        <w:rPr>
          <w:rFonts w:asciiTheme="minorHAnsi" w:hAnsiTheme="minorHAnsi" w:cstheme="minorHAnsi"/>
          <w:sz w:val="22"/>
          <w:szCs w:val="22"/>
        </w:rPr>
        <w:t xml:space="preserve"> Index.  </w:t>
      </w:r>
    </w:p>
    <w:p w:rsidR="0044662E" w:rsidRPr="00DA50E0" w:rsidRDefault="0044662E" w:rsidP="00BD7538">
      <w:pPr>
        <w:ind w:right="-1"/>
        <w:jc w:val="both"/>
        <w:rPr>
          <w:rFonts w:asciiTheme="minorHAnsi" w:hAnsiTheme="minorHAnsi" w:cstheme="minorHAnsi"/>
          <w:sz w:val="22"/>
          <w:szCs w:val="22"/>
        </w:rPr>
      </w:pPr>
    </w:p>
    <w:p w:rsidR="005D299B" w:rsidRPr="00DA50E0" w:rsidRDefault="00221F10" w:rsidP="00120E6C">
      <w:pPr>
        <w:ind w:right="-1"/>
        <w:jc w:val="both"/>
        <w:rPr>
          <w:rFonts w:asciiTheme="minorHAnsi" w:hAnsiTheme="minorHAnsi" w:cstheme="minorHAnsi"/>
          <w:sz w:val="22"/>
          <w:szCs w:val="22"/>
        </w:rPr>
      </w:pPr>
      <w:r w:rsidRPr="00DA50E0">
        <w:rPr>
          <w:rFonts w:asciiTheme="minorHAnsi" w:hAnsiTheme="minorHAnsi" w:cstheme="minorHAnsi"/>
          <w:sz w:val="22"/>
          <w:szCs w:val="22"/>
        </w:rPr>
        <w:t>Israel</w:t>
      </w:r>
      <w:r w:rsidR="00AF08C0" w:rsidRPr="00DA50E0">
        <w:rPr>
          <w:rFonts w:asciiTheme="minorHAnsi" w:hAnsiTheme="minorHAnsi" w:cstheme="minorHAnsi"/>
          <w:sz w:val="22"/>
          <w:szCs w:val="22"/>
        </w:rPr>
        <w:t>i</w:t>
      </w:r>
      <w:r w:rsidRPr="00DA50E0">
        <w:rPr>
          <w:rFonts w:asciiTheme="minorHAnsi" w:hAnsiTheme="minorHAnsi" w:cstheme="minorHAnsi"/>
          <w:sz w:val="22"/>
          <w:szCs w:val="22"/>
        </w:rPr>
        <w:t xml:space="preserve"> equity indices </w:t>
      </w:r>
      <w:r w:rsidR="00CA182D" w:rsidRPr="00DA50E0">
        <w:rPr>
          <w:rFonts w:asciiTheme="minorHAnsi" w:hAnsiTheme="minorHAnsi" w:cstheme="minorHAnsi"/>
          <w:sz w:val="22"/>
          <w:szCs w:val="22"/>
        </w:rPr>
        <w:t>declin</w:t>
      </w:r>
      <w:r w:rsidRPr="00DA50E0">
        <w:rPr>
          <w:rFonts w:asciiTheme="minorHAnsi" w:hAnsiTheme="minorHAnsi" w:cstheme="minorHAnsi"/>
          <w:sz w:val="22"/>
          <w:szCs w:val="22"/>
        </w:rPr>
        <w:t>ed d</w:t>
      </w:r>
      <w:r w:rsidR="00E41E5A" w:rsidRPr="00DA50E0">
        <w:rPr>
          <w:rFonts w:asciiTheme="minorHAnsi" w:hAnsiTheme="minorHAnsi" w:cstheme="minorHAnsi"/>
          <w:sz w:val="22"/>
          <w:szCs w:val="22"/>
        </w:rPr>
        <w:t xml:space="preserve">uring </w:t>
      </w:r>
      <w:r w:rsidR="00F450FC" w:rsidRPr="00DA50E0">
        <w:rPr>
          <w:rFonts w:asciiTheme="minorHAnsi" w:hAnsiTheme="minorHAnsi" w:cstheme="minorHAnsi"/>
          <w:sz w:val="22"/>
          <w:szCs w:val="22"/>
        </w:rPr>
        <w:t>the reviewed period</w:t>
      </w:r>
      <w:r w:rsidRPr="00DA50E0">
        <w:rPr>
          <w:rFonts w:asciiTheme="minorHAnsi" w:hAnsiTheme="minorHAnsi" w:cstheme="minorHAnsi"/>
          <w:sz w:val="22"/>
          <w:szCs w:val="22"/>
        </w:rPr>
        <w:t xml:space="preserve">, </w:t>
      </w:r>
      <w:r w:rsidR="00AF08C0" w:rsidRPr="00DA50E0">
        <w:rPr>
          <w:rFonts w:asciiTheme="minorHAnsi" w:hAnsiTheme="minorHAnsi" w:cstheme="minorHAnsi"/>
          <w:sz w:val="22"/>
          <w:szCs w:val="22"/>
        </w:rPr>
        <w:t>underperforming</w:t>
      </w:r>
      <w:r w:rsidR="00CA182D" w:rsidRPr="00DA50E0">
        <w:rPr>
          <w:rFonts w:asciiTheme="minorHAnsi" w:hAnsiTheme="minorHAnsi" w:cstheme="minorHAnsi"/>
          <w:sz w:val="22"/>
          <w:szCs w:val="22"/>
        </w:rPr>
        <w:t xml:space="preserve"> global </w:t>
      </w:r>
      <w:r w:rsidR="00120E6C" w:rsidRPr="00DA50E0">
        <w:rPr>
          <w:rFonts w:asciiTheme="minorHAnsi" w:hAnsiTheme="minorHAnsi" w:cstheme="minorHAnsi"/>
          <w:sz w:val="22"/>
          <w:szCs w:val="22"/>
        </w:rPr>
        <w:t>indices</w:t>
      </w:r>
      <w:r w:rsidR="00AF08C0" w:rsidRPr="00DA50E0">
        <w:rPr>
          <w:rFonts w:asciiTheme="minorHAnsi" w:hAnsiTheme="minorHAnsi" w:cstheme="minorHAnsi"/>
          <w:sz w:val="22"/>
          <w:szCs w:val="22"/>
        </w:rPr>
        <w:t xml:space="preserve"> following o</w:t>
      </w:r>
      <w:r w:rsidR="00120E6C" w:rsidRPr="00DA50E0">
        <w:rPr>
          <w:rFonts w:asciiTheme="minorHAnsi" w:hAnsiTheme="minorHAnsi" w:cstheme="minorHAnsi"/>
          <w:sz w:val="22"/>
          <w:szCs w:val="22"/>
        </w:rPr>
        <w:t>ut</w:t>
      </w:r>
      <w:r w:rsidR="00AF08C0" w:rsidRPr="00DA50E0">
        <w:rPr>
          <w:rFonts w:asciiTheme="minorHAnsi" w:hAnsiTheme="minorHAnsi" w:cstheme="minorHAnsi"/>
          <w:sz w:val="22"/>
          <w:szCs w:val="22"/>
        </w:rPr>
        <w:t>performance in the past two years</w:t>
      </w:r>
      <w:r w:rsidR="00456ADD" w:rsidRPr="00DA50E0">
        <w:rPr>
          <w:rFonts w:asciiTheme="minorHAnsi" w:hAnsiTheme="minorHAnsi" w:cstheme="minorHAnsi"/>
          <w:sz w:val="22"/>
          <w:szCs w:val="22"/>
        </w:rPr>
        <w:t xml:space="preserve"> (</w:t>
      </w:r>
      <w:r w:rsidR="00456ADD" w:rsidRPr="00DA50E0">
        <w:rPr>
          <w:rFonts w:asciiTheme="minorHAnsi" w:hAnsiTheme="minorHAnsi" w:cstheme="minorHAnsi"/>
          <w:b/>
          <w:bCs/>
          <w:sz w:val="22"/>
          <w:szCs w:val="22"/>
        </w:rPr>
        <w:t xml:space="preserve">Figure </w:t>
      </w:r>
      <w:r w:rsidR="00AF08C0" w:rsidRPr="00DA50E0">
        <w:rPr>
          <w:rFonts w:asciiTheme="minorHAnsi" w:hAnsiTheme="minorHAnsi" w:cstheme="minorHAnsi"/>
          <w:b/>
          <w:bCs/>
          <w:sz w:val="22"/>
          <w:szCs w:val="22"/>
        </w:rPr>
        <w:t>2</w:t>
      </w:r>
      <w:r w:rsidR="00B4369C" w:rsidRPr="00DA50E0">
        <w:rPr>
          <w:rFonts w:asciiTheme="minorHAnsi" w:hAnsiTheme="minorHAnsi" w:cstheme="minorHAnsi"/>
          <w:b/>
          <w:bCs/>
          <w:sz w:val="22"/>
          <w:szCs w:val="22"/>
        </w:rPr>
        <w:t>7</w:t>
      </w:r>
      <w:r w:rsidR="00456ADD" w:rsidRPr="00DA50E0">
        <w:rPr>
          <w:rFonts w:asciiTheme="minorHAnsi" w:hAnsiTheme="minorHAnsi" w:cstheme="minorHAnsi"/>
          <w:sz w:val="22"/>
          <w:szCs w:val="22"/>
        </w:rPr>
        <w:t>).</w:t>
      </w:r>
      <w:r w:rsidR="000E6DF7" w:rsidRPr="00DA50E0">
        <w:rPr>
          <w:rFonts w:asciiTheme="minorHAnsi" w:hAnsiTheme="minorHAnsi" w:cstheme="minorHAnsi"/>
          <w:sz w:val="22"/>
          <w:szCs w:val="22"/>
        </w:rPr>
        <w:t xml:space="preserve"> </w:t>
      </w:r>
      <w:r w:rsidR="006C73A9" w:rsidRPr="00DA50E0">
        <w:rPr>
          <w:rFonts w:asciiTheme="minorHAnsi" w:hAnsiTheme="minorHAnsi" w:cstheme="minorHAnsi"/>
          <w:sz w:val="22"/>
          <w:szCs w:val="22"/>
        </w:rPr>
        <w:t xml:space="preserve">Israel’s risk premium, as </w:t>
      </w:r>
      <w:r w:rsidR="00AE0DC2" w:rsidRPr="00DA50E0">
        <w:rPr>
          <w:rFonts w:asciiTheme="minorHAnsi" w:hAnsiTheme="minorHAnsi" w:cstheme="minorHAnsi"/>
          <w:sz w:val="22"/>
          <w:szCs w:val="22"/>
        </w:rPr>
        <w:t xml:space="preserve">measured by the </w:t>
      </w:r>
      <w:r w:rsidR="00D94DEC" w:rsidRPr="00DA50E0">
        <w:rPr>
          <w:rFonts w:asciiTheme="minorHAnsi" w:hAnsiTheme="minorHAnsi" w:cstheme="minorHAnsi"/>
          <w:sz w:val="22"/>
          <w:szCs w:val="22"/>
        </w:rPr>
        <w:t>CDS spread</w:t>
      </w:r>
      <w:r w:rsidR="00CA182D" w:rsidRPr="00DA50E0">
        <w:rPr>
          <w:rFonts w:asciiTheme="minorHAnsi" w:hAnsiTheme="minorHAnsi" w:cstheme="minorHAnsi"/>
          <w:sz w:val="22"/>
          <w:szCs w:val="22"/>
        </w:rPr>
        <w:t xml:space="preserve"> and by the</w:t>
      </w:r>
      <w:r w:rsidR="00D94DEC" w:rsidRPr="00DA50E0">
        <w:rPr>
          <w:rFonts w:asciiTheme="minorHAnsi" w:hAnsiTheme="minorHAnsi" w:cstheme="minorHAnsi"/>
          <w:sz w:val="22"/>
          <w:szCs w:val="22"/>
        </w:rPr>
        <w:t xml:space="preserve"> spreads on dollar-denominated government bonds </w:t>
      </w:r>
      <w:r w:rsidR="00125B4C" w:rsidRPr="00DA50E0">
        <w:rPr>
          <w:rFonts w:asciiTheme="minorHAnsi" w:hAnsiTheme="minorHAnsi" w:cstheme="minorHAnsi"/>
          <w:sz w:val="22"/>
          <w:szCs w:val="22"/>
        </w:rPr>
        <w:t>vis-à-vis US Treasuries</w:t>
      </w:r>
      <w:r w:rsidR="00AF08C0" w:rsidRPr="00DA50E0">
        <w:rPr>
          <w:rFonts w:asciiTheme="minorHAnsi" w:hAnsiTheme="minorHAnsi" w:cstheme="minorHAnsi"/>
          <w:sz w:val="22"/>
          <w:szCs w:val="22"/>
        </w:rPr>
        <w:t>, is near its level from before October 7, 2023</w:t>
      </w:r>
      <w:r w:rsidR="00125B4C" w:rsidRPr="00DA50E0">
        <w:rPr>
          <w:rFonts w:asciiTheme="minorHAnsi" w:hAnsiTheme="minorHAnsi" w:cstheme="minorHAnsi"/>
          <w:sz w:val="22"/>
          <w:szCs w:val="22"/>
        </w:rPr>
        <w:t xml:space="preserve"> </w:t>
      </w:r>
      <w:r w:rsidR="00075EFC" w:rsidRPr="00DA50E0">
        <w:rPr>
          <w:rFonts w:asciiTheme="minorHAnsi" w:hAnsiTheme="minorHAnsi" w:cstheme="minorHAnsi"/>
          <w:sz w:val="22"/>
          <w:szCs w:val="22"/>
        </w:rPr>
        <w:t>(</w:t>
      </w:r>
      <w:r w:rsidR="00075EFC" w:rsidRPr="00DA50E0">
        <w:rPr>
          <w:rFonts w:asciiTheme="minorHAnsi" w:hAnsiTheme="minorHAnsi" w:cstheme="minorHAnsi"/>
          <w:b/>
          <w:bCs/>
          <w:sz w:val="22"/>
          <w:szCs w:val="22"/>
        </w:rPr>
        <w:t>Figure</w:t>
      </w:r>
      <w:r w:rsidR="001B3203" w:rsidRPr="00DA50E0">
        <w:rPr>
          <w:rFonts w:asciiTheme="minorHAnsi" w:hAnsiTheme="minorHAnsi" w:cstheme="minorHAnsi"/>
          <w:b/>
          <w:bCs/>
          <w:sz w:val="22"/>
          <w:szCs w:val="22"/>
        </w:rPr>
        <w:t>s</w:t>
      </w:r>
      <w:r w:rsidR="00075EFC" w:rsidRPr="00DA50E0">
        <w:rPr>
          <w:rFonts w:asciiTheme="minorHAnsi" w:hAnsiTheme="minorHAnsi" w:cstheme="minorHAnsi"/>
          <w:b/>
          <w:bCs/>
          <w:sz w:val="22"/>
          <w:szCs w:val="22"/>
        </w:rPr>
        <w:t xml:space="preserve"> </w:t>
      </w:r>
      <w:r w:rsidR="00B4369C" w:rsidRPr="00DA50E0">
        <w:rPr>
          <w:rFonts w:asciiTheme="minorHAnsi" w:hAnsiTheme="minorHAnsi" w:cstheme="minorHAnsi"/>
          <w:b/>
          <w:bCs/>
          <w:sz w:val="22"/>
          <w:szCs w:val="22"/>
        </w:rPr>
        <w:t>28</w:t>
      </w:r>
      <w:r w:rsidR="00FE6425" w:rsidRPr="00DA50E0">
        <w:rPr>
          <w:rFonts w:asciiTheme="minorHAnsi" w:hAnsiTheme="minorHAnsi" w:cstheme="minorHAnsi"/>
          <w:b/>
          <w:bCs/>
          <w:sz w:val="22"/>
          <w:szCs w:val="22"/>
        </w:rPr>
        <w:t>a-b</w:t>
      </w:r>
      <w:r w:rsidR="00075EFC" w:rsidRPr="00DA50E0">
        <w:rPr>
          <w:rFonts w:asciiTheme="minorHAnsi" w:hAnsiTheme="minorHAnsi" w:cstheme="minorHAnsi"/>
          <w:sz w:val="22"/>
          <w:szCs w:val="22"/>
        </w:rPr>
        <w:t>)</w:t>
      </w:r>
      <w:r w:rsidR="00AE0DC2" w:rsidRPr="00DA50E0">
        <w:rPr>
          <w:rFonts w:asciiTheme="minorHAnsi" w:hAnsiTheme="minorHAnsi" w:cstheme="minorHAnsi"/>
          <w:sz w:val="22"/>
          <w:szCs w:val="22"/>
        </w:rPr>
        <w:t>.</w:t>
      </w:r>
      <w:r w:rsidR="006C73A9" w:rsidRPr="00DA50E0">
        <w:rPr>
          <w:rFonts w:asciiTheme="minorHAnsi" w:hAnsiTheme="minorHAnsi" w:cstheme="minorHAnsi"/>
          <w:sz w:val="22"/>
          <w:szCs w:val="22"/>
        </w:rPr>
        <w:t xml:space="preserve">  </w:t>
      </w:r>
      <w:r w:rsidR="00362539" w:rsidRPr="00DA50E0">
        <w:rPr>
          <w:rFonts w:asciiTheme="minorHAnsi" w:hAnsiTheme="minorHAnsi" w:cstheme="minorHAnsi"/>
          <w:sz w:val="22"/>
          <w:szCs w:val="22"/>
        </w:rPr>
        <w:t>B</w:t>
      </w:r>
      <w:r w:rsidR="003A7972" w:rsidRPr="00DA50E0">
        <w:rPr>
          <w:rFonts w:asciiTheme="minorHAnsi" w:hAnsiTheme="minorHAnsi" w:cstheme="minorHAnsi"/>
          <w:sz w:val="22"/>
          <w:szCs w:val="22"/>
        </w:rPr>
        <w:t>us</w:t>
      </w:r>
      <w:r w:rsidR="00E7258E" w:rsidRPr="00DA50E0">
        <w:rPr>
          <w:rFonts w:asciiTheme="minorHAnsi" w:hAnsiTheme="minorHAnsi" w:cstheme="minorHAnsi"/>
          <w:sz w:val="22"/>
          <w:szCs w:val="22"/>
        </w:rPr>
        <w:t>iness</w:t>
      </w:r>
      <w:r w:rsidR="00156B47" w:rsidRPr="00DA50E0">
        <w:rPr>
          <w:rFonts w:asciiTheme="minorHAnsi" w:hAnsiTheme="minorHAnsi" w:cstheme="minorHAnsi"/>
          <w:sz w:val="22"/>
          <w:szCs w:val="22"/>
        </w:rPr>
        <w:t xml:space="preserve"> </w:t>
      </w:r>
      <w:r w:rsidR="00E7258E" w:rsidRPr="00DA50E0">
        <w:rPr>
          <w:rFonts w:asciiTheme="minorHAnsi" w:hAnsiTheme="minorHAnsi" w:cstheme="minorHAnsi"/>
          <w:sz w:val="22"/>
          <w:szCs w:val="22"/>
        </w:rPr>
        <w:t xml:space="preserve">credit </w:t>
      </w:r>
      <w:r w:rsidR="00F450FC" w:rsidRPr="00DA50E0">
        <w:rPr>
          <w:rFonts w:asciiTheme="minorHAnsi" w:hAnsiTheme="minorHAnsi" w:cstheme="minorHAnsi"/>
          <w:sz w:val="22"/>
          <w:szCs w:val="22"/>
        </w:rPr>
        <w:t xml:space="preserve">continued to </w:t>
      </w:r>
      <w:r w:rsidR="00E7258E" w:rsidRPr="00DA50E0">
        <w:rPr>
          <w:rFonts w:asciiTheme="minorHAnsi" w:hAnsiTheme="minorHAnsi" w:cstheme="minorHAnsi"/>
          <w:sz w:val="22"/>
          <w:szCs w:val="22"/>
        </w:rPr>
        <w:t>expand</w:t>
      </w:r>
      <w:r w:rsidR="00362539" w:rsidRPr="00DA50E0">
        <w:rPr>
          <w:rFonts w:asciiTheme="minorHAnsi" w:hAnsiTheme="minorHAnsi" w:cstheme="minorHAnsi"/>
          <w:sz w:val="22"/>
          <w:szCs w:val="22"/>
        </w:rPr>
        <w:t xml:space="preserve"> rapidly </w:t>
      </w:r>
      <w:r w:rsidR="00AF08C0" w:rsidRPr="00DA50E0">
        <w:rPr>
          <w:rFonts w:asciiTheme="minorHAnsi" w:hAnsiTheme="minorHAnsi" w:cstheme="minorHAnsi"/>
          <w:sz w:val="22"/>
          <w:szCs w:val="22"/>
        </w:rPr>
        <w:t>during the reviewed period</w:t>
      </w:r>
      <w:r w:rsidR="00E7258E" w:rsidRPr="00DA50E0">
        <w:rPr>
          <w:rFonts w:asciiTheme="minorHAnsi" w:hAnsiTheme="minorHAnsi" w:cstheme="minorHAnsi"/>
          <w:sz w:val="22"/>
          <w:szCs w:val="22"/>
        </w:rPr>
        <w:t>,</w:t>
      </w:r>
      <w:r w:rsidR="00F450FC" w:rsidRPr="00DA50E0">
        <w:rPr>
          <w:rFonts w:asciiTheme="minorHAnsi" w:hAnsiTheme="minorHAnsi" w:cstheme="minorHAnsi"/>
          <w:sz w:val="22"/>
          <w:szCs w:val="22"/>
        </w:rPr>
        <w:t xml:space="preserve"> led by credit </w:t>
      </w:r>
      <w:r w:rsidR="00125B4C" w:rsidRPr="00DA50E0">
        <w:rPr>
          <w:rFonts w:asciiTheme="minorHAnsi" w:hAnsiTheme="minorHAnsi" w:cstheme="minorHAnsi"/>
          <w:sz w:val="22"/>
          <w:szCs w:val="22"/>
        </w:rPr>
        <w:t>from banks</w:t>
      </w:r>
      <w:r w:rsidR="00F450FC" w:rsidRPr="00DA50E0">
        <w:rPr>
          <w:rFonts w:asciiTheme="minorHAnsi" w:hAnsiTheme="minorHAnsi" w:cstheme="minorHAnsi"/>
          <w:sz w:val="22"/>
          <w:szCs w:val="22"/>
        </w:rPr>
        <w:t xml:space="preserve">. </w:t>
      </w:r>
      <w:r w:rsidR="00125B4C" w:rsidRPr="00DA50E0">
        <w:rPr>
          <w:rFonts w:asciiTheme="minorHAnsi" w:hAnsiTheme="minorHAnsi" w:cstheme="minorHAnsi"/>
          <w:sz w:val="22"/>
          <w:szCs w:val="22"/>
        </w:rPr>
        <w:t xml:space="preserve">Consumer credit to households </w:t>
      </w:r>
      <w:r w:rsidR="00362539" w:rsidRPr="00DA50E0">
        <w:rPr>
          <w:rFonts w:asciiTheme="minorHAnsi" w:hAnsiTheme="minorHAnsi" w:cstheme="minorHAnsi"/>
          <w:sz w:val="22"/>
          <w:szCs w:val="22"/>
        </w:rPr>
        <w:t xml:space="preserve">continued to </w:t>
      </w:r>
      <w:r w:rsidR="00125B4C" w:rsidRPr="00DA50E0">
        <w:rPr>
          <w:rFonts w:asciiTheme="minorHAnsi" w:hAnsiTheme="minorHAnsi" w:cstheme="minorHAnsi"/>
          <w:sz w:val="22"/>
          <w:szCs w:val="22"/>
        </w:rPr>
        <w:t>expand from all sources.</w:t>
      </w:r>
      <w:r w:rsidR="00C12344" w:rsidRPr="00DA50E0">
        <w:rPr>
          <w:rFonts w:asciiTheme="minorHAnsi" w:hAnsiTheme="minorHAnsi" w:cstheme="minorHAnsi"/>
          <w:sz w:val="22"/>
          <w:szCs w:val="22"/>
        </w:rPr>
        <w:t xml:space="preserve">  </w:t>
      </w:r>
      <w:r w:rsidRPr="00DA50E0">
        <w:rPr>
          <w:rFonts w:asciiTheme="minorHAnsi" w:hAnsiTheme="minorHAnsi" w:cstheme="minorHAnsi"/>
          <w:sz w:val="22"/>
          <w:szCs w:val="22"/>
        </w:rPr>
        <w:t xml:space="preserve">Payments in arrears in all activity segments remained </w:t>
      </w:r>
      <w:r w:rsidR="00B46D4D" w:rsidRPr="00DA50E0">
        <w:rPr>
          <w:rFonts w:asciiTheme="minorHAnsi" w:hAnsiTheme="minorHAnsi" w:cstheme="minorHAnsi"/>
          <w:sz w:val="22"/>
          <w:szCs w:val="22"/>
        </w:rPr>
        <w:t>low</w:t>
      </w:r>
      <w:r w:rsidRPr="00DA50E0">
        <w:rPr>
          <w:rFonts w:asciiTheme="minorHAnsi" w:hAnsiTheme="minorHAnsi" w:cstheme="minorHAnsi"/>
          <w:sz w:val="22"/>
          <w:szCs w:val="22"/>
        </w:rPr>
        <w:t xml:space="preserve">. </w:t>
      </w:r>
      <w:r w:rsidR="00C12344" w:rsidRPr="00DA50E0">
        <w:rPr>
          <w:rFonts w:asciiTheme="minorHAnsi" w:hAnsiTheme="minorHAnsi" w:cstheme="minorHAnsi"/>
          <w:sz w:val="22"/>
          <w:szCs w:val="22"/>
        </w:rPr>
        <w:t>According to the Central Bureau of Statistics Business Tendency Survey</w:t>
      </w:r>
      <w:r w:rsidR="00AF08C0" w:rsidRPr="00DA50E0">
        <w:rPr>
          <w:rFonts w:asciiTheme="minorHAnsi" w:hAnsiTheme="minorHAnsi" w:cstheme="minorHAnsi"/>
          <w:sz w:val="22"/>
          <w:szCs w:val="22"/>
        </w:rPr>
        <w:t xml:space="preserve"> for May</w:t>
      </w:r>
      <w:r w:rsidR="005A6551" w:rsidRPr="00DA50E0">
        <w:rPr>
          <w:rFonts w:asciiTheme="minorHAnsi" w:hAnsiTheme="minorHAnsi" w:cstheme="minorHAnsi"/>
          <w:sz w:val="22"/>
          <w:szCs w:val="22"/>
        </w:rPr>
        <w:t xml:space="preserve">, </w:t>
      </w:r>
      <w:r w:rsidR="00125B4C" w:rsidRPr="00DA50E0">
        <w:rPr>
          <w:rFonts w:asciiTheme="minorHAnsi" w:hAnsiTheme="minorHAnsi" w:cstheme="minorHAnsi"/>
          <w:sz w:val="22"/>
          <w:szCs w:val="22"/>
        </w:rPr>
        <w:t xml:space="preserve">credit </w:t>
      </w:r>
      <w:r w:rsidR="005A6551" w:rsidRPr="00DA50E0">
        <w:rPr>
          <w:rFonts w:asciiTheme="minorHAnsi" w:hAnsiTheme="minorHAnsi" w:cstheme="minorHAnsi"/>
          <w:sz w:val="22"/>
          <w:szCs w:val="22"/>
        </w:rPr>
        <w:t xml:space="preserve">constraints, both bank and nonbank, </w:t>
      </w:r>
      <w:r w:rsidR="00AF08C0" w:rsidRPr="00DA50E0">
        <w:rPr>
          <w:rFonts w:asciiTheme="minorHAnsi" w:hAnsiTheme="minorHAnsi" w:cstheme="minorHAnsi"/>
          <w:sz w:val="22"/>
          <w:szCs w:val="22"/>
        </w:rPr>
        <w:t xml:space="preserve">declined slightly for most business types and in most industries </w:t>
      </w:r>
      <w:r w:rsidR="00C12344" w:rsidRPr="00DA50E0">
        <w:rPr>
          <w:rFonts w:asciiTheme="minorHAnsi" w:hAnsiTheme="minorHAnsi" w:cstheme="minorHAnsi"/>
          <w:sz w:val="22"/>
          <w:szCs w:val="22"/>
        </w:rPr>
        <w:t>(</w:t>
      </w:r>
      <w:r w:rsidR="00C12344" w:rsidRPr="00DA50E0">
        <w:rPr>
          <w:rFonts w:asciiTheme="minorHAnsi" w:hAnsiTheme="minorHAnsi" w:cstheme="minorHAnsi"/>
          <w:b/>
          <w:bCs/>
          <w:sz w:val="22"/>
          <w:szCs w:val="22"/>
        </w:rPr>
        <w:t>Figure</w:t>
      </w:r>
      <w:r w:rsidR="005A6551" w:rsidRPr="00DA50E0">
        <w:rPr>
          <w:rFonts w:asciiTheme="minorHAnsi" w:hAnsiTheme="minorHAnsi" w:cstheme="minorHAnsi"/>
          <w:b/>
          <w:bCs/>
          <w:sz w:val="22"/>
          <w:szCs w:val="22"/>
        </w:rPr>
        <w:t>s</w:t>
      </w:r>
      <w:r w:rsidR="00C12344" w:rsidRPr="00DA50E0">
        <w:rPr>
          <w:rFonts w:asciiTheme="minorHAnsi" w:hAnsiTheme="minorHAnsi" w:cstheme="minorHAnsi"/>
          <w:b/>
          <w:bCs/>
          <w:sz w:val="22"/>
          <w:szCs w:val="22"/>
        </w:rPr>
        <w:t xml:space="preserve"> </w:t>
      </w:r>
      <w:r w:rsidR="00631800" w:rsidRPr="00DA50E0">
        <w:rPr>
          <w:rFonts w:asciiTheme="minorHAnsi" w:hAnsiTheme="minorHAnsi" w:cstheme="minorHAnsi"/>
          <w:b/>
          <w:bCs/>
          <w:sz w:val="22"/>
          <w:szCs w:val="22"/>
        </w:rPr>
        <w:t>2</w:t>
      </w:r>
      <w:r w:rsidR="00B4369C" w:rsidRPr="00DA50E0">
        <w:rPr>
          <w:rFonts w:asciiTheme="minorHAnsi" w:hAnsiTheme="minorHAnsi" w:cstheme="minorHAnsi"/>
          <w:b/>
          <w:bCs/>
          <w:sz w:val="22"/>
          <w:szCs w:val="22"/>
        </w:rPr>
        <w:t>6a-b</w:t>
      </w:r>
      <w:r w:rsidR="00C12344" w:rsidRPr="00DA50E0">
        <w:rPr>
          <w:rFonts w:asciiTheme="minorHAnsi" w:hAnsiTheme="minorHAnsi" w:cstheme="minorHAnsi"/>
          <w:sz w:val="22"/>
          <w:szCs w:val="22"/>
        </w:rPr>
        <w:t>).</w:t>
      </w:r>
    </w:p>
    <w:p w:rsidR="000308DE" w:rsidRPr="00DA50E0" w:rsidRDefault="000308DE" w:rsidP="006075EE">
      <w:pPr>
        <w:ind w:right="265"/>
        <w:jc w:val="both"/>
        <w:rPr>
          <w:rFonts w:asciiTheme="minorHAnsi" w:hAnsiTheme="minorHAnsi" w:cstheme="minorHAnsi"/>
          <w:sz w:val="22"/>
          <w:szCs w:val="22"/>
        </w:rPr>
      </w:pPr>
    </w:p>
    <w:p w:rsidR="00185184" w:rsidRPr="00DA50E0" w:rsidRDefault="00AF08C0" w:rsidP="00B4369C">
      <w:pPr>
        <w:pStyle w:val="NormalWeb"/>
        <w:shd w:val="clear" w:color="auto" w:fill="FFFFFF"/>
        <w:spacing w:before="0" w:beforeAutospacing="0" w:after="240" w:afterAutospacing="0"/>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The memorandum of understanding signed between the United States and Iran led to a sharp decline in oil prices, alongside a decline in inflation expectations around the world.  During the reviewed period, the price of Brent oil declined by about 30 percent, to around $72 per barrel (</w:t>
      </w:r>
      <w:r w:rsidRPr="00DA50E0">
        <w:rPr>
          <w:rFonts w:asciiTheme="minorHAnsi" w:hAnsiTheme="minorHAnsi" w:cstheme="minorHAnsi"/>
          <w:b/>
          <w:bCs/>
          <w:color w:val="242424"/>
          <w:sz w:val="22"/>
          <w:szCs w:val="22"/>
        </w:rPr>
        <w:t>Figure 3</w:t>
      </w:r>
      <w:r w:rsidR="00B4369C" w:rsidRPr="00DA50E0">
        <w:rPr>
          <w:rFonts w:asciiTheme="minorHAnsi" w:hAnsiTheme="minorHAnsi" w:cstheme="minorHAnsi"/>
          <w:b/>
          <w:bCs/>
          <w:color w:val="242424"/>
          <w:sz w:val="22"/>
          <w:szCs w:val="22"/>
        </w:rPr>
        <w:t>0</w:t>
      </w:r>
      <w:r w:rsidRPr="00DA50E0">
        <w:rPr>
          <w:rFonts w:asciiTheme="minorHAnsi" w:hAnsiTheme="minorHAnsi" w:cstheme="minorHAnsi"/>
          <w:color w:val="242424"/>
          <w:sz w:val="22"/>
          <w:szCs w:val="22"/>
        </w:rPr>
        <w:t xml:space="preserve">).  </w:t>
      </w:r>
      <w:r w:rsidR="00697B10" w:rsidRPr="00DA50E0">
        <w:rPr>
          <w:rFonts w:asciiTheme="minorHAnsi" w:hAnsiTheme="minorHAnsi" w:cstheme="minorHAnsi"/>
          <w:color w:val="242424"/>
          <w:sz w:val="22"/>
          <w:szCs w:val="22"/>
        </w:rPr>
        <w:t>T</w:t>
      </w:r>
      <w:r w:rsidR="00221F10" w:rsidRPr="00DA50E0">
        <w:rPr>
          <w:rFonts w:asciiTheme="minorHAnsi" w:hAnsiTheme="minorHAnsi" w:cstheme="minorHAnsi"/>
          <w:color w:val="242424"/>
          <w:sz w:val="22"/>
          <w:szCs w:val="22"/>
        </w:rPr>
        <w:t xml:space="preserve">he global Purchasing Managers Index for </w:t>
      </w:r>
      <w:r w:rsidR="00697B10" w:rsidRPr="00DA50E0">
        <w:rPr>
          <w:rFonts w:asciiTheme="minorHAnsi" w:hAnsiTheme="minorHAnsi" w:cstheme="minorHAnsi"/>
          <w:color w:val="242424"/>
          <w:sz w:val="22"/>
          <w:szCs w:val="22"/>
        </w:rPr>
        <w:t>Ma</w:t>
      </w:r>
      <w:r w:rsidR="00221F10" w:rsidRPr="00DA50E0">
        <w:rPr>
          <w:rFonts w:asciiTheme="minorHAnsi" w:hAnsiTheme="minorHAnsi" w:cstheme="minorHAnsi"/>
          <w:color w:val="242424"/>
          <w:sz w:val="22"/>
          <w:szCs w:val="22"/>
        </w:rPr>
        <w:t xml:space="preserve">y </w:t>
      </w:r>
      <w:r w:rsidR="00697B10" w:rsidRPr="00DA50E0">
        <w:rPr>
          <w:rFonts w:asciiTheme="minorHAnsi" w:hAnsiTheme="minorHAnsi" w:cstheme="minorHAnsi"/>
          <w:color w:val="242424"/>
          <w:sz w:val="22"/>
          <w:szCs w:val="22"/>
        </w:rPr>
        <w:t xml:space="preserve">remained unchanged at a level indicating continued expansion of global GDP </w:t>
      </w:r>
      <w:r w:rsidR="00221F10" w:rsidRPr="00DA50E0">
        <w:rPr>
          <w:rFonts w:asciiTheme="minorHAnsi" w:hAnsiTheme="minorHAnsi" w:cstheme="minorHAnsi"/>
          <w:color w:val="242424"/>
          <w:sz w:val="22"/>
          <w:szCs w:val="22"/>
        </w:rPr>
        <w:t>(</w:t>
      </w:r>
      <w:r w:rsidR="00221F10" w:rsidRPr="00DA50E0">
        <w:rPr>
          <w:rFonts w:asciiTheme="minorHAnsi" w:hAnsiTheme="minorHAnsi" w:cstheme="minorHAnsi"/>
          <w:b/>
          <w:bCs/>
          <w:color w:val="242424"/>
          <w:sz w:val="22"/>
          <w:szCs w:val="22"/>
        </w:rPr>
        <w:t>Figure 3</w:t>
      </w:r>
      <w:r w:rsidR="00B4369C" w:rsidRPr="00DA50E0">
        <w:rPr>
          <w:rFonts w:asciiTheme="minorHAnsi" w:hAnsiTheme="minorHAnsi" w:cstheme="minorHAnsi"/>
          <w:b/>
          <w:bCs/>
          <w:color w:val="242424"/>
          <w:sz w:val="22"/>
          <w:szCs w:val="22"/>
        </w:rPr>
        <w:t>2</w:t>
      </w:r>
      <w:r w:rsidR="00221F10" w:rsidRPr="00DA50E0">
        <w:rPr>
          <w:rFonts w:asciiTheme="minorHAnsi" w:hAnsiTheme="minorHAnsi" w:cstheme="minorHAnsi"/>
          <w:color w:val="242424"/>
          <w:sz w:val="22"/>
          <w:szCs w:val="22"/>
        </w:rPr>
        <w:t xml:space="preserve">).  </w:t>
      </w:r>
    </w:p>
    <w:p w:rsidR="00697B10" w:rsidRPr="00DA50E0" w:rsidRDefault="00221F10" w:rsidP="00697B10">
      <w:pPr>
        <w:pStyle w:val="NormalWeb"/>
        <w:shd w:val="clear" w:color="auto" w:fill="FFFFFF"/>
        <w:spacing w:before="0" w:beforeAutospacing="0" w:after="240" w:afterAutospacing="0"/>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lastRenderedPageBreak/>
        <w:t>I</w:t>
      </w:r>
      <w:r w:rsidR="00593FD2" w:rsidRPr="00DA50E0">
        <w:rPr>
          <w:rFonts w:asciiTheme="minorHAnsi" w:hAnsiTheme="minorHAnsi" w:cstheme="minorHAnsi"/>
          <w:color w:val="242424"/>
          <w:sz w:val="22"/>
          <w:szCs w:val="22"/>
        </w:rPr>
        <w:t>n the US</w:t>
      </w:r>
      <w:r w:rsidRPr="00DA50E0">
        <w:rPr>
          <w:rFonts w:asciiTheme="minorHAnsi" w:hAnsiTheme="minorHAnsi" w:cstheme="minorHAnsi"/>
          <w:color w:val="242424"/>
          <w:sz w:val="22"/>
          <w:szCs w:val="22"/>
        </w:rPr>
        <w:t>,</w:t>
      </w:r>
      <w:r w:rsidR="00D93A32" w:rsidRPr="00DA50E0">
        <w:rPr>
          <w:rFonts w:asciiTheme="minorHAnsi" w:hAnsiTheme="minorHAnsi" w:cstheme="minorHAnsi"/>
          <w:sz w:val="22"/>
          <w:szCs w:val="22"/>
        </w:rPr>
        <w:t xml:space="preserve"> </w:t>
      </w:r>
      <w:r w:rsidR="00697B10" w:rsidRPr="00DA50E0">
        <w:rPr>
          <w:rFonts w:asciiTheme="minorHAnsi" w:hAnsiTheme="minorHAnsi" w:cstheme="minorHAnsi"/>
          <w:sz w:val="22"/>
          <w:szCs w:val="22"/>
        </w:rPr>
        <w:t xml:space="preserve">GDP grew at an annual rate of 2.1 percent in the first quarter.  Despite the weakness in the number of new jobs added in the US employment market in June, the average over recent months has remained high. </w:t>
      </w:r>
      <w:r w:rsidR="00D93A32" w:rsidRPr="00DA50E0">
        <w:rPr>
          <w:rFonts w:asciiTheme="minorHAnsi" w:hAnsiTheme="minorHAnsi" w:cstheme="minorHAnsi"/>
          <w:color w:val="242424"/>
          <w:sz w:val="22"/>
          <w:szCs w:val="22"/>
        </w:rPr>
        <w:t xml:space="preserve">In the eurozone, </w:t>
      </w:r>
      <w:r w:rsidR="00697B10" w:rsidRPr="00DA50E0">
        <w:rPr>
          <w:rFonts w:asciiTheme="minorHAnsi" w:hAnsiTheme="minorHAnsi" w:cstheme="minorHAnsi"/>
          <w:color w:val="242424"/>
          <w:sz w:val="22"/>
          <w:szCs w:val="22"/>
        </w:rPr>
        <w:t xml:space="preserve">first quarter data indicate a slowdown in the growth rate.  </w:t>
      </w:r>
    </w:p>
    <w:p w:rsidR="00697B10" w:rsidRPr="00DA50E0" w:rsidRDefault="00697B10" w:rsidP="00697B10">
      <w:pPr>
        <w:pStyle w:val="NormalWeb"/>
        <w:shd w:val="clear" w:color="auto" w:fill="FFFFFF"/>
        <w:spacing w:before="0" w:beforeAutospacing="0" w:after="240" w:afterAutospacing="0"/>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Annual inflation in the US increased sharply in May, with the Consumer Price Index at 4.2 percent and Core CPI at 2.9 percent.  Annual inflation in the eurozone moderated to 2.8 percent in June, with the core index moderating to 2.4 percent.</w:t>
      </w:r>
    </w:p>
    <w:p w:rsidR="00F93E5E" w:rsidRPr="00DA50E0" w:rsidRDefault="00221F10" w:rsidP="00C01FD7">
      <w:pPr>
        <w:pStyle w:val="NormalWeb"/>
        <w:shd w:val="clear" w:color="auto" w:fill="FFFFFF"/>
        <w:spacing w:before="0" w:beforeAutospacing="0" w:after="240" w:afterAutospacing="0"/>
        <w:jc w:val="both"/>
        <w:rPr>
          <w:rFonts w:asciiTheme="minorHAnsi" w:hAnsiTheme="minorHAnsi" w:cstheme="minorHAnsi"/>
          <w:color w:val="242424"/>
          <w:sz w:val="22"/>
          <w:szCs w:val="22"/>
        </w:rPr>
      </w:pPr>
      <w:r w:rsidRPr="00DA50E0">
        <w:rPr>
          <w:rFonts w:asciiTheme="minorHAnsi" w:hAnsiTheme="minorHAnsi" w:cstheme="minorHAnsi"/>
          <w:color w:val="242424"/>
          <w:sz w:val="22"/>
          <w:szCs w:val="22"/>
        </w:rPr>
        <w:t xml:space="preserve">During the reviewed period, the </w:t>
      </w:r>
      <w:r w:rsidR="00697B10" w:rsidRPr="00DA50E0">
        <w:rPr>
          <w:rFonts w:asciiTheme="minorHAnsi" w:hAnsiTheme="minorHAnsi" w:cstheme="minorHAnsi"/>
          <w:color w:val="242424"/>
          <w:sz w:val="22"/>
          <w:szCs w:val="22"/>
        </w:rPr>
        <w:t>Federal Reserve</w:t>
      </w:r>
      <w:r w:rsidRPr="00DA50E0">
        <w:rPr>
          <w:rFonts w:asciiTheme="minorHAnsi" w:hAnsiTheme="minorHAnsi" w:cstheme="minorHAnsi"/>
          <w:color w:val="242424"/>
          <w:sz w:val="22"/>
          <w:szCs w:val="22"/>
        </w:rPr>
        <w:t xml:space="preserve"> left the interest rate unchanged</w:t>
      </w:r>
      <w:r w:rsidR="00697B10" w:rsidRPr="00DA50E0">
        <w:rPr>
          <w:rFonts w:asciiTheme="minorHAnsi" w:hAnsiTheme="minorHAnsi" w:cstheme="minorHAnsi"/>
          <w:color w:val="242424"/>
          <w:sz w:val="22"/>
          <w:szCs w:val="22"/>
        </w:rPr>
        <w:t>, and the European Central Bank (ECB) increased its rate by 25 basis points—the first increase since September 2023</w:t>
      </w:r>
      <w:r w:rsidRPr="00DA50E0">
        <w:rPr>
          <w:rFonts w:asciiTheme="minorHAnsi" w:hAnsiTheme="minorHAnsi" w:cstheme="minorHAnsi"/>
          <w:color w:val="242424"/>
          <w:sz w:val="22"/>
          <w:szCs w:val="22"/>
        </w:rPr>
        <w:t xml:space="preserve"> (</w:t>
      </w:r>
      <w:r w:rsidRPr="00DA50E0">
        <w:rPr>
          <w:rFonts w:asciiTheme="minorHAnsi" w:hAnsiTheme="minorHAnsi" w:cstheme="minorHAnsi"/>
          <w:b/>
          <w:bCs/>
          <w:color w:val="242424"/>
          <w:sz w:val="22"/>
          <w:szCs w:val="22"/>
        </w:rPr>
        <w:t>Figure 3</w:t>
      </w:r>
      <w:r w:rsidR="00B4369C" w:rsidRPr="00DA50E0">
        <w:rPr>
          <w:rFonts w:asciiTheme="minorHAnsi" w:hAnsiTheme="minorHAnsi" w:cstheme="minorHAnsi"/>
          <w:b/>
          <w:bCs/>
          <w:color w:val="242424"/>
          <w:sz w:val="22"/>
          <w:szCs w:val="22"/>
        </w:rPr>
        <w:t>4</w:t>
      </w:r>
      <w:r w:rsidRPr="00DA50E0">
        <w:rPr>
          <w:rFonts w:asciiTheme="minorHAnsi" w:hAnsiTheme="minorHAnsi" w:cstheme="minorHAnsi"/>
          <w:color w:val="242424"/>
          <w:sz w:val="22"/>
          <w:szCs w:val="22"/>
        </w:rPr>
        <w:t xml:space="preserve">).  </w:t>
      </w:r>
      <w:r w:rsidR="00697B10" w:rsidRPr="00DA50E0">
        <w:rPr>
          <w:rFonts w:asciiTheme="minorHAnsi" w:hAnsiTheme="minorHAnsi" w:cstheme="minorHAnsi"/>
          <w:color w:val="242424"/>
          <w:sz w:val="22"/>
          <w:szCs w:val="22"/>
        </w:rPr>
        <w:t xml:space="preserve">In the US, the interest rate path </w:t>
      </w:r>
      <w:r w:rsidR="00707B57" w:rsidRPr="00DA50E0">
        <w:rPr>
          <w:rFonts w:asciiTheme="minorHAnsi" w:hAnsiTheme="minorHAnsi" w:cstheme="minorHAnsi"/>
          <w:color w:val="242424"/>
          <w:sz w:val="22"/>
          <w:szCs w:val="22"/>
        </w:rPr>
        <w:t>implies</w:t>
      </w:r>
      <w:r w:rsidR="00697B10" w:rsidRPr="00DA50E0">
        <w:rPr>
          <w:rFonts w:asciiTheme="minorHAnsi" w:hAnsiTheme="minorHAnsi" w:cstheme="minorHAnsi"/>
          <w:color w:val="242424"/>
          <w:sz w:val="22"/>
          <w:szCs w:val="22"/>
        </w:rPr>
        <w:t xml:space="preserve"> </w:t>
      </w:r>
      <w:proofErr w:type="gramStart"/>
      <w:r w:rsidR="00C01FD7" w:rsidRPr="00DA50E0">
        <w:rPr>
          <w:rFonts w:asciiTheme="minorHAnsi" w:hAnsiTheme="minorHAnsi" w:cstheme="minorHAnsi"/>
          <w:color w:val="242424"/>
          <w:sz w:val="22"/>
          <w:szCs w:val="22"/>
        </w:rPr>
        <w:t>one</w:t>
      </w:r>
      <w:proofErr w:type="gramEnd"/>
      <w:r w:rsidR="003D6179" w:rsidRPr="00DA50E0">
        <w:rPr>
          <w:rFonts w:asciiTheme="minorHAnsi" w:hAnsiTheme="minorHAnsi" w:cstheme="minorHAnsi"/>
          <w:color w:val="242424"/>
          <w:sz w:val="22"/>
          <w:szCs w:val="22"/>
        </w:rPr>
        <w:t xml:space="preserve"> </w:t>
      </w:r>
      <w:r w:rsidR="00697B10" w:rsidRPr="00DA50E0">
        <w:rPr>
          <w:rFonts w:asciiTheme="minorHAnsi" w:hAnsiTheme="minorHAnsi" w:cstheme="minorHAnsi"/>
          <w:color w:val="242424"/>
          <w:sz w:val="22"/>
          <w:szCs w:val="22"/>
        </w:rPr>
        <w:t>increase</w:t>
      </w:r>
      <w:r w:rsidR="00C01FD7" w:rsidRPr="00DA50E0">
        <w:rPr>
          <w:rFonts w:asciiTheme="minorHAnsi" w:hAnsiTheme="minorHAnsi" w:cstheme="minorHAnsi"/>
          <w:color w:val="242424"/>
          <w:sz w:val="22"/>
          <w:szCs w:val="22"/>
        </w:rPr>
        <w:t xml:space="preserve"> and a 50% probability of a second increase</w:t>
      </w:r>
      <w:r w:rsidR="00697B10" w:rsidRPr="00DA50E0">
        <w:rPr>
          <w:rFonts w:asciiTheme="minorHAnsi" w:hAnsiTheme="minorHAnsi" w:cstheme="minorHAnsi"/>
          <w:color w:val="242424"/>
          <w:sz w:val="22"/>
          <w:szCs w:val="22"/>
        </w:rPr>
        <w:t xml:space="preserve"> within one year</w:t>
      </w:r>
      <w:r w:rsidR="00655349" w:rsidRPr="00DA50E0">
        <w:rPr>
          <w:rFonts w:asciiTheme="minorHAnsi" w:hAnsiTheme="minorHAnsi" w:cstheme="minorHAnsi"/>
          <w:color w:val="242424"/>
          <w:sz w:val="22"/>
          <w:szCs w:val="22"/>
        </w:rPr>
        <w:t xml:space="preserve">, and in Europe the path implies </w:t>
      </w:r>
      <w:r w:rsidR="00C01FD7" w:rsidRPr="00DA50E0">
        <w:rPr>
          <w:rFonts w:asciiTheme="minorHAnsi" w:hAnsiTheme="minorHAnsi" w:cstheme="minorHAnsi"/>
          <w:color w:val="242424"/>
          <w:sz w:val="22"/>
          <w:szCs w:val="22"/>
        </w:rPr>
        <w:t>one</w:t>
      </w:r>
      <w:r w:rsidR="00655349" w:rsidRPr="00DA50E0">
        <w:rPr>
          <w:rFonts w:asciiTheme="minorHAnsi" w:hAnsiTheme="minorHAnsi" w:cstheme="minorHAnsi"/>
          <w:color w:val="242424"/>
          <w:sz w:val="22"/>
          <w:szCs w:val="22"/>
        </w:rPr>
        <w:t xml:space="preserve"> </w:t>
      </w:r>
      <w:r w:rsidR="00C01FD7" w:rsidRPr="00DA50E0">
        <w:rPr>
          <w:rFonts w:asciiTheme="minorHAnsi" w:hAnsiTheme="minorHAnsi" w:cstheme="minorHAnsi"/>
          <w:color w:val="242424"/>
          <w:sz w:val="22"/>
          <w:szCs w:val="22"/>
        </w:rPr>
        <w:t>rate</w:t>
      </w:r>
      <w:r w:rsidR="00655349" w:rsidRPr="00DA50E0">
        <w:rPr>
          <w:rFonts w:asciiTheme="minorHAnsi" w:hAnsiTheme="minorHAnsi" w:cstheme="minorHAnsi"/>
          <w:color w:val="242424"/>
          <w:sz w:val="22"/>
          <w:szCs w:val="22"/>
        </w:rPr>
        <w:t xml:space="preserve"> increase within one year</w:t>
      </w:r>
      <w:r w:rsidR="00697B10" w:rsidRPr="00DA50E0">
        <w:rPr>
          <w:rFonts w:asciiTheme="minorHAnsi" w:hAnsiTheme="minorHAnsi" w:cstheme="minorHAnsi"/>
          <w:color w:val="242424"/>
          <w:sz w:val="22"/>
          <w:szCs w:val="22"/>
        </w:rPr>
        <w:t xml:space="preserve">. </w:t>
      </w:r>
      <w:r w:rsidR="00DD51AB" w:rsidRPr="00DA50E0">
        <w:rPr>
          <w:rFonts w:asciiTheme="minorHAnsi" w:hAnsiTheme="minorHAnsi" w:cstheme="minorHAnsi"/>
          <w:color w:val="242424"/>
          <w:sz w:val="22"/>
          <w:szCs w:val="22"/>
        </w:rPr>
        <w:t>(</w:t>
      </w:r>
      <w:r w:rsidR="00DD51AB" w:rsidRPr="00DA50E0">
        <w:rPr>
          <w:rFonts w:asciiTheme="minorHAnsi" w:hAnsiTheme="minorHAnsi" w:cstheme="minorHAnsi"/>
          <w:b/>
          <w:bCs/>
          <w:color w:val="242424"/>
          <w:sz w:val="22"/>
          <w:szCs w:val="22"/>
        </w:rPr>
        <w:t>Figure 3</w:t>
      </w:r>
      <w:r w:rsidR="00B4369C" w:rsidRPr="00DA50E0">
        <w:rPr>
          <w:rFonts w:asciiTheme="minorHAnsi" w:hAnsiTheme="minorHAnsi" w:cstheme="minorHAnsi"/>
          <w:b/>
          <w:bCs/>
          <w:color w:val="242424"/>
          <w:sz w:val="22"/>
          <w:szCs w:val="22"/>
        </w:rPr>
        <w:t>6</w:t>
      </w:r>
      <w:r w:rsidR="00DD51AB" w:rsidRPr="00DA50E0">
        <w:rPr>
          <w:rFonts w:asciiTheme="minorHAnsi" w:hAnsiTheme="minorHAnsi" w:cstheme="minorHAnsi"/>
          <w:color w:val="242424"/>
          <w:sz w:val="22"/>
          <w:szCs w:val="22"/>
        </w:rPr>
        <w:t>).</w:t>
      </w:r>
    </w:p>
    <w:p w:rsidR="00AD12BC" w:rsidRPr="00DA50E0" w:rsidRDefault="00AD12BC" w:rsidP="006075EE">
      <w:pPr>
        <w:jc w:val="both"/>
        <w:rPr>
          <w:rFonts w:asciiTheme="minorHAnsi" w:hAnsiTheme="minorHAnsi" w:cstheme="minorHAnsi"/>
          <w:sz w:val="22"/>
          <w:szCs w:val="22"/>
        </w:rPr>
      </w:pPr>
    </w:p>
    <w:p w:rsidR="00B21E55" w:rsidRPr="00DA50E0" w:rsidRDefault="00221F10" w:rsidP="00697B10">
      <w:pPr>
        <w:jc w:val="both"/>
        <w:rPr>
          <w:rFonts w:asciiTheme="minorHAnsi" w:hAnsiTheme="minorHAnsi" w:cstheme="minorHAnsi"/>
          <w:sz w:val="22"/>
          <w:szCs w:val="22"/>
          <w:rtl/>
        </w:rPr>
      </w:pPr>
      <w:r w:rsidRPr="00DA50E0">
        <w:rPr>
          <w:rFonts w:asciiTheme="minorHAnsi" w:hAnsiTheme="minorHAnsi" w:cstheme="minorHAnsi"/>
          <w:sz w:val="22"/>
          <w:szCs w:val="22"/>
        </w:rPr>
        <w:t xml:space="preserve">The minutes of the monetary discussions prior to this interest rate decision </w:t>
      </w:r>
      <w:proofErr w:type="gramStart"/>
      <w:r w:rsidRPr="00DA50E0">
        <w:rPr>
          <w:rFonts w:asciiTheme="minorHAnsi" w:hAnsiTheme="minorHAnsi" w:cstheme="minorHAnsi"/>
          <w:sz w:val="22"/>
          <w:szCs w:val="22"/>
        </w:rPr>
        <w:t>will be published</w:t>
      </w:r>
      <w:proofErr w:type="gramEnd"/>
      <w:r w:rsidRPr="00DA50E0">
        <w:rPr>
          <w:rFonts w:asciiTheme="minorHAnsi" w:hAnsiTheme="minorHAnsi" w:cstheme="minorHAnsi"/>
          <w:sz w:val="22"/>
          <w:szCs w:val="22"/>
        </w:rPr>
        <w:t xml:space="preserve"> on </w:t>
      </w:r>
      <w:r w:rsidR="00697B10" w:rsidRPr="00DA50E0">
        <w:rPr>
          <w:rFonts w:asciiTheme="minorHAnsi" w:hAnsiTheme="minorHAnsi" w:cstheme="minorHAnsi"/>
          <w:sz w:val="22"/>
          <w:szCs w:val="22"/>
        </w:rPr>
        <w:t>July</w:t>
      </w:r>
      <w:r w:rsidR="00DD51AB" w:rsidRPr="00DA50E0">
        <w:rPr>
          <w:rFonts w:asciiTheme="minorHAnsi" w:hAnsiTheme="minorHAnsi" w:cstheme="minorHAnsi"/>
          <w:sz w:val="22"/>
          <w:szCs w:val="22"/>
        </w:rPr>
        <w:t xml:space="preserve"> </w:t>
      </w:r>
      <w:r w:rsidR="00697B10" w:rsidRPr="00DA50E0">
        <w:rPr>
          <w:rFonts w:asciiTheme="minorHAnsi" w:hAnsiTheme="minorHAnsi" w:cstheme="minorHAnsi"/>
          <w:sz w:val="22"/>
          <w:szCs w:val="22"/>
        </w:rPr>
        <w:t>20</w:t>
      </w:r>
      <w:r w:rsidR="008C633B" w:rsidRPr="00DA50E0">
        <w:rPr>
          <w:rFonts w:asciiTheme="minorHAnsi" w:hAnsiTheme="minorHAnsi" w:cstheme="minorHAnsi"/>
          <w:sz w:val="22"/>
          <w:szCs w:val="22"/>
        </w:rPr>
        <w:t>, 2026</w:t>
      </w:r>
      <w:r w:rsidR="00B71E2A" w:rsidRPr="00DA50E0">
        <w:rPr>
          <w:rFonts w:asciiTheme="minorHAnsi" w:hAnsiTheme="minorHAnsi" w:cstheme="minorHAnsi"/>
          <w:sz w:val="22"/>
          <w:szCs w:val="22"/>
        </w:rPr>
        <w:t>.</w:t>
      </w:r>
      <w:r w:rsidRPr="00DA50E0">
        <w:rPr>
          <w:rFonts w:asciiTheme="minorHAnsi" w:hAnsiTheme="minorHAnsi" w:cstheme="minorHAnsi"/>
          <w:sz w:val="22"/>
          <w:szCs w:val="22"/>
        </w:rPr>
        <w:t xml:space="preserve"> The next decision regarding the interest rate</w:t>
      </w:r>
      <w:r w:rsidR="00697B10" w:rsidRPr="00DA50E0">
        <w:rPr>
          <w:rFonts w:asciiTheme="minorHAnsi" w:hAnsiTheme="minorHAnsi" w:cstheme="minorHAnsi"/>
          <w:sz w:val="22"/>
          <w:szCs w:val="22"/>
        </w:rPr>
        <w:t xml:space="preserve">, which </w:t>
      </w:r>
      <w:proofErr w:type="gramStart"/>
      <w:r w:rsidR="00697B10" w:rsidRPr="00DA50E0">
        <w:rPr>
          <w:rFonts w:asciiTheme="minorHAnsi" w:hAnsiTheme="minorHAnsi" w:cstheme="minorHAnsi"/>
          <w:sz w:val="22"/>
          <w:szCs w:val="22"/>
        </w:rPr>
        <w:t>was scheduled</w:t>
      </w:r>
      <w:proofErr w:type="gramEnd"/>
      <w:r w:rsidR="00697B10" w:rsidRPr="00DA50E0">
        <w:rPr>
          <w:rFonts w:asciiTheme="minorHAnsi" w:hAnsiTheme="minorHAnsi" w:cstheme="minorHAnsi"/>
          <w:sz w:val="22"/>
          <w:szCs w:val="22"/>
        </w:rPr>
        <w:t xml:space="preserve"> for August 31, 2026,</w:t>
      </w:r>
      <w:r w:rsidRPr="00DA50E0">
        <w:rPr>
          <w:rFonts w:asciiTheme="minorHAnsi" w:hAnsiTheme="minorHAnsi" w:cstheme="minorHAnsi"/>
          <w:sz w:val="22"/>
          <w:szCs w:val="22"/>
        </w:rPr>
        <w:t xml:space="preserve"> will</w:t>
      </w:r>
      <w:r w:rsidR="00697B10" w:rsidRPr="00DA50E0">
        <w:rPr>
          <w:rFonts w:asciiTheme="minorHAnsi" w:hAnsiTheme="minorHAnsi" w:cstheme="minorHAnsi"/>
          <w:sz w:val="22"/>
          <w:szCs w:val="22"/>
        </w:rPr>
        <w:t xml:space="preserve"> now</w:t>
      </w:r>
      <w:r w:rsidRPr="00DA50E0">
        <w:rPr>
          <w:rFonts w:asciiTheme="minorHAnsi" w:hAnsiTheme="minorHAnsi" w:cstheme="minorHAnsi"/>
          <w:sz w:val="22"/>
          <w:szCs w:val="22"/>
        </w:rPr>
        <w:t xml:space="preserve"> be published on </w:t>
      </w:r>
      <w:r w:rsidR="00697B10" w:rsidRPr="00DA50E0">
        <w:rPr>
          <w:rFonts w:asciiTheme="minorHAnsi" w:hAnsiTheme="minorHAnsi" w:cstheme="minorHAnsi"/>
          <w:sz w:val="22"/>
          <w:szCs w:val="22"/>
        </w:rPr>
        <w:t>Tues</w:t>
      </w:r>
      <w:r w:rsidR="00096C47" w:rsidRPr="00DA50E0">
        <w:rPr>
          <w:rFonts w:asciiTheme="minorHAnsi" w:hAnsiTheme="minorHAnsi" w:cstheme="minorHAnsi"/>
          <w:sz w:val="22"/>
          <w:szCs w:val="22"/>
        </w:rPr>
        <w:t>day</w:t>
      </w:r>
      <w:r w:rsidR="00B71E2A" w:rsidRPr="00DA50E0">
        <w:rPr>
          <w:rFonts w:asciiTheme="minorHAnsi" w:hAnsiTheme="minorHAnsi" w:cstheme="minorHAnsi"/>
          <w:sz w:val="22"/>
          <w:szCs w:val="22"/>
        </w:rPr>
        <w:t>,</w:t>
      </w:r>
      <w:r w:rsidR="00096C47" w:rsidRPr="00DA50E0">
        <w:rPr>
          <w:rFonts w:asciiTheme="minorHAnsi" w:hAnsiTheme="minorHAnsi" w:cstheme="minorHAnsi"/>
          <w:sz w:val="22"/>
          <w:szCs w:val="22"/>
        </w:rPr>
        <w:t xml:space="preserve"> </w:t>
      </w:r>
      <w:r w:rsidR="00697B10" w:rsidRPr="00DA50E0">
        <w:rPr>
          <w:rFonts w:asciiTheme="minorHAnsi" w:hAnsiTheme="minorHAnsi" w:cstheme="minorHAnsi"/>
          <w:sz w:val="22"/>
          <w:szCs w:val="22"/>
        </w:rPr>
        <w:t>September 1</w:t>
      </w:r>
      <w:r w:rsidR="002E2089" w:rsidRPr="00DA50E0">
        <w:rPr>
          <w:rFonts w:asciiTheme="minorHAnsi" w:hAnsiTheme="minorHAnsi" w:cstheme="minorHAnsi"/>
          <w:sz w:val="22"/>
          <w:szCs w:val="22"/>
        </w:rPr>
        <w:t>,</w:t>
      </w:r>
      <w:r w:rsidR="00B71E2A" w:rsidRPr="00DA50E0">
        <w:rPr>
          <w:rFonts w:asciiTheme="minorHAnsi" w:hAnsiTheme="minorHAnsi" w:cstheme="minorHAnsi"/>
          <w:sz w:val="22"/>
          <w:szCs w:val="22"/>
        </w:rPr>
        <w:t xml:space="preserve"> 202</w:t>
      </w:r>
      <w:r w:rsidR="00B42626" w:rsidRPr="00DA50E0">
        <w:rPr>
          <w:rFonts w:asciiTheme="minorHAnsi" w:hAnsiTheme="minorHAnsi" w:cstheme="minorHAnsi"/>
          <w:sz w:val="22"/>
          <w:szCs w:val="22"/>
        </w:rPr>
        <w:t>6</w:t>
      </w:r>
      <w:r w:rsidR="00C615F3" w:rsidRPr="00DA50E0">
        <w:rPr>
          <w:rFonts w:asciiTheme="minorHAnsi" w:hAnsiTheme="minorHAnsi" w:cstheme="minorHAnsi"/>
          <w:sz w:val="22"/>
          <w:szCs w:val="22"/>
        </w:rPr>
        <w:t>.</w:t>
      </w:r>
      <w:r w:rsidR="00697B10" w:rsidRPr="00DA50E0">
        <w:rPr>
          <w:rFonts w:asciiTheme="minorHAnsi" w:hAnsiTheme="minorHAnsi" w:cstheme="minorHAnsi"/>
          <w:sz w:val="22"/>
          <w:szCs w:val="22"/>
        </w:rPr>
        <w:t xml:space="preserve">  The effective date of the rate from that decision remains unchanged—September 3, 2026.</w:t>
      </w:r>
    </w:p>
    <w:sectPr w:rsidR="00B21E55" w:rsidRPr="00DA50E0" w:rsidSect="00E1583C">
      <w:headerReference w:type="first" r:id="rId9"/>
      <w:type w:val="continuous"/>
      <w:pgSz w:w="11907" w:h="16839" w:code="9"/>
      <w:pgMar w:top="1135" w:right="1134" w:bottom="1304" w:left="1134" w:header="10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3A8" w:rsidRDefault="00221F10">
      <w:r>
        <w:separator/>
      </w:r>
    </w:p>
  </w:endnote>
  <w:endnote w:type="continuationSeparator" w:id="0">
    <w:p w:rsidR="009D03A8" w:rsidRDefault="0022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3A8" w:rsidRDefault="00221F10">
      <w:r>
        <w:separator/>
      </w:r>
    </w:p>
  </w:footnote>
  <w:footnote w:type="continuationSeparator" w:id="0">
    <w:p w:rsidR="009D03A8" w:rsidRDefault="00221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E18" w:rsidRPr="0012431B" w:rsidRDefault="00B06E18" w:rsidP="00B06E18">
    <w:pPr>
      <w:pStyle w:val="regpar"/>
      <w:spacing w:line="300" w:lineRule="atLeast"/>
      <w:ind w:firstLine="0"/>
      <w:jc w:val="center"/>
      <w:rP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hebrew1"/>
      <w:pStyle w:val="1"/>
      <w:lvlText w:val="%1."/>
      <w:legacy w:legacy="1" w:legacySpace="0" w:legacyIndent="340"/>
      <w:lvlJc w:val="right"/>
      <w:pPr>
        <w:ind w:left="340" w:hanging="340"/>
      </w:pPr>
      <w:rPr>
        <w:rFonts w:ascii="Times New Roman" w:hAnsi="Times New Roman" w:cs="Times New Roman" w:hint="default"/>
        <w:b w:val="0"/>
        <w:i w:val="0"/>
        <w:sz w:val="22"/>
        <w:szCs w:val="24"/>
      </w:rPr>
    </w:lvl>
    <w:lvl w:ilvl="1">
      <w:start w:val="1"/>
      <w:numFmt w:val="decimal"/>
      <w:pStyle w:val="2"/>
      <w:lvlText w:val="%2."/>
      <w:legacy w:legacy="1" w:legacySpace="0" w:legacyIndent="340"/>
      <w:lvlJc w:val="right"/>
      <w:pPr>
        <w:ind w:left="680" w:hanging="340"/>
      </w:pPr>
      <w:rPr>
        <w:rFonts w:ascii="Times New Roman" w:hAnsi="Times New Roman" w:cs="Times New Roman" w:hint="default"/>
        <w:b w:val="0"/>
        <w:i w:val="0"/>
        <w:sz w:val="22"/>
      </w:rPr>
    </w:lvl>
    <w:lvl w:ilvl="2">
      <w:start w:val="1"/>
      <w:numFmt w:val="hebrew1"/>
      <w:pStyle w:val="3"/>
      <w:lvlText w:val="%3)"/>
      <w:legacy w:legacy="1" w:legacySpace="0" w:legacyIndent="340"/>
      <w:lvlJc w:val="right"/>
      <w:pPr>
        <w:ind w:left="1020" w:hanging="340"/>
      </w:pPr>
      <w:rPr>
        <w:rFonts w:ascii="Times New Roman" w:hAnsi="Times New Roman" w:cs="Times New Roman" w:hint="default"/>
        <w:b w:val="0"/>
        <w:i w:val="0"/>
        <w:sz w:val="22"/>
        <w:szCs w:val="24"/>
      </w:rPr>
    </w:lvl>
    <w:lvl w:ilvl="3">
      <w:start w:val="1"/>
      <w:numFmt w:val="decimal"/>
      <w:pStyle w:val="4"/>
      <w:lvlText w:val="(%4)"/>
      <w:legacy w:legacy="1" w:legacySpace="0" w:legacyIndent="340"/>
      <w:lvlJc w:val="right"/>
      <w:pPr>
        <w:ind w:left="1360" w:hanging="340"/>
      </w:pPr>
      <w:rPr>
        <w:rFonts w:ascii="Times New Roman" w:hAnsi="Times New Roman" w:cs="Times New Roman" w:hint="default"/>
        <w:b w:val="0"/>
        <w:i w:val="0"/>
        <w:sz w:val="22"/>
      </w:rPr>
    </w:lvl>
    <w:lvl w:ilvl="4">
      <w:start w:val="1"/>
      <w:numFmt w:val="decimal"/>
      <w:pStyle w:val="5"/>
      <w:lvlText w:val="(%5)"/>
      <w:legacy w:legacy="1" w:legacySpace="0" w:legacyIndent="708"/>
      <w:lvlJc w:val="center"/>
      <w:pPr>
        <w:ind w:left="2068" w:hanging="708"/>
      </w:pPr>
      <w:rPr>
        <w:rFonts w:ascii="Times New Roman" w:hAnsi="Times New Roman" w:cs="Times New Roman"/>
      </w:rPr>
    </w:lvl>
    <w:lvl w:ilvl="5">
      <w:start w:val="1"/>
      <w:numFmt w:val="lowerLetter"/>
      <w:pStyle w:val="6"/>
      <w:lvlText w:val="(%6)"/>
      <w:legacy w:legacy="1" w:legacySpace="0" w:legacyIndent="708"/>
      <w:lvlJc w:val="center"/>
      <w:pPr>
        <w:ind w:left="2776" w:hanging="708"/>
      </w:pPr>
      <w:rPr>
        <w:rFonts w:ascii="Times New Roman" w:hAnsi="Times New Roman" w:cs="Times New Roman"/>
      </w:rPr>
    </w:lvl>
    <w:lvl w:ilvl="6">
      <w:start w:val="1"/>
      <w:numFmt w:val="lowerRoman"/>
      <w:pStyle w:val="7"/>
      <w:lvlText w:val="(%7)"/>
      <w:legacy w:legacy="1" w:legacySpace="0" w:legacyIndent="708"/>
      <w:lvlJc w:val="center"/>
      <w:pPr>
        <w:ind w:left="3484" w:hanging="708"/>
      </w:pPr>
      <w:rPr>
        <w:rFonts w:ascii="Times New Roman" w:hAnsi="Times New Roman" w:cs="Times New Roman"/>
      </w:rPr>
    </w:lvl>
    <w:lvl w:ilvl="7">
      <w:start w:val="1"/>
      <w:numFmt w:val="lowerLetter"/>
      <w:pStyle w:val="8"/>
      <w:lvlText w:val="(%8)"/>
      <w:legacy w:legacy="1" w:legacySpace="0" w:legacyIndent="708"/>
      <w:lvlJc w:val="center"/>
      <w:pPr>
        <w:ind w:left="4192" w:hanging="708"/>
      </w:pPr>
      <w:rPr>
        <w:rFonts w:ascii="Times New Roman" w:hAnsi="Times New Roman" w:cs="Times New Roman"/>
      </w:rPr>
    </w:lvl>
    <w:lvl w:ilvl="8">
      <w:start w:val="1"/>
      <w:numFmt w:val="lowerRoman"/>
      <w:pStyle w:val="9"/>
      <w:lvlText w:val="(%9)"/>
      <w:legacy w:legacy="1" w:legacySpace="0" w:legacyIndent="708"/>
      <w:lvlJc w:val="center"/>
      <w:pPr>
        <w:ind w:left="4900" w:hanging="708"/>
      </w:pPr>
      <w:rPr>
        <w:rFonts w:ascii="Times New Roman" w:hAnsi="Times New Roman" w:cs="Times New Roman"/>
      </w:rPr>
    </w:lvl>
  </w:abstractNum>
  <w:abstractNum w:abstractNumId="1" w15:restartNumberingAfterBreak="0">
    <w:nsid w:val="0542714D"/>
    <w:multiLevelType w:val="hybridMultilevel"/>
    <w:tmpl w:val="EAD21DEE"/>
    <w:lvl w:ilvl="0" w:tplc="2A4C312A">
      <w:start w:val="1"/>
      <w:numFmt w:val="bullet"/>
      <w:lvlText w:val=""/>
      <w:lvlJc w:val="left"/>
      <w:pPr>
        <w:ind w:left="360" w:hanging="360"/>
      </w:pPr>
      <w:rPr>
        <w:rFonts w:ascii="Symbol" w:hAnsi="Symbol" w:hint="default"/>
      </w:rPr>
    </w:lvl>
    <w:lvl w:ilvl="1" w:tplc="821E3306" w:tentative="1">
      <w:start w:val="1"/>
      <w:numFmt w:val="bullet"/>
      <w:lvlText w:val="o"/>
      <w:lvlJc w:val="left"/>
      <w:pPr>
        <w:ind w:left="1080" w:hanging="360"/>
      </w:pPr>
      <w:rPr>
        <w:rFonts w:ascii="Courier New" w:hAnsi="Courier New" w:cs="Courier New" w:hint="default"/>
      </w:rPr>
    </w:lvl>
    <w:lvl w:ilvl="2" w:tplc="E58815B4" w:tentative="1">
      <w:start w:val="1"/>
      <w:numFmt w:val="bullet"/>
      <w:lvlText w:val=""/>
      <w:lvlJc w:val="left"/>
      <w:pPr>
        <w:ind w:left="1800" w:hanging="360"/>
      </w:pPr>
      <w:rPr>
        <w:rFonts w:ascii="Wingdings" w:hAnsi="Wingdings" w:hint="default"/>
      </w:rPr>
    </w:lvl>
    <w:lvl w:ilvl="3" w:tplc="051EBF18" w:tentative="1">
      <w:start w:val="1"/>
      <w:numFmt w:val="bullet"/>
      <w:lvlText w:val=""/>
      <w:lvlJc w:val="left"/>
      <w:pPr>
        <w:ind w:left="2520" w:hanging="360"/>
      </w:pPr>
      <w:rPr>
        <w:rFonts w:ascii="Symbol" w:hAnsi="Symbol" w:hint="default"/>
      </w:rPr>
    </w:lvl>
    <w:lvl w:ilvl="4" w:tplc="80605DC8" w:tentative="1">
      <w:start w:val="1"/>
      <w:numFmt w:val="bullet"/>
      <w:lvlText w:val="o"/>
      <w:lvlJc w:val="left"/>
      <w:pPr>
        <w:ind w:left="3240" w:hanging="360"/>
      </w:pPr>
      <w:rPr>
        <w:rFonts w:ascii="Courier New" w:hAnsi="Courier New" w:cs="Courier New" w:hint="default"/>
      </w:rPr>
    </w:lvl>
    <w:lvl w:ilvl="5" w:tplc="4628EFFE" w:tentative="1">
      <w:start w:val="1"/>
      <w:numFmt w:val="bullet"/>
      <w:lvlText w:val=""/>
      <w:lvlJc w:val="left"/>
      <w:pPr>
        <w:ind w:left="3960" w:hanging="360"/>
      </w:pPr>
      <w:rPr>
        <w:rFonts w:ascii="Wingdings" w:hAnsi="Wingdings" w:hint="default"/>
      </w:rPr>
    </w:lvl>
    <w:lvl w:ilvl="6" w:tplc="706AF692" w:tentative="1">
      <w:start w:val="1"/>
      <w:numFmt w:val="bullet"/>
      <w:lvlText w:val=""/>
      <w:lvlJc w:val="left"/>
      <w:pPr>
        <w:ind w:left="4680" w:hanging="360"/>
      </w:pPr>
      <w:rPr>
        <w:rFonts w:ascii="Symbol" w:hAnsi="Symbol" w:hint="default"/>
      </w:rPr>
    </w:lvl>
    <w:lvl w:ilvl="7" w:tplc="F2F410CE" w:tentative="1">
      <w:start w:val="1"/>
      <w:numFmt w:val="bullet"/>
      <w:lvlText w:val="o"/>
      <w:lvlJc w:val="left"/>
      <w:pPr>
        <w:ind w:left="5400" w:hanging="360"/>
      </w:pPr>
      <w:rPr>
        <w:rFonts w:ascii="Courier New" w:hAnsi="Courier New" w:cs="Courier New" w:hint="default"/>
      </w:rPr>
    </w:lvl>
    <w:lvl w:ilvl="8" w:tplc="F05A573E" w:tentative="1">
      <w:start w:val="1"/>
      <w:numFmt w:val="bullet"/>
      <w:lvlText w:val=""/>
      <w:lvlJc w:val="left"/>
      <w:pPr>
        <w:ind w:left="6120" w:hanging="360"/>
      </w:pPr>
      <w:rPr>
        <w:rFonts w:ascii="Wingdings" w:hAnsi="Wingdings" w:hint="default"/>
      </w:rPr>
    </w:lvl>
  </w:abstractNum>
  <w:abstractNum w:abstractNumId="2" w15:restartNumberingAfterBreak="0">
    <w:nsid w:val="07933779"/>
    <w:multiLevelType w:val="hybridMultilevel"/>
    <w:tmpl w:val="D21290EC"/>
    <w:lvl w:ilvl="0" w:tplc="09C4E16A">
      <w:start w:val="1"/>
      <w:numFmt w:val="bullet"/>
      <w:lvlText w:val=""/>
      <w:lvlJc w:val="left"/>
      <w:pPr>
        <w:ind w:left="720" w:hanging="360"/>
      </w:pPr>
      <w:rPr>
        <w:rFonts w:ascii="Symbol" w:hAnsi="Symbol" w:hint="default"/>
      </w:rPr>
    </w:lvl>
    <w:lvl w:ilvl="1" w:tplc="45788146" w:tentative="1">
      <w:start w:val="1"/>
      <w:numFmt w:val="bullet"/>
      <w:lvlText w:val="o"/>
      <w:lvlJc w:val="left"/>
      <w:pPr>
        <w:ind w:left="1440" w:hanging="360"/>
      </w:pPr>
      <w:rPr>
        <w:rFonts w:ascii="Courier New" w:hAnsi="Courier New" w:cs="Courier New" w:hint="default"/>
      </w:rPr>
    </w:lvl>
    <w:lvl w:ilvl="2" w:tplc="D5E8E7BE" w:tentative="1">
      <w:start w:val="1"/>
      <w:numFmt w:val="bullet"/>
      <w:lvlText w:val=""/>
      <w:lvlJc w:val="left"/>
      <w:pPr>
        <w:ind w:left="2160" w:hanging="360"/>
      </w:pPr>
      <w:rPr>
        <w:rFonts w:ascii="Wingdings" w:hAnsi="Wingdings" w:hint="default"/>
      </w:rPr>
    </w:lvl>
    <w:lvl w:ilvl="3" w:tplc="F9663FF4" w:tentative="1">
      <w:start w:val="1"/>
      <w:numFmt w:val="bullet"/>
      <w:lvlText w:val=""/>
      <w:lvlJc w:val="left"/>
      <w:pPr>
        <w:ind w:left="2880" w:hanging="360"/>
      </w:pPr>
      <w:rPr>
        <w:rFonts w:ascii="Symbol" w:hAnsi="Symbol" w:hint="default"/>
      </w:rPr>
    </w:lvl>
    <w:lvl w:ilvl="4" w:tplc="DB3AF43C" w:tentative="1">
      <w:start w:val="1"/>
      <w:numFmt w:val="bullet"/>
      <w:lvlText w:val="o"/>
      <w:lvlJc w:val="left"/>
      <w:pPr>
        <w:ind w:left="3600" w:hanging="360"/>
      </w:pPr>
      <w:rPr>
        <w:rFonts w:ascii="Courier New" w:hAnsi="Courier New" w:cs="Courier New" w:hint="default"/>
      </w:rPr>
    </w:lvl>
    <w:lvl w:ilvl="5" w:tplc="508A49A8" w:tentative="1">
      <w:start w:val="1"/>
      <w:numFmt w:val="bullet"/>
      <w:lvlText w:val=""/>
      <w:lvlJc w:val="left"/>
      <w:pPr>
        <w:ind w:left="4320" w:hanging="360"/>
      </w:pPr>
      <w:rPr>
        <w:rFonts w:ascii="Wingdings" w:hAnsi="Wingdings" w:hint="default"/>
      </w:rPr>
    </w:lvl>
    <w:lvl w:ilvl="6" w:tplc="2B049AB2" w:tentative="1">
      <w:start w:val="1"/>
      <w:numFmt w:val="bullet"/>
      <w:lvlText w:val=""/>
      <w:lvlJc w:val="left"/>
      <w:pPr>
        <w:ind w:left="5040" w:hanging="360"/>
      </w:pPr>
      <w:rPr>
        <w:rFonts w:ascii="Symbol" w:hAnsi="Symbol" w:hint="default"/>
      </w:rPr>
    </w:lvl>
    <w:lvl w:ilvl="7" w:tplc="47C23274" w:tentative="1">
      <w:start w:val="1"/>
      <w:numFmt w:val="bullet"/>
      <w:lvlText w:val="o"/>
      <w:lvlJc w:val="left"/>
      <w:pPr>
        <w:ind w:left="5760" w:hanging="360"/>
      </w:pPr>
      <w:rPr>
        <w:rFonts w:ascii="Courier New" w:hAnsi="Courier New" w:cs="Courier New" w:hint="default"/>
      </w:rPr>
    </w:lvl>
    <w:lvl w:ilvl="8" w:tplc="04D853D6" w:tentative="1">
      <w:start w:val="1"/>
      <w:numFmt w:val="bullet"/>
      <w:lvlText w:val=""/>
      <w:lvlJc w:val="left"/>
      <w:pPr>
        <w:ind w:left="6480" w:hanging="360"/>
      </w:pPr>
      <w:rPr>
        <w:rFonts w:ascii="Wingdings" w:hAnsi="Wingdings" w:hint="default"/>
      </w:rPr>
    </w:lvl>
  </w:abstractNum>
  <w:abstractNum w:abstractNumId="3" w15:restartNumberingAfterBreak="0">
    <w:nsid w:val="10571947"/>
    <w:multiLevelType w:val="hybridMultilevel"/>
    <w:tmpl w:val="DED880D6"/>
    <w:lvl w:ilvl="0" w:tplc="E24C06C4">
      <w:start w:val="1"/>
      <w:numFmt w:val="bullet"/>
      <w:lvlText w:val=""/>
      <w:lvlJc w:val="left"/>
      <w:pPr>
        <w:ind w:left="720" w:hanging="360"/>
      </w:pPr>
      <w:rPr>
        <w:rFonts w:ascii="Wingdings" w:hAnsi="Wingdings" w:hint="default"/>
      </w:rPr>
    </w:lvl>
    <w:lvl w:ilvl="1" w:tplc="FAEE0D1C" w:tentative="1">
      <w:start w:val="1"/>
      <w:numFmt w:val="bullet"/>
      <w:lvlText w:val="o"/>
      <w:lvlJc w:val="left"/>
      <w:pPr>
        <w:ind w:left="1440" w:hanging="360"/>
      </w:pPr>
      <w:rPr>
        <w:rFonts w:ascii="Courier New" w:hAnsi="Courier New" w:cs="Courier New" w:hint="default"/>
      </w:rPr>
    </w:lvl>
    <w:lvl w:ilvl="2" w:tplc="46CED7F6" w:tentative="1">
      <w:start w:val="1"/>
      <w:numFmt w:val="bullet"/>
      <w:lvlText w:val=""/>
      <w:lvlJc w:val="left"/>
      <w:pPr>
        <w:ind w:left="2160" w:hanging="360"/>
      </w:pPr>
      <w:rPr>
        <w:rFonts w:ascii="Wingdings" w:hAnsi="Wingdings" w:hint="default"/>
      </w:rPr>
    </w:lvl>
    <w:lvl w:ilvl="3" w:tplc="A2F88F5A" w:tentative="1">
      <w:start w:val="1"/>
      <w:numFmt w:val="bullet"/>
      <w:lvlText w:val=""/>
      <w:lvlJc w:val="left"/>
      <w:pPr>
        <w:ind w:left="2880" w:hanging="360"/>
      </w:pPr>
      <w:rPr>
        <w:rFonts w:ascii="Symbol" w:hAnsi="Symbol" w:hint="default"/>
      </w:rPr>
    </w:lvl>
    <w:lvl w:ilvl="4" w:tplc="EB3E4EFC" w:tentative="1">
      <w:start w:val="1"/>
      <w:numFmt w:val="bullet"/>
      <w:lvlText w:val="o"/>
      <w:lvlJc w:val="left"/>
      <w:pPr>
        <w:ind w:left="3600" w:hanging="360"/>
      </w:pPr>
      <w:rPr>
        <w:rFonts w:ascii="Courier New" w:hAnsi="Courier New" w:cs="Courier New" w:hint="default"/>
      </w:rPr>
    </w:lvl>
    <w:lvl w:ilvl="5" w:tplc="A4D4D110" w:tentative="1">
      <w:start w:val="1"/>
      <w:numFmt w:val="bullet"/>
      <w:lvlText w:val=""/>
      <w:lvlJc w:val="left"/>
      <w:pPr>
        <w:ind w:left="4320" w:hanging="360"/>
      </w:pPr>
      <w:rPr>
        <w:rFonts w:ascii="Wingdings" w:hAnsi="Wingdings" w:hint="default"/>
      </w:rPr>
    </w:lvl>
    <w:lvl w:ilvl="6" w:tplc="03D8C61C" w:tentative="1">
      <w:start w:val="1"/>
      <w:numFmt w:val="bullet"/>
      <w:lvlText w:val=""/>
      <w:lvlJc w:val="left"/>
      <w:pPr>
        <w:ind w:left="5040" w:hanging="360"/>
      </w:pPr>
      <w:rPr>
        <w:rFonts w:ascii="Symbol" w:hAnsi="Symbol" w:hint="default"/>
      </w:rPr>
    </w:lvl>
    <w:lvl w:ilvl="7" w:tplc="B49693F2" w:tentative="1">
      <w:start w:val="1"/>
      <w:numFmt w:val="bullet"/>
      <w:lvlText w:val="o"/>
      <w:lvlJc w:val="left"/>
      <w:pPr>
        <w:ind w:left="5760" w:hanging="360"/>
      </w:pPr>
      <w:rPr>
        <w:rFonts w:ascii="Courier New" w:hAnsi="Courier New" w:cs="Courier New" w:hint="default"/>
      </w:rPr>
    </w:lvl>
    <w:lvl w:ilvl="8" w:tplc="371EFAE4" w:tentative="1">
      <w:start w:val="1"/>
      <w:numFmt w:val="bullet"/>
      <w:lvlText w:val=""/>
      <w:lvlJc w:val="left"/>
      <w:pPr>
        <w:ind w:left="6480" w:hanging="360"/>
      </w:pPr>
      <w:rPr>
        <w:rFonts w:ascii="Wingdings" w:hAnsi="Wingdings" w:hint="default"/>
      </w:rPr>
    </w:lvl>
  </w:abstractNum>
  <w:abstractNum w:abstractNumId="4" w15:restartNumberingAfterBreak="0">
    <w:nsid w:val="35EE1775"/>
    <w:multiLevelType w:val="hybridMultilevel"/>
    <w:tmpl w:val="3872C2FE"/>
    <w:lvl w:ilvl="0" w:tplc="CB06218C">
      <w:start w:val="1"/>
      <w:numFmt w:val="bullet"/>
      <w:lvlText w:val=""/>
      <w:lvlJc w:val="left"/>
      <w:pPr>
        <w:ind w:left="360" w:hanging="360"/>
      </w:pPr>
      <w:rPr>
        <w:rFonts w:ascii="Symbol" w:hAnsi="Symbol" w:hint="default"/>
      </w:rPr>
    </w:lvl>
    <w:lvl w:ilvl="1" w:tplc="6BDEC2B8" w:tentative="1">
      <w:start w:val="1"/>
      <w:numFmt w:val="bullet"/>
      <w:lvlText w:val="o"/>
      <w:lvlJc w:val="left"/>
      <w:pPr>
        <w:ind w:left="1080" w:hanging="360"/>
      </w:pPr>
      <w:rPr>
        <w:rFonts w:ascii="Courier New" w:hAnsi="Courier New" w:cs="Courier New" w:hint="default"/>
      </w:rPr>
    </w:lvl>
    <w:lvl w:ilvl="2" w:tplc="835AA526" w:tentative="1">
      <w:start w:val="1"/>
      <w:numFmt w:val="bullet"/>
      <w:lvlText w:val=""/>
      <w:lvlJc w:val="left"/>
      <w:pPr>
        <w:ind w:left="1800" w:hanging="360"/>
      </w:pPr>
      <w:rPr>
        <w:rFonts w:ascii="Wingdings" w:hAnsi="Wingdings" w:hint="default"/>
      </w:rPr>
    </w:lvl>
    <w:lvl w:ilvl="3" w:tplc="51EA06C4" w:tentative="1">
      <w:start w:val="1"/>
      <w:numFmt w:val="bullet"/>
      <w:lvlText w:val=""/>
      <w:lvlJc w:val="left"/>
      <w:pPr>
        <w:ind w:left="2520" w:hanging="360"/>
      </w:pPr>
      <w:rPr>
        <w:rFonts w:ascii="Symbol" w:hAnsi="Symbol" w:hint="default"/>
      </w:rPr>
    </w:lvl>
    <w:lvl w:ilvl="4" w:tplc="F800B944" w:tentative="1">
      <w:start w:val="1"/>
      <w:numFmt w:val="bullet"/>
      <w:lvlText w:val="o"/>
      <w:lvlJc w:val="left"/>
      <w:pPr>
        <w:ind w:left="3240" w:hanging="360"/>
      </w:pPr>
      <w:rPr>
        <w:rFonts w:ascii="Courier New" w:hAnsi="Courier New" w:cs="Courier New" w:hint="default"/>
      </w:rPr>
    </w:lvl>
    <w:lvl w:ilvl="5" w:tplc="E7A65BDE" w:tentative="1">
      <w:start w:val="1"/>
      <w:numFmt w:val="bullet"/>
      <w:lvlText w:val=""/>
      <w:lvlJc w:val="left"/>
      <w:pPr>
        <w:ind w:left="3960" w:hanging="360"/>
      </w:pPr>
      <w:rPr>
        <w:rFonts w:ascii="Wingdings" w:hAnsi="Wingdings" w:hint="default"/>
      </w:rPr>
    </w:lvl>
    <w:lvl w:ilvl="6" w:tplc="CC209FC0" w:tentative="1">
      <w:start w:val="1"/>
      <w:numFmt w:val="bullet"/>
      <w:lvlText w:val=""/>
      <w:lvlJc w:val="left"/>
      <w:pPr>
        <w:ind w:left="4680" w:hanging="360"/>
      </w:pPr>
      <w:rPr>
        <w:rFonts w:ascii="Symbol" w:hAnsi="Symbol" w:hint="default"/>
      </w:rPr>
    </w:lvl>
    <w:lvl w:ilvl="7" w:tplc="EF4E2570" w:tentative="1">
      <w:start w:val="1"/>
      <w:numFmt w:val="bullet"/>
      <w:lvlText w:val="o"/>
      <w:lvlJc w:val="left"/>
      <w:pPr>
        <w:ind w:left="5400" w:hanging="360"/>
      </w:pPr>
      <w:rPr>
        <w:rFonts w:ascii="Courier New" w:hAnsi="Courier New" w:cs="Courier New" w:hint="default"/>
      </w:rPr>
    </w:lvl>
    <w:lvl w:ilvl="8" w:tplc="87986B84" w:tentative="1">
      <w:start w:val="1"/>
      <w:numFmt w:val="bullet"/>
      <w:lvlText w:val=""/>
      <w:lvlJc w:val="left"/>
      <w:pPr>
        <w:ind w:left="6120" w:hanging="360"/>
      </w:pPr>
      <w:rPr>
        <w:rFonts w:ascii="Wingdings" w:hAnsi="Wingdings" w:hint="default"/>
      </w:rPr>
    </w:lvl>
  </w:abstractNum>
  <w:abstractNum w:abstractNumId="5" w15:restartNumberingAfterBreak="0">
    <w:nsid w:val="3BAB429C"/>
    <w:multiLevelType w:val="hybridMultilevel"/>
    <w:tmpl w:val="54887F04"/>
    <w:lvl w:ilvl="0" w:tplc="3E662B70">
      <w:start w:val="1"/>
      <w:numFmt w:val="bullet"/>
      <w:lvlText w:val=""/>
      <w:lvlJc w:val="left"/>
      <w:pPr>
        <w:ind w:left="720" w:hanging="360"/>
      </w:pPr>
      <w:rPr>
        <w:rFonts w:ascii="Symbol" w:hAnsi="Symbol" w:hint="default"/>
      </w:rPr>
    </w:lvl>
    <w:lvl w:ilvl="1" w:tplc="C1E4CE5E" w:tentative="1">
      <w:start w:val="1"/>
      <w:numFmt w:val="bullet"/>
      <w:lvlText w:val="o"/>
      <w:lvlJc w:val="left"/>
      <w:pPr>
        <w:ind w:left="1440" w:hanging="360"/>
      </w:pPr>
      <w:rPr>
        <w:rFonts w:ascii="Courier New" w:hAnsi="Courier New" w:cs="Courier New" w:hint="default"/>
      </w:rPr>
    </w:lvl>
    <w:lvl w:ilvl="2" w:tplc="A6E2BAEA" w:tentative="1">
      <w:start w:val="1"/>
      <w:numFmt w:val="bullet"/>
      <w:lvlText w:val=""/>
      <w:lvlJc w:val="left"/>
      <w:pPr>
        <w:ind w:left="2160" w:hanging="360"/>
      </w:pPr>
      <w:rPr>
        <w:rFonts w:ascii="Wingdings" w:hAnsi="Wingdings" w:hint="default"/>
      </w:rPr>
    </w:lvl>
    <w:lvl w:ilvl="3" w:tplc="1DC0AC80" w:tentative="1">
      <w:start w:val="1"/>
      <w:numFmt w:val="bullet"/>
      <w:lvlText w:val=""/>
      <w:lvlJc w:val="left"/>
      <w:pPr>
        <w:ind w:left="2880" w:hanging="360"/>
      </w:pPr>
      <w:rPr>
        <w:rFonts w:ascii="Symbol" w:hAnsi="Symbol" w:hint="default"/>
      </w:rPr>
    </w:lvl>
    <w:lvl w:ilvl="4" w:tplc="4A2A980E" w:tentative="1">
      <w:start w:val="1"/>
      <w:numFmt w:val="bullet"/>
      <w:lvlText w:val="o"/>
      <w:lvlJc w:val="left"/>
      <w:pPr>
        <w:ind w:left="3600" w:hanging="360"/>
      </w:pPr>
      <w:rPr>
        <w:rFonts w:ascii="Courier New" w:hAnsi="Courier New" w:cs="Courier New" w:hint="default"/>
      </w:rPr>
    </w:lvl>
    <w:lvl w:ilvl="5" w:tplc="C2EC5ED2" w:tentative="1">
      <w:start w:val="1"/>
      <w:numFmt w:val="bullet"/>
      <w:lvlText w:val=""/>
      <w:lvlJc w:val="left"/>
      <w:pPr>
        <w:ind w:left="4320" w:hanging="360"/>
      </w:pPr>
      <w:rPr>
        <w:rFonts w:ascii="Wingdings" w:hAnsi="Wingdings" w:hint="default"/>
      </w:rPr>
    </w:lvl>
    <w:lvl w:ilvl="6" w:tplc="00F4DF20" w:tentative="1">
      <w:start w:val="1"/>
      <w:numFmt w:val="bullet"/>
      <w:lvlText w:val=""/>
      <w:lvlJc w:val="left"/>
      <w:pPr>
        <w:ind w:left="5040" w:hanging="360"/>
      </w:pPr>
      <w:rPr>
        <w:rFonts w:ascii="Symbol" w:hAnsi="Symbol" w:hint="default"/>
      </w:rPr>
    </w:lvl>
    <w:lvl w:ilvl="7" w:tplc="76CC0D0A" w:tentative="1">
      <w:start w:val="1"/>
      <w:numFmt w:val="bullet"/>
      <w:lvlText w:val="o"/>
      <w:lvlJc w:val="left"/>
      <w:pPr>
        <w:ind w:left="5760" w:hanging="360"/>
      </w:pPr>
      <w:rPr>
        <w:rFonts w:ascii="Courier New" w:hAnsi="Courier New" w:cs="Courier New" w:hint="default"/>
      </w:rPr>
    </w:lvl>
    <w:lvl w:ilvl="8" w:tplc="889E96B2" w:tentative="1">
      <w:start w:val="1"/>
      <w:numFmt w:val="bullet"/>
      <w:lvlText w:val=""/>
      <w:lvlJc w:val="left"/>
      <w:pPr>
        <w:ind w:left="6480" w:hanging="360"/>
      </w:pPr>
      <w:rPr>
        <w:rFonts w:ascii="Wingdings" w:hAnsi="Wingdings" w:hint="default"/>
      </w:rPr>
    </w:lvl>
  </w:abstractNum>
  <w:abstractNum w:abstractNumId="6" w15:restartNumberingAfterBreak="0">
    <w:nsid w:val="54B5799F"/>
    <w:multiLevelType w:val="hybridMultilevel"/>
    <w:tmpl w:val="4B7E8D56"/>
    <w:lvl w:ilvl="0" w:tplc="0DEC77D2">
      <w:start w:val="1"/>
      <w:numFmt w:val="bullet"/>
      <w:lvlText w:val=""/>
      <w:lvlJc w:val="left"/>
      <w:pPr>
        <w:ind w:left="360" w:hanging="360"/>
      </w:pPr>
      <w:rPr>
        <w:rFonts w:ascii="Wingdings" w:hAnsi="Wingdings" w:hint="default"/>
      </w:rPr>
    </w:lvl>
    <w:lvl w:ilvl="1" w:tplc="401AA72E" w:tentative="1">
      <w:start w:val="1"/>
      <w:numFmt w:val="bullet"/>
      <w:lvlText w:val="o"/>
      <w:lvlJc w:val="left"/>
      <w:pPr>
        <w:ind w:left="1080" w:hanging="360"/>
      </w:pPr>
      <w:rPr>
        <w:rFonts w:ascii="Courier New" w:hAnsi="Courier New" w:cs="Courier New" w:hint="default"/>
      </w:rPr>
    </w:lvl>
    <w:lvl w:ilvl="2" w:tplc="3628E3E2" w:tentative="1">
      <w:start w:val="1"/>
      <w:numFmt w:val="bullet"/>
      <w:lvlText w:val=""/>
      <w:lvlJc w:val="left"/>
      <w:pPr>
        <w:ind w:left="1800" w:hanging="360"/>
      </w:pPr>
      <w:rPr>
        <w:rFonts w:ascii="Wingdings" w:hAnsi="Wingdings" w:hint="default"/>
      </w:rPr>
    </w:lvl>
    <w:lvl w:ilvl="3" w:tplc="01206F06" w:tentative="1">
      <w:start w:val="1"/>
      <w:numFmt w:val="bullet"/>
      <w:lvlText w:val=""/>
      <w:lvlJc w:val="left"/>
      <w:pPr>
        <w:ind w:left="2520" w:hanging="360"/>
      </w:pPr>
      <w:rPr>
        <w:rFonts w:ascii="Symbol" w:hAnsi="Symbol" w:hint="default"/>
      </w:rPr>
    </w:lvl>
    <w:lvl w:ilvl="4" w:tplc="B7FE385A" w:tentative="1">
      <w:start w:val="1"/>
      <w:numFmt w:val="bullet"/>
      <w:lvlText w:val="o"/>
      <w:lvlJc w:val="left"/>
      <w:pPr>
        <w:ind w:left="3240" w:hanging="360"/>
      </w:pPr>
      <w:rPr>
        <w:rFonts w:ascii="Courier New" w:hAnsi="Courier New" w:cs="Courier New" w:hint="default"/>
      </w:rPr>
    </w:lvl>
    <w:lvl w:ilvl="5" w:tplc="45B22BC8" w:tentative="1">
      <w:start w:val="1"/>
      <w:numFmt w:val="bullet"/>
      <w:lvlText w:val=""/>
      <w:lvlJc w:val="left"/>
      <w:pPr>
        <w:ind w:left="3960" w:hanging="360"/>
      </w:pPr>
      <w:rPr>
        <w:rFonts w:ascii="Wingdings" w:hAnsi="Wingdings" w:hint="default"/>
      </w:rPr>
    </w:lvl>
    <w:lvl w:ilvl="6" w:tplc="0CFA16AC" w:tentative="1">
      <w:start w:val="1"/>
      <w:numFmt w:val="bullet"/>
      <w:lvlText w:val=""/>
      <w:lvlJc w:val="left"/>
      <w:pPr>
        <w:ind w:left="4680" w:hanging="360"/>
      </w:pPr>
      <w:rPr>
        <w:rFonts w:ascii="Symbol" w:hAnsi="Symbol" w:hint="default"/>
      </w:rPr>
    </w:lvl>
    <w:lvl w:ilvl="7" w:tplc="4B161B40" w:tentative="1">
      <w:start w:val="1"/>
      <w:numFmt w:val="bullet"/>
      <w:lvlText w:val="o"/>
      <w:lvlJc w:val="left"/>
      <w:pPr>
        <w:ind w:left="5400" w:hanging="360"/>
      </w:pPr>
      <w:rPr>
        <w:rFonts w:ascii="Courier New" w:hAnsi="Courier New" w:cs="Courier New" w:hint="default"/>
      </w:rPr>
    </w:lvl>
    <w:lvl w:ilvl="8" w:tplc="AA1452E4" w:tentative="1">
      <w:start w:val="1"/>
      <w:numFmt w:val="bullet"/>
      <w:lvlText w:val=""/>
      <w:lvlJc w:val="left"/>
      <w:pPr>
        <w:ind w:left="6120" w:hanging="360"/>
      </w:pPr>
      <w:rPr>
        <w:rFonts w:ascii="Wingdings" w:hAnsi="Wingdings" w:hint="default"/>
      </w:rPr>
    </w:lvl>
  </w:abstractNum>
  <w:abstractNum w:abstractNumId="7" w15:restartNumberingAfterBreak="0">
    <w:nsid w:val="58975AE7"/>
    <w:multiLevelType w:val="hybridMultilevel"/>
    <w:tmpl w:val="0FE29FFC"/>
    <w:lvl w:ilvl="0" w:tplc="96CED654">
      <w:start w:val="1"/>
      <w:numFmt w:val="bullet"/>
      <w:lvlText w:val=""/>
      <w:lvlJc w:val="left"/>
      <w:pPr>
        <w:ind w:left="720" w:hanging="360"/>
      </w:pPr>
      <w:rPr>
        <w:rFonts w:ascii="Symbol" w:hAnsi="Symbol" w:hint="default"/>
      </w:rPr>
    </w:lvl>
    <w:lvl w:ilvl="1" w:tplc="D49ACBB2" w:tentative="1">
      <w:start w:val="1"/>
      <w:numFmt w:val="bullet"/>
      <w:lvlText w:val="o"/>
      <w:lvlJc w:val="left"/>
      <w:pPr>
        <w:ind w:left="1440" w:hanging="360"/>
      </w:pPr>
      <w:rPr>
        <w:rFonts w:ascii="Courier New" w:hAnsi="Courier New" w:cs="Courier New" w:hint="default"/>
      </w:rPr>
    </w:lvl>
    <w:lvl w:ilvl="2" w:tplc="E3CE0DF0" w:tentative="1">
      <w:start w:val="1"/>
      <w:numFmt w:val="bullet"/>
      <w:lvlText w:val=""/>
      <w:lvlJc w:val="left"/>
      <w:pPr>
        <w:ind w:left="2160" w:hanging="360"/>
      </w:pPr>
      <w:rPr>
        <w:rFonts w:ascii="Wingdings" w:hAnsi="Wingdings" w:hint="default"/>
      </w:rPr>
    </w:lvl>
    <w:lvl w:ilvl="3" w:tplc="F78C452A" w:tentative="1">
      <w:start w:val="1"/>
      <w:numFmt w:val="bullet"/>
      <w:lvlText w:val=""/>
      <w:lvlJc w:val="left"/>
      <w:pPr>
        <w:ind w:left="2880" w:hanging="360"/>
      </w:pPr>
      <w:rPr>
        <w:rFonts w:ascii="Symbol" w:hAnsi="Symbol" w:hint="default"/>
      </w:rPr>
    </w:lvl>
    <w:lvl w:ilvl="4" w:tplc="D60E70FE" w:tentative="1">
      <w:start w:val="1"/>
      <w:numFmt w:val="bullet"/>
      <w:lvlText w:val="o"/>
      <w:lvlJc w:val="left"/>
      <w:pPr>
        <w:ind w:left="3600" w:hanging="360"/>
      </w:pPr>
      <w:rPr>
        <w:rFonts w:ascii="Courier New" w:hAnsi="Courier New" w:cs="Courier New" w:hint="default"/>
      </w:rPr>
    </w:lvl>
    <w:lvl w:ilvl="5" w:tplc="4C282E1C" w:tentative="1">
      <w:start w:val="1"/>
      <w:numFmt w:val="bullet"/>
      <w:lvlText w:val=""/>
      <w:lvlJc w:val="left"/>
      <w:pPr>
        <w:ind w:left="4320" w:hanging="360"/>
      </w:pPr>
      <w:rPr>
        <w:rFonts w:ascii="Wingdings" w:hAnsi="Wingdings" w:hint="default"/>
      </w:rPr>
    </w:lvl>
    <w:lvl w:ilvl="6" w:tplc="713C8128" w:tentative="1">
      <w:start w:val="1"/>
      <w:numFmt w:val="bullet"/>
      <w:lvlText w:val=""/>
      <w:lvlJc w:val="left"/>
      <w:pPr>
        <w:ind w:left="5040" w:hanging="360"/>
      </w:pPr>
      <w:rPr>
        <w:rFonts w:ascii="Symbol" w:hAnsi="Symbol" w:hint="default"/>
      </w:rPr>
    </w:lvl>
    <w:lvl w:ilvl="7" w:tplc="3D985B0E" w:tentative="1">
      <w:start w:val="1"/>
      <w:numFmt w:val="bullet"/>
      <w:lvlText w:val="o"/>
      <w:lvlJc w:val="left"/>
      <w:pPr>
        <w:ind w:left="5760" w:hanging="360"/>
      </w:pPr>
      <w:rPr>
        <w:rFonts w:ascii="Courier New" w:hAnsi="Courier New" w:cs="Courier New" w:hint="default"/>
      </w:rPr>
    </w:lvl>
    <w:lvl w:ilvl="8" w:tplc="97CAA12C" w:tentative="1">
      <w:start w:val="1"/>
      <w:numFmt w:val="bullet"/>
      <w:lvlText w:val=""/>
      <w:lvlJc w:val="left"/>
      <w:pPr>
        <w:ind w:left="6480" w:hanging="360"/>
      </w:pPr>
      <w:rPr>
        <w:rFonts w:ascii="Wingdings" w:hAnsi="Wingdings" w:hint="default"/>
      </w:rPr>
    </w:lvl>
  </w:abstractNum>
  <w:abstractNum w:abstractNumId="8" w15:restartNumberingAfterBreak="0">
    <w:nsid w:val="5EBD4A18"/>
    <w:multiLevelType w:val="hybridMultilevel"/>
    <w:tmpl w:val="89309BB8"/>
    <w:lvl w:ilvl="0" w:tplc="608A210E">
      <w:start w:val="1"/>
      <w:numFmt w:val="bullet"/>
      <w:lvlText w:val=""/>
      <w:lvlJc w:val="left"/>
      <w:pPr>
        <w:ind w:left="360" w:hanging="360"/>
      </w:pPr>
      <w:rPr>
        <w:rFonts w:ascii="Symbol" w:hAnsi="Symbol" w:hint="default"/>
      </w:rPr>
    </w:lvl>
    <w:lvl w:ilvl="1" w:tplc="75C0A366" w:tentative="1">
      <w:start w:val="1"/>
      <w:numFmt w:val="bullet"/>
      <w:lvlText w:val="o"/>
      <w:lvlJc w:val="left"/>
      <w:pPr>
        <w:ind w:left="1080" w:hanging="360"/>
      </w:pPr>
      <w:rPr>
        <w:rFonts w:ascii="Courier New" w:hAnsi="Courier New" w:cs="Courier New" w:hint="default"/>
      </w:rPr>
    </w:lvl>
    <w:lvl w:ilvl="2" w:tplc="FF1427E2" w:tentative="1">
      <w:start w:val="1"/>
      <w:numFmt w:val="bullet"/>
      <w:lvlText w:val=""/>
      <w:lvlJc w:val="left"/>
      <w:pPr>
        <w:ind w:left="1800" w:hanging="360"/>
      </w:pPr>
      <w:rPr>
        <w:rFonts w:ascii="Wingdings" w:hAnsi="Wingdings" w:hint="default"/>
      </w:rPr>
    </w:lvl>
    <w:lvl w:ilvl="3" w:tplc="6FD25E82" w:tentative="1">
      <w:start w:val="1"/>
      <w:numFmt w:val="bullet"/>
      <w:lvlText w:val=""/>
      <w:lvlJc w:val="left"/>
      <w:pPr>
        <w:ind w:left="2520" w:hanging="360"/>
      </w:pPr>
      <w:rPr>
        <w:rFonts w:ascii="Symbol" w:hAnsi="Symbol" w:hint="default"/>
      </w:rPr>
    </w:lvl>
    <w:lvl w:ilvl="4" w:tplc="0922DE92" w:tentative="1">
      <w:start w:val="1"/>
      <w:numFmt w:val="bullet"/>
      <w:lvlText w:val="o"/>
      <w:lvlJc w:val="left"/>
      <w:pPr>
        <w:ind w:left="3240" w:hanging="360"/>
      </w:pPr>
      <w:rPr>
        <w:rFonts w:ascii="Courier New" w:hAnsi="Courier New" w:cs="Courier New" w:hint="default"/>
      </w:rPr>
    </w:lvl>
    <w:lvl w:ilvl="5" w:tplc="2C9848C4" w:tentative="1">
      <w:start w:val="1"/>
      <w:numFmt w:val="bullet"/>
      <w:lvlText w:val=""/>
      <w:lvlJc w:val="left"/>
      <w:pPr>
        <w:ind w:left="3960" w:hanging="360"/>
      </w:pPr>
      <w:rPr>
        <w:rFonts w:ascii="Wingdings" w:hAnsi="Wingdings" w:hint="default"/>
      </w:rPr>
    </w:lvl>
    <w:lvl w:ilvl="6" w:tplc="1F404AE4" w:tentative="1">
      <w:start w:val="1"/>
      <w:numFmt w:val="bullet"/>
      <w:lvlText w:val=""/>
      <w:lvlJc w:val="left"/>
      <w:pPr>
        <w:ind w:left="4680" w:hanging="360"/>
      </w:pPr>
      <w:rPr>
        <w:rFonts w:ascii="Symbol" w:hAnsi="Symbol" w:hint="default"/>
      </w:rPr>
    </w:lvl>
    <w:lvl w:ilvl="7" w:tplc="98AA5EDC" w:tentative="1">
      <w:start w:val="1"/>
      <w:numFmt w:val="bullet"/>
      <w:lvlText w:val="o"/>
      <w:lvlJc w:val="left"/>
      <w:pPr>
        <w:ind w:left="5400" w:hanging="360"/>
      </w:pPr>
      <w:rPr>
        <w:rFonts w:ascii="Courier New" w:hAnsi="Courier New" w:cs="Courier New" w:hint="default"/>
      </w:rPr>
    </w:lvl>
    <w:lvl w:ilvl="8" w:tplc="B30205C2" w:tentative="1">
      <w:start w:val="1"/>
      <w:numFmt w:val="bullet"/>
      <w:lvlText w:val=""/>
      <w:lvlJc w:val="left"/>
      <w:pPr>
        <w:ind w:left="6120" w:hanging="360"/>
      </w:pPr>
      <w:rPr>
        <w:rFonts w:ascii="Wingdings" w:hAnsi="Wingdings" w:hint="default"/>
      </w:rPr>
    </w:lvl>
  </w:abstractNum>
  <w:abstractNum w:abstractNumId="9" w15:restartNumberingAfterBreak="0">
    <w:nsid w:val="648C0C10"/>
    <w:multiLevelType w:val="hybridMultilevel"/>
    <w:tmpl w:val="6D109332"/>
    <w:lvl w:ilvl="0" w:tplc="8CA4FC6E">
      <w:start w:val="1"/>
      <w:numFmt w:val="hebrew1"/>
      <w:lvlText w:val="%1."/>
      <w:lvlJc w:val="left"/>
      <w:pPr>
        <w:ind w:left="720" w:hanging="360"/>
      </w:pPr>
    </w:lvl>
    <w:lvl w:ilvl="1" w:tplc="B532DD46">
      <w:start w:val="1"/>
      <w:numFmt w:val="lowerLetter"/>
      <w:lvlText w:val="%2."/>
      <w:lvlJc w:val="left"/>
      <w:pPr>
        <w:ind w:left="1440" w:hanging="360"/>
      </w:pPr>
    </w:lvl>
    <w:lvl w:ilvl="2" w:tplc="75084818">
      <w:start w:val="1"/>
      <w:numFmt w:val="lowerRoman"/>
      <w:lvlText w:val="%3."/>
      <w:lvlJc w:val="right"/>
      <w:pPr>
        <w:ind w:left="2160" w:hanging="180"/>
      </w:pPr>
    </w:lvl>
    <w:lvl w:ilvl="3" w:tplc="399214FE">
      <w:start w:val="1"/>
      <w:numFmt w:val="decimal"/>
      <w:lvlText w:val="%4."/>
      <w:lvlJc w:val="left"/>
      <w:pPr>
        <w:ind w:left="2880" w:hanging="360"/>
      </w:pPr>
    </w:lvl>
    <w:lvl w:ilvl="4" w:tplc="BFB0597C">
      <w:start w:val="1"/>
      <w:numFmt w:val="lowerLetter"/>
      <w:lvlText w:val="%5."/>
      <w:lvlJc w:val="left"/>
      <w:pPr>
        <w:ind w:left="3600" w:hanging="360"/>
      </w:pPr>
    </w:lvl>
    <w:lvl w:ilvl="5" w:tplc="5030A718">
      <w:start w:val="1"/>
      <w:numFmt w:val="lowerRoman"/>
      <w:lvlText w:val="%6."/>
      <w:lvlJc w:val="right"/>
      <w:pPr>
        <w:ind w:left="4320" w:hanging="180"/>
      </w:pPr>
    </w:lvl>
    <w:lvl w:ilvl="6" w:tplc="EEA4942C">
      <w:start w:val="1"/>
      <w:numFmt w:val="decimal"/>
      <w:lvlText w:val="%7."/>
      <w:lvlJc w:val="left"/>
      <w:pPr>
        <w:ind w:left="5040" w:hanging="360"/>
      </w:pPr>
    </w:lvl>
    <w:lvl w:ilvl="7" w:tplc="CDDAD748">
      <w:start w:val="1"/>
      <w:numFmt w:val="lowerLetter"/>
      <w:lvlText w:val="%8."/>
      <w:lvlJc w:val="left"/>
      <w:pPr>
        <w:ind w:left="5760" w:hanging="360"/>
      </w:pPr>
    </w:lvl>
    <w:lvl w:ilvl="8" w:tplc="898065CE">
      <w:start w:val="1"/>
      <w:numFmt w:val="lowerRoman"/>
      <w:lvlText w:val="%9."/>
      <w:lvlJc w:val="right"/>
      <w:pPr>
        <w:ind w:left="6480" w:hanging="180"/>
      </w:pPr>
    </w:lvl>
  </w:abstractNum>
  <w:abstractNum w:abstractNumId="10" w15:restartNumberingAfterBreak="0">
    <w:nsid w:val="65BA64F0"/>
    <w:multiLevelType w:val="hybridMultilevel"/>
    <w:tmpl w:val="F75298DA"/>
    <w:lvl w:ilvl="0" w:tplc="FD624F30">
      <w:start w:val="1"/>
      <w:numFmt w:val="bullet"/>
      <w:lvlText w:val=""/>
      <w:lvlJc w:val="left"/>
      <w:pPr>
        <w:ind w:left="720" w:hanging="360"/>
      </w:pPr>
      <w:rPr>
        <w:rFonts w:ascii="Symbol" w:hAnsi="Symbol" w:hint="default"/>
      </w:rPr>
    </w:lvl>
    <w:lvl w:ilvl="1" w:tplc="49C46D4A" w:tentative="1">
      <w:start w:val="1"/>
      <w:numFmt w:val="bullet"/>
      <w:lvlText w:val="o"/>
      <w:lvlJc w:val="left"/>
      <w:pPr>
        <w:ind w:left="1440" w:hanging="360"/>
      </w:pPr>
      <w:rPr>
        <w:rFonts w:ascii="Courier New" w:hAnsi="Courier New" w:cs="Courier New" w:hint="default"/>
      </w:rPr>
    </w:lvl>
    <w:lvl w:ilvl="2" w:tplc="2786C1D2" w:tentative="1">
      <w:start w:val="1"/>
      <w:numFmt w:val="bullet"/>
      <w:lvlText w:val=""/>
      <w:lvlJc w:val="left"/>
      <w:pPr>
        <w:ind w:left="2160" w:hanging="360"/>
      </w:pPr>
      <w:rPr>
        <w:rFonts w:ascii="Wingdings" w:hAnsi="Wingdings" w:hint="default"/>
      </w:rPr>
    </w:lvl>
    <w:lvl w:ilvl="3" w:tplc="1A384DD0" w:tentative="1">
      <w:start w:val="1"/>
      <w:numFmt w:val="bullet"/>
      <w:lvlText w:val=""/>
      <w:lvlJc w:val="left"/>
      <w:pPr>
        <w:ind w:left="2880" w:hanging="360"/>
      </w:pPr>
      <w:rPr>
        <w:rFonts w:ascii="Symbol" w:hAnsi="Symbol" w:hint="default"/>
      </w:rPr>
    </w:lvl>
    <w:lvl w:ilvl="4" w:tplc="AF04BDA6" w:tentative="1">
      <w:start w:val="1"/>
      <w:numFmt w:val="bullet"/>
      <w:lvlText w:val="o"/>
      <w:lvlJc w:val="left"/>
      <w:pPr>
        <w:ind w:left="3600" w:hanging="360"/>
      </w:pPr>
      <w:rPr>
        <w:rFonts w:ascii="Courier New" w:hAnsi="Courier New" w:cs="Courier New" w:hint="default"/>
      </w:rPr>
    </w:lvl>
    <w:lvl w:ilvl="5" w:tplc="0B866A02" w:tentative="1">
      <w:start w:val="1"/>
      <w:numFmt w:val="bullet"/>
      <w:lvlText w:val=""/>
      <w:lvlJc w:val="left"/>
      <w:pPr>
        <w:ind w:left="4320" w:hanging="360"/>
      </w:pPr>
      <w:rPr>
        <w:rFonts w:ascii="Wingdings" w:hAnsi="Wingdings" w:hint="default"/>
      </w:rPr>
    </w:lvl>
    <w:lvl w:ilvl="6" w:tplc="65E8FDB8" w:tentative="1">
      <w:start w:val="1"/>
      <w:numFmt w:val="bullet"/>
      <w:lvlText w:val=""/>
      <w:lvlJc w:val="left"/>
      <w:pPr>
        <w:ind w:left="5040" w:hanging="360"/>
      </w:pPr>
      <w:rPr>
        <w:rFonts w:ascii="Symbol" w:hAnsi="Symbol" w:hint="default"/>
      </w:rPr>
    </w:lvl>
    <w:lvl w:ilvl="7" w:tplc="01F20AB0" w:tentative="1">
      <w:start w:val="1"/>
      <w:numFmt w:val="bullet"/>
      <w:lvlText w:val="o"/>
      <w:lvlJc w:val="left"/>
      <w:pPr>
        <w:ind w:left="5760" w:hanging="360"/>
      </w:pPr>
      <w:rPr>
        <w:rFonts w:ascii="Courier New" w:hAnsi="Courier New" w:cs="Courier New" w:hint="default"/>
      </w:rPr>
    </w:lvl>
    <w:lvl w:ilvl="8" w:tplc="5F10589A" w:tentative="1">
      <w:start w:val="1"/>
      <w:numFmt w:val="bullet"/>
      <w:lvlText w:val=""/>
      <w:lvlJc w:val="left"/>
      <w:pPr>
        <w:ind w:left="6480" w:hanging="360"/>
      </w:pPr>
      <w:rPr>
        <w:rFonts w:ascii="Wingdings" w:hAnsi="Wingdings" w:hint="default"/>
      </w:rPr>
    </w:lvl>
  </w:abstractNum>
  <w:abstractNum w:abstractNumId="11" w15:restartNumberingAfterBreak="0">
    <w:nsid w:val="7137205B"/>
    <w:multiLevelType w:val="hybridMultilevel"/>
    <w:tmpl w:val="66868FB6"/>
    <w:lvl w:ilvl="0" w:tplc="2C4A5F94">
      <w:start w:val="1"/>
      <w:numFmt w:val="bullet"/>
      <w:lvlText w:val=""/>
      <w:lvlJc w:val="left"/>
      <w:pPr>
        <w:ind w:left="5747" w:hanging="360"/>
      </w:pPr>
      <w:rPr>
        <w:rFonts w:ascii="Symbol" w:hAnsi="Symbol" w:hint="default"/>
      </w:rPr>
    </w:lvl>
    <w:lvl w:ilvl="1" w:tplc="1DF82AF6" w:tentative="1">
      <w:start w:val="1"/>
      <w:numFmt w:val="bullet"/>
      <w:lvlText w:val="o"/>
      <w:lvlJc w:val="left"/>
      <w:pPr>
        <w:ind w:left="6467" w:hanging="360"/>
      </w:pPr>
      <w:rPr>
        <w:rFonts w:ascii="Courier New" w:hAnsi="Courier New" w:cs="Courier New" w:hint="default"/>
      </w:rPr>
    </w:lvl>
    <w:lvl w:ilvl="2" w:tplc="ABD6DE0A" w:tentative="1">
      <w:start w:val="1"/>
      <w:numFmt w:val="bullet"/>
      <w:lvlText w:val=""/>
      <w:lvlJc w:val="left"/>
      <w:pPr>
        <w:ind w:left="7187" w:hanging="360"/>
      </w:pPr>
      <w:rPr>
        <w:rFonts w:ascii="Wingdings" w:hAnsi="Wingdings" w:hint="default"/>
      </w:rPr>
    </w:lvl>
    <w:lvl w:ilvl="3" w:tplc="E144A33A" w:tentative="1">
      <w:start w:val="1"/>
      <w:numFmt w:val="bullet"/>
      <w:lvlText w:val=""/>
      <w:lvlJc w:val="left"/>
      <w:pPr>
        <w:ind w:left="7907" w:hanging="360"/>
      </w:pPr>
      <w:rPr>
        <w:rFonts w:ascii="Symbol" w:hAnsi="Symbol" w:hint="default"/>
      </w:rPr>
    </w:lvl>
    <w:lvl w:ilvl="4" w:tplc="8A4CF130" w:tentative="1">
      <w:start w:val="1"/>
      <w:numFmt w:val="bullet"/>
      <w:lvlText w:val="o"/>
      <w:lvlJc w:val="left"/>
      <w:pPr>
        <w:ind w:left="8627" w:hanging="360"/>
      </w:pPr>
      <w:rPr>
        <w:rFonts w:ascii="Courier New" w:hAnsi="Courier New" w:cs="Courier New" w:hint="default"/>
      </w:rPr>
    </w:lvl>
    <w:lvl w:ilvl="5" w:tplc="71F08564" w:tentative="1">
      <w:start w:val="1"/>
      <w:numFmt w:val="bullet"/>
      <w:lvlText w:val=""/>
      <w:lvlJc w:val="left"/>
      <w:pPr>
        <w:ind w:left="9347" w:hanging="360"/>
      </w:pPr>
      <w:rPr>
        <w:rFonts w:ascii="Wingdings" w:hAnsi="Wingdings" w:hint="default"/>
      </w:rPr>
    </w:lvl>
    <w:lvl w:ilvl="6" w:tplc="BAE0D5F2" w:tentative="1">
      <w:start w:val="1"/>
      <w:numFmt w:val="bullet"/>
      <w:lvlText w:val=""/>
      <w:lvlJc w:val="left"/>
      <w:pPr>
        <w:ind w:left="10067" w:hanging="360"/>
      </w:pPr>
      <w:rPr>
        <w:rFonts w:ascii="Symbol" w:hAnsi="Symbol" w:hint="default"/>
      </w:rPr>
    </w:lvl>
    <w:lvl w:ilvl="7" w:tplc="3EACC100" w:tentative="1">
      <w:start w:val="1"/>
      <w:numFmt w:val="bullet"/>
      <w:lvlText w:val="o"/>
      <w:lvlJc w:val="left"/>
      <w:pPr>
        <w:ind w:left="10787" w:hanging="360"/>
      </w:pPr>
      <w:rPr>
        <w:rFonts w:ascii="Courier New" w:hAnsi="Courier New" w:cs="Courier New" w:hint="default"/>
      </w:rPr>
    </w:lvl>
    <w:lvl w:ilvl="8" w:tplc="A2BCA390" w:tentative="1">
      <w:start w:val="1"/>
      <w:numFmt w:val="bullet"/>
      <w:lvlText w:val=""/>
      <w:lvlJc w:val="left"/>
      <w:pPr>
        <w:ind w:left="11507" w:hanging="360"/>
      </w:pPr>
      <w:rPr>
        <w:rFonts w:ascii="Wingdings" w:hAnsi="Wingdings" w:hint="default"/>
      </w:rPr>
    </w:lvl>
  </w:abstractNum>
  <w:abstractNum w:abstractNumId="12" w15:restartNumberingAfterBreak="0">
    <w:nsid w:val="7AB960C6"/>
    <w:multiLevelType w:val="hybridMultilevel"/>
    <w:tmpl w:val="A9C696C4"/>
    <w:lvl w:ilvl="0" w:tplc="585C40E6">
      <w:start w:val="1"/>
      <w:numFmt w:val="bullet"/>
      <w:lvlText w:val=""/>
      <w:lvlJc w:val="left"/>
      <w:pPr>
        <w:ind w:left="360" w:hanging="360"/>
      </w:pPr>
      <w:rPr>
        <w:rFonts w:ascii="Symbol" w:hAnsi="Symbol" w:hint="default"/>
      </w:rPr>
    </w:lvl>
    <w:lvl w:ilvl="1" w:tplc="3716D64E" w:tentative="1">
      <w:start w:val="1"/>
      <w:numFmt w:val="bullet"/>
      <w:lvlText w:val="o"/>
      <w:lvlJc w:val="left"/>
      <w:pPr>
        <w:ind w:left="1080" w:hanging="360"/>
      </w:pPr>
      <w:rPr>
        <w:rFonts w:ascii="Courier New" w:hAnsi="Courier New" w:cs="Courier New" w:hint="default"/>
      </w:rPr>
    </w:lvl>
    <w:lvl w:ilvl="2" w:tplc="0C14C286" w:tentative="1">
      <w:start w:val="1"/>
      <w:numFmt w:val="bullet"/>
      <w:lvlText w:val=""/>
      <w:lvlJc w:val="left"/>
      <w:pPr>
        <w:ind w:left="1800" w:hanging="360"/>
      </w:pPr>
      <w:rPr>
        <w:rFonts w:ascii="Wingdings" w:hAnsi="Wingdings" w:hint="default"/>
      </w:rPr>
    </w:lvl>
    <w:lvl w:ilvl="3" w:tplc="3DE4D0F4" w:tentative="1">
      <w:start w:val="1"/>
      <w:numFmt w:val="bullet"/>
      <w:lvlText w:val=""/>
      <w:lvlJc w:val="left"/>
      <w:pPr>
        <w:ind w:left="2520" w:hanging="360"/>
      </w:pPr>
      <w:rPr>
        <w:rFonts w:ascii="Symbol" w:hAnsi="Symbol" w:hint="default"/>
      </w:rPr>
    </w:lvl>
    <w:lvl w:ilvl="4" w:tplc="B7746C86" w:tentative="1">
      <w:start w:val="1"/>
      <w:numFmt w:val="bullet"/>
      <w:lvlText w:val="o"/>
      <w:lvlJc w:val="left"/>
      <w:pPr>
        <w:ind w:left="3240" w:hanging="360"/>
      </w:pPr>
      <w:rPr>
        <w:rFonts w:ascii="Courier New" w:hAnsi="Courier New" w:cs="Courier New" w:hint="default"/>
      </w:rPr>
    </w:lvl>
    <w:lvl w:ilvl="5" w:tplc="CA8CD912" w:tentative="1">
      <w:start w:val="1"/>
      <w:numFmt w:val="bullet"/>
      <w:lvlText w:val=""/>
      <w:lvlJc w:val="left"/>
      <w:pPr>
        <w:ind w:left="3960" w:hanging="360"/>
      </w:pPr>
      <w:rPr>
        <w:rFonts w:ascii="Wingdings" w:hAnsi="Wingdings" w:hint="default"/>
      </w:rPr>
    </w:lvl>
    <w:lvl w:ilvl="6" w:tplc="00F28E7C" w:tentative="1">
      <w:start w:val="1"/>
      <w:numFmt w:val="bullet"/>
      <w:lvlText w:val=""/>
      <w:lvlJc w:val="left"/>
      <w:pPr>
        <w:ind w:left="4680" w:hanging="360"/>
      </w:pPr>
      <w:rPr>
        <w:rFonts w:ascii="Symbol" w:hAnsi="Symbol" w:hint="default"/>
      </w:rPr>
    </w:lvl>
    <w:lvl w:ilvl="7" w:tplc="8D7691AC" w:tentative="1">
      <w:start w:val="1"/>
      <w:numFmt w:val="bullet"/>
      <w:lvlText w:val="o"/>
      <w:lvlJc w:val="left"/>
      <w:pPr>
        <w:ind w:left="5400" w:hanging="360"/>
      </w:pPr>
      <w:rPr>
        <w:rFonts w:ascii="Courier New" w:hAnsi="Courier New" w:cs="Courier New" w:hint="default"/>
      </w:rPr>
    </w:lvl>
    <w:lvl w:ilvl="8" w:tplc="E996E040"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
  </w:num>
  <w:num w:numId="6">
    <w:abstractNumId w:val="12"/>
  </w:num>
  <w:num w:numId="7">
    <w:abstractNumId w:val="5"/>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C06"/>
    <w:rsid w:val="000009ED"/>
    <w:rsid w:val="000016FE"/>
    <w:rsid w:val="00003FA3"/>
    <w:rsid w:val="0000420E"/>
    <w:rsid w:val="00004259"/>
    <w:rsid w:val="00005040"/>
    <w:rsid w:val="00005212"/>
    <w:rsid w:val="0000579C"/>
    <w:rsid w:val="000057DC"/>
    <w:rsid w:val="0000766C"/>
    <w:rsid w:val="00010568"/>
    <w:rsid w:val="00010C70"/>
    <w:rsid w:val="0001308F"/>
    <w:rsid w:val="0001331B"/>
    <w:rsid w:val="00014A23"/>
    <w:rsid w:val="00014EF7"/>
    <w:rsid w:val="0001723D"/>
    <w:rsid w:val="00017C7F"/>
    <w:rsid w:val="00020F9E"/>
    <w:rsid w:val="000247BE"/>
    <w:rsid w:val="0002574D"/>
    <w:rsid w:val="000258A8"/>
    <w:rsid w:val="00026557"/>
    <w:rsid w:val="00026692"/>
    <w:rsid w:val="0002762F"/>
    <w:rsid w:val="0003080D"/>
    <w:rsid w:val="000308DE"/>
    <w:rsid w:val="00032BD5"/>
    <w:rsid w:val="00032EAA"/>
    <w:rsid w:val="00033062"/>
    <w:rsid w:val="00033326"/>
    <w:rsid w:val="000337D1"/>
    <w:rsid w:val="000359AC"/>
    <w:rsid w:val="0003624A"/>
    <w:rsid w:val="0003644D"/>
    <w:rsid w:val="000368DE"/>
    <w:rsid w:val="00040CA9"/>
    <w:rsid w:val="0004163E"/>
    <w:rsid w:val="000416AB"/>
    <w:rsid w:val="00041B69"/>
    <w:rsid w:val="00042865"/>
    <w:rsid w:val="00042D5A"/>
    <w:rsid w:val="00043E00"/>
    <w:rsid w:val="00043EF3"/>
    <w:rsid w:val="00044851"/>
    <w:rsid w:val="00044C54"/>
    <w:rsid w:val="000467E1"/>
    <w:rsid w:val="00046F70"/>
    <w:rsid w:val="000504FE"/>
    <w:rsid w:val="00050BD0"/>
    <w:rsid w:val="000512B0"/>
    <w:rsid w:val="000519B9"/>
    <w:rsid w:val="00051F02"/>
    <w:rsid w:val="00053072"/>
    <w:rsid w:val="00053163"/>
    <w:rsid w:val="000538AB"/>
    <w:rsid w:val="00053A86"/>
    <w:rsid w:val="00054956"/>
    <w:rsid w:val="00056533"/>
    <w:rsid w:val="00061166"/>
    <w:rsid w:val="00064AC9"/>
    <w:rsid w:val="00065057"/>
    <w:rsid w:val="000651F8"/>
    <w:rsid w:val="0006540D"/>
    <w:rsid w:val="00066322"/>
    <w:rsid w:val="000674E1"/>
    <w:rsid w:val="000677A6"/>
    <w:rsid w:val="0006797C"/>
    <w:rsid w:val="000703FF"/>
    <w:rsid w:val="00070DB3"/>
    <w:rsid w:val="00070EC2"/>
    <w:rsid w:val="000717B4"/>
    <w:rsid w:val="0007420A"/>
    <w:rsid w:val="000743A2"/>
    <w:rsid w:val="00074B82"/>
    <w:rsid w:val="0007516C"/>
    <w:rsid w:val="0007573A"/>
    <w:rsid w:val="00075EFC"/>
    <w:rsid w:val="000769A8"/>
    <w:rsid w:val="0008104C"/>
    <w:rsid w:val="000819C4"/>
    <w:rsid w:val="00081DD4"/>
    <w:rsid w:val="00081ECB"/>
    <w:rsid w:val="0008265B"/>
    <w:rsid w:val="00083540"/>
    <w:rsid w:val="00084BF8"/>
    <w:rsid w:val="000851CE"/>
    <w:rsid w:val="000857A0"/>
    <w:rsid w:val="000860E5"/>
    <w:rsid w:val="00086CE6"/>
    <w:rsid w:val="00086DD2"/>
    <w:rsid w:val="00087055"/>
    <w:rsid w:val="00087A89"/>
    <w:rsid w:val="0009033A"/>
    <w:rsid w:val="00090ABE"/>
    <w:rsid w:val="00091510"/>
    <w:rsid w:val="00091D07"/>
    <w:rsid w:val="00093CBA"/>
    <w:rsid w:val="00093E16"/>
    <w:rsid w:val="00094DC7"/>
    <w:rsid w:val="00096C47"/>
    <w:rsid w:val="000970A9"/>
    <w:rsid w:val="0009726C"/>
    <w:rsid w:val="000975E0"/>
    <w:rsid w:val="000A02E0"/>
    <w:rsid w:val="000A0503"/>
    <w:rsid w:val="000A1EAB"/>
    <w:rsid w:val="000A29FB"/>
    <w:rsid w:val="000A409C"/>
    <w:rsid w:val="000A4196"/>
    <w:rsid w:val="000A50C6"/>
    <w:rsid w:val="000A577B"/>
    <w:rsid w:val="000A57F1"/>
    <w:rsid w:val="000A7183"/>
    <w:rsid w:val="000A75E1"/>
    <w:rsid w:val="000A7BAF"/>
    <w:rsid w:val="000B00F9"/>
    <w:rsid w:val="000B0812"/>
    <w:rsid w:val="000B0CA3"/>
    <w:rsid w:val="000B10F7"/>
    <w:rsid w:val="000B1666"/>
    <w:rsid w:val="000B288C"/>
    <w:rsid w:val="000B5823"/>
    <w:rsid w:val="000B77C7"/>
    <w:rsid w:val="000B7A80"/>
    <w:rsid w:val="000C0090"/>
    <w:rsid w:val="000C06F5"/>
    <w:rsid w:val="000C1CAB"/>
    <w:rsid w:val="000C1D36"/>
    <w:rsid w:val="000C23B4"/>
    <w:rsid w:val="000C3838"/>
    <w:rsid w:val="000C4DCD"/>
    <w:rsid w:val="000C5920"/>
    <w:rsid w:val="000C5AD8"/>
    <w:rsid w:val="000C5C39"/>
    <w:rsid w:val="000C6506"/>
    <w:rsid w:val="000C79A3"/>
    <w:rsid w:val="000C7D5B"/>
    <w:rsid w:val="000D1004"/>
    <w:rsid w:val="000D1A43"/>
    <w:rsid w:val="000D1F86"/>
    <w:rsid w:val="000D370E"/>
    <w:rsid w:val="000D3FD7"/>
    <w:rsid w:val="000D41A9"/>
    <w:rsid w:val="000D53EB"/>
    <w:rsid w:val="000D5605"/>
    <w:rsid w:val="000D5687"/>
    <w:rsid w:val="000D57DF"/>
    <w:rsid w:val="000D5952"/>
    <w:rsid w:val="000D623A"/>
    <w:rsid w:val="000D6B8C"/>
    <w:rsid w:val="000D70AC"/>
    <w:rsid w:val="000D73D6"/>
    <w:rsid w:val="000D74BC"/>
    <w:rsid w:val="000E030C"/>
    <w:rsid w:val="000E0752"/>
    <w:rsid w:val="000E0FBB"/>
    <w:rsid w:val="000E10F6"/>
    <w:rsid w:val="000E1246"/>
    <w:rsid w:val="000E12D2"/>
    <w:rsid w:val="000E168E"/>
    <w:rsid w:val="000E2B1B"/>
    <w:rsid w:val="000E3349"/>
    <w:rsid w:val="000E42A1"/>
    <w:rsid w:val="000E5444"/>
    <w:rsid w:val="000E5F83"/>
    <w:rsid w:val="000E64FA"/>
    <w:rsid w:val="000E674B"/>
    <w:rsid w:val="000E6783"/>
    <w:rsid w:val="000E690F"/>
    <w:rsid w:val="000E6DF7"/>
    <w:rsid w:val="000E77BF"/>
    <w:rsid w:val="000E7C33"/>
    <w:rsid w:val="000E7F9B"/>
    <w:rsid w:val="000F00D9"/>
    <w:rsid w:val="000F069A"/>
    <w:rsid w:val="000F10CC"/>
    <w:rsid w:val="000F11D7"/>
    <w:rsid w:val="000F1564"/>
    <w:rsid w:val="000F2AC0"/>
    <w:rsid w:val="000F3CD2"/>
    <w:rsid w:val="000F40FB"/>
    <w:rsid w:val="000F4EBE"/>
    <w:rsid w:val="000F54D5"/>
    <w:rsid w:val="000F5C08"/>
    <w:rsid w:val="000F5F46"/>
    <w:rsid w:val="0010008A"/>
    <w:rsid w:val="00100ED2"/>
    <w:rsid w:val="00101CD9"/>
    <w:rsid w:val="00102273"/>
    <w:rsid w:val="001023DE"/>
    <w:rsid w:val="0010516D"/>
    <w:rsid w:val="0010554B"/>
    <w:rsid w:val="00105C6C"/>
    <w:rsid w:val="001077FE"/>
    <w:rsid w:val="001110C7"/>
    <w:rsid w:val="00111B01"/>
    <w:rsid w:val="00113F78"/>
    <w:rsid w:val="00114A1E"/>
    <w:rsid w:val="00115978"/>
    <w:rsid w:val="00115C85"/>
    <w:rsid w:val="001209A1"/>
    <w:rsid w:val="00120A96"/>
    <w:rsid w:val="00120CBC"/>
    <w:rsid w:val="00120E6C"/>
    <w:rsid w:val="001230AB"/>
    <w:rsid w:val="0012343B"/>
    <w:rsid w:val="00123AAE"/>
    <w:rsid w:val="0012431B"/>
    <w:rsid w:val="001246CD"/>
    <w:rsid w:val="00124898"/>
    <w:rsid w:val="00124C58"/>
    <w:rsid w:val="0012539C"/>
    <w:rsid w:val="00125B4C"/>
    <w:rsid w:val="00127542"/>
    <w:rsid w:val="0013000B"/>
    <w:rsid w:val="0013004C"/>
    <w:rsid w:val="00130AEA"/>
    <w:rsid w:val="00130B18"/>
    <w:rsid w:val="00130FDA"/>
    <w:rsid w:val="001314EF"/>
    <w:rsid w:val="00131DB9"/>
    <w:rsid w:val="00132757"/>
    <w:rsid w:val="00133702"/>
    <w:rsid w:val="00134E52"/>
    <w:rsid w:val="00135719"/>
    <w:rsid w:val="001361C4"/>
    <w:rsid w:val="00136EA2"/>
    <w:rsid w:val="00140663"/>
    <w:rsid w:val="001406C1"/>
    <w:rsid w:val="00142107"/>
    <w:rsid w:val="00145881"/>
    <w:rsid w:val="00145BF6"/>
    <w:rsid w:val="00146CF1"/>
    <w:rsid w:val="00146EEA"/>
    <w:rsid w:val="00146F92"/>
    <w:rsid w:val="00150F1E"/>
    <w:rsid w:val="00151E99"/>
    <w:rsid w:val="00152120"/>
    <w:rsid w:val="00152554"/>
    <w:rsid w:val="001530AA"/>
    <w:rsid w:val="0015502C"/>
    <w:rsid w:val="001550FB"/>
    <w:rsid w:val="00155630"/>
    <w:rsid w:val="00155BAE"/>
    <w:rsid w:val="00156B47"/>
    <w:rsid w:val="00160AD5"/>
    <w:rsid w:val="00161C87"/>
    <w:rsid w:val="00162076"/>
    <w:rsid w:val="00163C3D"/>
    <w:rsid w:val="0016533E"/>
    <w:rsid w:val="00165645"/>
    <w:rsid w:val="00165ECA"/>
    <w:rsid w:val="00165FAB"/>
    <w:rsid w:val="00166110"/>
    <w:rsid w:val="00166DC5"/>
    <w:rsid w:val="00167478"/>
    <w:rsid w:val="00170743"/>
    <w:rsid w:val="001714A4"/>
    <w:rsid w:val="00171888"/>
    <w:rsid w:val="00171A9A"/>
    <w:rsid w:val="00174769"/>
    <w:rsid w:val="00174787"/>
    <w:rsid w:val="001758BE"/>
    <w:rsid w:val="00176645"/>
    <w:rsid w:val="00176852"/>
    <w:rsid w:val="0017762C"/>
    <w:rsid w:val="00177E01"/>
    <w:rsid w:val="001809CC"/>
    <w:rsid w:val="00180B68"/>
    <w:rsid w:val="001830D1"/>
    <w:rsid w:val="00183F6B"/>
    <w:rsid w:val="00185184"/>
    <w:rsid w:val="00185B28"/>
    <w:rsid w:val="00185FC3"/>
    <w:rsid w:val="00186C12"/>
    <w:rsid w:val="001870AE"/>
    <w:rsid w:val="00190FC4"/>
    <w:rsid w:val="00191EDC"/>
    <w:rsid w:val="001929CC"/>
    <w:rsid w:val="00193ACF"/>
    <w:rsid w:val="00194663"/>
    <w:rsid w:val="00194A87"/>
    <w:rsid w:val="0019541B"/>
    <w:rsid w:val="00195AC7"/>
    <w:rsid w:val="00195DD8"/>
    <w:rsid w:val="00196720"/>
    <w:rsid w:val="00196FAC"/>
    <w:rsid w:val="001979DB"/>
    <w:rsid w:val="00197CEA"/>
    <w:rsid w:val="001A0731"/>
    <w:rsid w:val="001A1574"/>
    <w:rsid w:val="001A1A27"/>
    <w:rsid w:val="001A1D4C"/>
    <w:rsid w:val="001A20A9"/>
    <w:rsid w:val="001A29FE"/>
    <w:rsid w:val="001A34F4"/>
    <w:rsid w:val="001A3AC8"/>
    <w:rsid w:val="001A404B"/>
    <w:rsid w:val="001A4B79"/>
    <w:rsid w:val="001A503C"/>
    <w:rsid w:val="001A5208"/>
    <w:rsid w:val="001A55F3"/>
    <w:rsid w:val="001A5C00"/>
    <w:rsid w:val="001A5C93"/>
    <w:rsid w:val="001A5EEA"/>
    <w:rsid w:val="001B00BB"/>
    <w:rsid w:val="001B0124"/>
    <w:rsid w:val="001B0F37"/>
    <w:rsid w:val="001B1AC6"/>
    <w:rsid w:val="001B2297"/>
    <w:rsid w:val="001B2460"/>
    <w:rsid w:val="001B2918"/>
    <w:rsid w:val="001B3203"/>
    <w:rsid w:val="001B414F"/>
    <w:rsid w:val="001B41AF"/>
    <w:rsid w:val="001B430C"/>
    <w:rsid w:val="001B4676"/>
    <w:rsid w:val="001B4D56"/>
    <w:rsid w:val="001B4DD9"/>
    <w:rsid w:val="001B5AE2"/>
    <w:rsid w:val="001B62A8"/>
    <w:rsid w:val="001B719D"/>
    <w:rsid w:val="001C005D"/>
    <w:rsid w:val="001C18C2"/>
    <w:rsid w:val="001C1ABA"/>
    <w:rsid w:val="001C253A"/>
    <w:rsid w:val="001C2F9B"/>
    <w:rsid w:val="001C30D7"/>
    <w:rsid w:val="001C36F1"/>
    <w:rsid w:val="001C4B01"/>
    <w:rsid w:val="001C5D4D"/>
    <w:rsid w:val="001C6061"/>
    <w:rsid w:val="001C648E"/>
    <w:rsid w:val="001C67AA"/>
    <w:rsid w:val="001C796D"/>
    <w:rsid w:val="001D1135"/>
    <w:rsid w:val="001D171B"/>
    <w:rsid w:val="001D1BFB"/>
    <w:rsid w:val="001D3676"/>
    <w:rsid w:val="001D398C"/>
    <w:rsid w:val="001D4181"/>
    <w:rsid w:val="001D42FB"/>
    <w:rsid w:val="001D4876"/>
    <w:rsid w:val="001D4FF1"/>
    <w:rsid w:val="001D6C29"/>
    <w:rsid w:val="001D6F20"/>
    <w:rsid w:val="001E0025"/>
    <w:rsid w:val="001E02C6"/>
    <w:rsid w:val="001E1D40"/>
    <w:rsid w:val="001E2111"/>
    <w:rsid w:val="001E2404"/>
    <w:rsid w:val="001E29C0"/>
    <w:rsid w:val="001E2CC0"/>
    <w:rsid w:val="001E34CC"/>
    <w:rsid w:val="001E389F"/>
    <w:rsid w:val="001E3D28"/>
    <w:rsid w:val="001E59FB"/>
    <w:rsid w:val="001F0639"/>
    <w:rsid w:val="001F07C0"/>
    <w:rsid w:val="001F0BF6"/>
    <w:rsid w:val="001F0E1E"/>
    <w:rsid w:val="001F1315"/>
    <w:rsid w:val="001F1511"/>
    <w:rsid w:val="001F2101"/>
    <w:rsid w:val="001F2855"/>
    <w:rsid w:val="001F2882"/>
    <w:rsid w:val="001F4879"/>
    <w:rsid w:val="001F4AD7"/>
    <w:rsid w:val="001F5492"/>
    <w:rsid w:val="001F579B"/>
    <w:rsid w:val="001F688C"/>
    <w:rsid w:val="001F7599"/>
    <w:rsid w:val="00201608"/>
    <w:rsid w:val="002016D1"/>
    <w:rsid w:val="002019AB"/>
    <w:rsid w:val="0020271C"/>
    <w:rsid w:val="00203AB5"/>
    <w:rsid w:val="002041D4"/>
    <w:rsid w:val="00204ACD"/>
    <w:rsid w:val="00207FB2"/>
    <w:rsid w:val="00211375"/>
    <w:rsid w:val="00211F00"/>
    <w:rsid w:val="002122F9"/>
    <w:rsid w:val="002127DE"/>
    <w:rsid w:val="002128E9"/>
    <w:rsid w:val="002131B9"/>
    <w:rsid w:val="002150B4"/>
    <w:rsid w:val="0021573C"/>
    <w:rsid w:val="00216193"/>
    <w:rsid w:val="002166E3"/>
    <w:rsid w:val="00217377"/>
    <w:rsid w:val="00220741"/>
    <w:rsid w:val="00221D8C"/>
    <w:rsid w:val="00221F10"/>
    <w:rsid w:val="0022201F"/>
    <w:rsid w:val="002224F4"/>
    <w:rsid w:val="00225374"/>
    <w:rsid w:val="00227B40"/>
    <w:rsid w:val="00227DF7"/>
    <w:rsid w:val="002301B5"/>
    <w:rsid w:val="00230452"/>
    <w:rsid w:val="00230BCF"/>
    <w:rsid w:val="00231085"/>
    <w:rsid w:val="0023129F"/>
    <w:rsid w:val="00231869"/>
    <w:rsid w:val="00231C91"/>
    <w:rsid w:val="00232305"/>
    <w:rsid w:val="00233242"/>
    <w:rsid w:val="0023352B"/>
    <w:rsid w:val="00234E8D"/>
    <w:rsid w:val="00235C2C"/>
    <w:rsid w:val="00235C9A"/>
    <w:rsid w:val="002372E6"/>
    <w:rsid w:val="0024000B"/>
    <w:rsid w:val="00240CBE"/>
    <w:rsid w:val="0024158D"/>
    <w:rsid w:val="00241C81"/>
    <w:rsid w:val="00242029"/>
    <w:rsid w:val="002427B4"/>
    <w:rsid w:val="00242EA5"/>
    <w:rsid w:val="002439C2"/>
    <w:rsid w:val="00244C15"/>
    <w:rsid w:val="00244DF1"/>
    <w:rsid w:val="002454BD"/>
    <w:rsid w:val="00246670"/>
    <w:rsid w:val="00246A77"/>
    <w:rsid w:val="00246AB4"/>
    <w:rsid w:val="00246D60"/>
    <w:rsid w:val="00247CB6"/>
    <w:rsid w:val="00250448"/>
    <w:rsid w:val="0025090B"/>
    <w:rsid w:val="0025241A"/>
    <w:rsid w:val="002530C3"/>
    <w:rsid w:val="00254595"/>
    <w:rsid w:val="002547EA"/>
    <w:rsid w:val="00255F78"/>
    <w:rsid w:val="00257C4F"/>
    <w:rsid w:val="002626D3"/>
    <w:rsid w:val="002629F2"/>
    <w:rsid w:val="00262B90"/>
    <w:rsid w:val="00263132"/>
    <w:rsid w:val="002636AB"/>
    <w:rsid w:val="00263FA4"/>
    <w:rsid w:val="00264450"/>
    <w:rsid w:val="00264B07"/>
    <w:rsid w:val="00264CE6"/>
    <w:rsid w:val="002650AB"/>
    <w:rsid w:val="00265177"/>
    <w:rsid w:val="00266932"/>
    <w:rsid w:val="00266A32"/>
    <w:rsid w:val="00267CC5"/>
    <w:rsid w:val="00267CFD"/>
    <w:rsid w:val="00270B0B"/>
    <w:rsid w:val="0027326C"/>
    <w:rsid w:val="00273D1B"/>
    <w:rsid w:val="00274B50"/>
    <w:rsid w:val="00274F4A"/>
    <w:rsid w:val="002752F1"/>
    <w:rsid w:val="0027547C"/>
    <w:rsid w:val="0027653D"/>
    <w:rsid w:val="00276651"/>
    <w:rsid w:val="00277BC5"/>
    <w:rsid w:val="00280053"/>
    <w:rsid w:val="00280A65"/>
    <w:rsid w:val="00282773"/>
    <w:rsid w:val="00282A2B"/>
    <w:rsid w:val="00283756"/>
    <w:rsid w:val="002842CA"/>
    <w:rsid w:val="002848C9"/>
    <w:rsid w:val="002851F2"/>
    <w:rsid w:val="00286644"/>
    <w:rsid w:val="0028736A"/>
    <w:rsid w:val="0028776B"/>
    <w:rsid w:val="00287A8C"/>
    <w:rsid w:val="0029067D"/>
    <w:rsid w:val="00290FD9"/>
    <w:rsid w:val="002910D0"/>
    <w:rsid w:val="0029124A"/>
    <w:rsid w:val="002916FD"/>
    <w:rsid w:val="002919ED"/>
    <w:rsid w:val="00291D49"/>
    <w:rsid w:val="00292AE0"/>
    <w:rsid w:val="00293151"/>
    <w:rsid w:val="002934E4"/>
    <w:rsid w:val="00295C50"/>
    <w:rsid w:val="00295D2E"/>
    <w:rsid w:val="00296403"/>
    <w:rsid w:val="00296B48"/>
    <w:rsid w:val="00296CAD"/>
    <w:rsid w:val="00297B01"/>
    <w:rsid w:val="002A19E5"/>
    <w:rsid w:val="002A2252"/>
    <w:rsid w:val="002A2269"/>
    <w:rsid w:val="002A3047"/>
    <w:rsid w:val="002A305D"/>
    <w:rsid w:val="002A39EA"/>
    <w:rsid w:val="002A4D83"/>
    <w:rsid w:val="002A5070"/>
    <w:rsid w:val="002A545A"/>
    <w:rsid w:val="002A6170"/>
    <w:rsid w:val="002A61E1"/>
    <w:rsid w:val="002A6CAF"/>
    <w:rsid w:val="002B0908"/>
    <w:rsid w:val="002B09B3"/>
    <w:rsid w:val="002B0F0E"/>
    <w:rsid w:val="002B117C"/>
    <w:rsid w:val="002B1C21"/>
    <w:rsid w:val="002B2009"/>
    <w:rsid w:val="002B2038"/>
    <w:rsid w:val="002B234C"/>
    <w:rsid w:val="002B2730"/>
    <w:rsid w:val="002B2A4D"/>
    <w:rsid w:val="002B2E6D"/>
    <w:rsid w:val="002B3DBC"/>
    <w:rsid w:val="002B3E40"/>
    <w:rsid w:val="002B4F55"/>
    <w:rsid w:val="002B6560"/>
    <w:rsid w:val="002B6624"/>
    <w:rsid w:val="002B7096"/>
    <w:rsid w:val="002C15F3"/>
    <w:rsid w:val="002C1A7A"/>
    <w:rsid w:val="002C1FDC"/>
    <w:rsid w:val="002C22A9"/>
    <w:rsid w:val="002C2763"/>
    <w:rsid w:val="002C38FD"/>
    <w:rsid w:val="002C445A"/>
    <w:rsid w:val="002C45A1"/>
    <w:rsid w:val="002C487B"/>
    <w:rsid w:val="002C4A6D"/>
    <w:rsid w:val="002C5A95"/>
    <w:rsid w:val="002C7D1A"/>
    <w:rsid w:val="002D056D"/>
    <w:rsid w:val="002D0D4E"/>
    <w:rsid w:val="002D0E73"/>
    <w:rsid w:val="002D1444"/>
    <w:rsid w:val="002D1724"/>
    <w:rsid w:val="002D2BC1"/>
    <w:rsid w:val="002D2C82"/>
    <w:rsid w:val="002D338D"/>
    <w:rsid w:val="002D4844"/>
    <w:rsid w:val="002D4B53"/>
    <w:rsid w:val="002D5E24"/>
    <w:rsid w:val="002D7483"/>
    <w:rsid w:val="002D7E55"/>
    <w:rsid w:val="002D7FF2"/>
    <w:rsid w:val="002E01BF"/>
    <w:rsid w:val="002E0A54"/>
    <w:rsid w:val="002E1E8D"/>
    <w:rsid w:val="002E2089"/>
    <w:rsid w:val="002E2227"/>
    <w:rsid w:val="002E3534"/>
    <w:rsid w:val="002E392D"/>
    <w:rsid w:val="002E4CFC"/>
    <w:rsid w:val="002E5026"/>
    <w:rsid w:val="002E5CE8"/>
    <w:rsid w:val="002E5EEC"/>
    <w:rsid w:val="002E71EB"/>
    <w:rsid w:val="002E7729"/>
    <w:rsid w:val="002E7AD8"/>
    <w:rsid w:val="002E7B00"/>
    <w:rsid w:val="002E7D48"/>
    <w:rsid w:val="002F016B"/>
    <w:rsid w:val="002F096E"/>
    <w:rsid w:val="002F0E94"/>
    <w:rsid w:val="002F1826"/>
    <w:rsid w:val="002F20BA"/>
    <w:rsid w:val="002F3163"/>
    <w:rsid w:val="002F5E59"/>
    <w:rsid w:val="002F6313"/>
    <w:rsid w:val="002F692E"/>
    <w:rsid w:val="002F73EC"/>
    <w:rsid w:val="002F753C"/>
    <w:rsid w:val="00301247"/>
    <w:rsid w:val="00302399"/>
    <w:rsid w:val="00302999"/>
    <w:rsid w:val="00303B1E"/>
    <w:rsid w:val="00303DF5"/>
    <w:rsid w:val="00304BBE"/>
    <w:rsid w:val="00304F60"/>
    <w:rsid w:val="00305AB1"/>
    <w:rsid w:val="00305F78"/>
    <w:rsid w:val="00307300"/>
    <w:rsid w:val="00307FBB"/>
    <w:rsid w:val="00311F59"/>
    <w:rsid w:val="0031243C"/>
    <w:rsid w:val="00312446"/>
    <w:rsid w:val="0031276F"/>
    <w:rsid w:val="003131CF"/>
    <w:rsid w:val="0031384F"/>
    <w:rsid w:val="00315216"/>
    <w:rsid w:val="00315ECF"/>
    <w:rsid w:val="00316005"/>
    <w:rsid w:val="00316084"/>
    <w:rsid w:val="00316F56"/>
    <w:rsid w:val="0032005A"/>
    <w:rsid w:val="00320388"/>
    <w:rsid w:val="0032040A"/>
    <w:rsid w:val="0033191B"/>
    <w:rsid w:val="00332016"/>
    <w:rsid w:val="00332296"/>
    <w:rsid w:val="003336F7"/>
    <w:rsid w:val="00333AE6"/>
    <w:rsid w:val="003345FF"/>
    <w:rsid w:val="00334EE0"/>
    <w:rsid w:val="00335B35"/>
    <w:rsid w:val="003360D7"/>
    <w:rsid w:val="00336550"/>
    <w:rsid w:val="00341553"/>
    <w:rsid w:val="00341661"/>
    <w:rsid w:val="0034326D"/>
    <w:rsid w:val="00343304"/>
    <w:rsid w:val="003443F9"/>
    <w:rsid w:val="00345164"/>
    <w:rsid w:val="003453D7"/>
    <w:rsid w:val="00346351"/>
    <w:rsid w:val="0035072B"/>
    <w:rsid w:val="003507A1"/>
    <w:rsid w:val="003508D2"/>
    <w:rsid w:val="003511FA"/>
    <w:rsid w:val="00352E3F"/>
    <w:rsid w:val="00353570"/>
    <w:rsid w:val="003536F8"/>
    <w:rsid w:val="003550D6"/>
    <w:rsid w:val="003555E7"/>
    <w:rsid w:val="00357F0C"/>
    <w:rsid w:val="00357F6D"/>
    <w:rsid w:val="00362539"/>
    <w:rsid w:val="0036318B"/>
    <w:rsid w:val="003631F8"/>
    <w:rsid w:val="003633EB"/>
    <w:rsid w:val="00363666"/>
    <w:rsid w:val="0036423D"/>
    <w:rsid w:val="00364B44"/>
    <w:rsid w:val="00364BF6"/>
    <w:rsid w:val="00365600"/>
    <w:rsid w:val="00366EB5"/>
    <w:rsid w:val="00367778"/>
    <w:rsid w:val="003700BC"/>
    <w:rsid w:val="00371435"/>
    <w:rsid w:val="003722F4"/>
    <w:rsid w:val="00373127"/>
    <w:rsid w:val="00373778"/>
    <w:rsid w:val="003744BF"/>
    <w:rsid w:val="00375488"/>
    <w:rsid w:val="003768AB"/>
    <w:rsid w:val="003768CB"/>
    <w:rsid w:val="003768D8"/>
    <w:rsid w:val="00376B9A"/>
    <w:rsid w:val="0037798D"/>
    <w:rsid w:val="00380EDD"/>
    <w:rsid w:val="00380FDA"/>
    <w:rsid w:val="00381848"/>
    <w:rsid w:val="003818F5"/>
    <w:rsid w:val="003826AF"/>
    <w:rsid w:val="00383E0B"/>
    <w:rsid w:val="003844AF"/>
    <w:rsid w:val="00384D6F"/>
    <w:rsid w:val="00384FC9"/>
    <w:rsid w:val="00385FA7"/>
    <w:rsid w:val="003862E1"/>
    <w:rsid w:val="00386D38"/>
    <w:rsid w:val="00387836"/>
    <w:rsid w:val="0038792F"/>
    <w:rsid w:val="00387E12"/>
    <w:rsid w:val="00390733"/>
    <w:rsid w:val="00390BF8"/>
    <w:rsid w:val="00391453"/>
    <w:rsid w:val="00392CF9"/>
    <w:rsid w:val="003934A4"/>
    <w:rsid w:val="00394043"/>
    <w:rsid w:val="0039492F"/>
    <w:rsid w:val="0039501C"/>
    <w:rsid w:val="0039541D"/>
    <w:rsid w:val="003978C2"/>
    <w:rsid w:val="003A0BC8"/>
    <w:rsid w:val="003A0C4B"/>
    <w:rsid w:val="003A0D02"/>
    <w:rsid w:val="003A111B"/>
    <w:rsid w:val="003A1F21"/>
    <w:rsid w:val="003A1FB0"/>
    <w:rsid w:val="003A24A5"/>
    <w:rsid w:val="003A2DEE"/>
    <w:rsid w:val="003A31E7"/>
    <w:rsid w:val="003A329C"/>
    <w:rsid w:val="003A4E18"/>
    <w:rsid w:val="003A5885"/>
    <w:rsid w:val="003A6413"/>
    <w:rsid w:val="003A67E8"/>
    <w:rsid w:val="003A6A53"/>
    <w:rsid w:val="003A7972"/>
    <w:rsid w:val="003A79DF"/>
    <w:rsid w:val="003A79E8"/>
    <w:rsid w:val="003B03F8"/>
    <w:rsid w:val="003B124D"/>
    <w:rsid w:val="003B13C5"/>
    <w:rsid w:val="003B1FB7"/>
    <w:rsid w:val="003B230E"/>
    <w:rsid w:val="003B4D81"/>
    <w:rsid w:val="003B66C0"/>
    <w:rsid w:val="003B74B5"/>
    <w:rsid w:val="003C11FB"/>
    <w:rsid w:val="003C14D6"/>
    <w:rsid w:val="003C2445"/>
    <w:rsid w:val="003C30FD"/>
    <w:rsid w:val="003C3233"/>
    <w:rsid w:val="003C3925"/>
    <w:rsid w:val="003C44C1"/>
    <w:rsid w:val="003C4778"/>
    <w:rsid w:val="003C58CD"/>
    <w:rsid w:val="003C5B37"/>
    <w:rsid w:val="003C7B49"/>
    <w:rsid w:val="003D0C09"/>
    <w:rsid w:val="003D0C5C"/>
    <w:rsid w:val="003D0E9E"/>
    <w:rsid w:val="003D10A7"/>
    <w:rsid w:val="003D2376"/>
    <w:rsid w:val="003D2D9D"/>
    <w:rsid w:val="003D31BB"/>
    <w:rsid w:val="003D3CF4"/>
    <w:rsid w:val="003D3D44"/>
    <w:rsid w:val="003D3EDE"/>
    <w:rsid w:val="003D440A"/>
    <w:rsid w:val="003D6179"/>
    <w:rsid w:val="003D6310"/>
    <w:rsid w:val="003D673B"/>
    <w:rsid w:val="003D68CD"/>
    <w:rsid w:val="003E0BB8"/>
    <w:rsid w:val="003E12C9"/>
    <w:rsid w:val="003E248A"/>
    <w:rsid w:val="003E2E4B"/>
    <w:rsid w:val="003E2FB9"/>
    <w:rsid w:val="003E34BA"/>
    <w:rsid w:val="003E4D9E"/>
    <w:rsid w:val="003E6363"/>
    <w:rsid w:val="003E769A"/>
    <w:rsid w:val="003F03DD"/>
    <w:rsid w:val="003F131B"/>
    <w:rsid w:val="003F2864"/>
    <w:rsid w:val="003F30E7"/>
    <w:rsid w:val="003F4249"/>
    <w:rsid w:val="003F4673"/>
    <w:rsid w:val="003F4ABC"/>
    <w:rsid w:val="003F53EA"/>
    <w:rsid w:val="003F68AA"/>
    <w:rsid w:val="003F6AAA"/>
    <w:rsid w:val="003F749D"/>
    <w:rsid w:val="003F7641"/>
    <w:rsid w:val="003F7E41"/>
    <w:rsid w:val="0040015E"/>
    <w:rsid w:val="00401B6B"/>
    <w:rsid w:val="00403695"/>
    <w:rsid w:val="004039C7"/>
    <w:rsid w:val="00403F5E"/>
    <w:rsid w:val="00404947"/>
    <w:rsid w:val="00405263"/>
    <w:rsid w:val="004071C8"/>
    <w:rsid w:val="00407BA2"/>
    <w:rsid w:val="00407D89"/>
    <w:rsid w:val="00411275"/>
    <w:rsid w:val="00411CA3"/>
    <w:rsid w:val="004126CD"/>
    <w:rsid w:val="0041296A"/>
    <w:rsid w:val="00412F81"/>
    <w:rsid w:val="00412FED"/>
    <w:rsid w:val="00413311"/>
    <w:rsid w:val="00414674"/>
    <w:rsid w:val="00414BFB"/>
    <w:rsid w:val="00415067"/>
    <w:rsid w:val="00415B2E"/>
    <w:rsid w:val="00416B45"/>
    <w:rsid w:val="00416FEB"/>
    <w:rsid w:val="0041770E"/>
    <w:rsid w:val="0041799D"/>
    <w:rsid w:val="004211B9"/>
    <w:rsid w:val="0042192F"/>
    <w:rsid w:val="004237A9"/>
    <w:rsid w:val="00423CCE"/>
    <w:rsid w:val="004251A7"/>
    <w:rsid w:val="0042578E"/>
    <w:rsid w:val="004279C7"/>
    <w:rsid w:val="0043004F"/>
    <w:rsid w:val="004301DE"/>
    <w:rsid w:val="00432AB8"/>
    <w:rsid w:val="00433BC0"/>
    <w:rsid w:val="0043408B"/>
    <w:rsid w:val="00435E85"/>
    <w:rsid w:val="00437866"/>
    <w:rsid w:val="0044026A"/>
    <w:rsid w:val="004406F8"/>
    <w:rsid w:val="004415F9"/>
    <w:rsid w:val="00441BDC"/>
    <w:rsid w:val="0044265F"/>
    <w:rsid w:val="0044617E"/>
    <w:rsid w:val="004462FB"/>
    <w:rsid w:val="0044662E"/>
    <w:rsid w:val="00446E4B"/>
    <w:rsid w:val="00446EA6"/>
    <w:rsid w:val="00446FBD"/>
    <w:rsid w:val="0044725D"/>
    <w:rsid w:val="00447D98"/>
    <w:rsid w:val="004509EB"/>
    <w:rsid w:val="00451259"/>
    <w:rsid w:val="00451D03"/>
    <w:rsid w:val="00451D5D"/>
    <w:rsid w:val="0045242F"/>
    <w:rsid w:val="00452FC5"/>
    <w:rsid w:val="00453F91"/>
    <w:rsid w:val="004545D6"/>
    <w:rsid w:val="00454621"/>
    <w:rsid w:val="00454674"/>
    <w:rsid w:val="004554B0"/>
    <w:rsid w:val="00456ADD"/>
    <w:rsid w:val="00456CD0"/>
    <w:rsid w:val="0046248B"/>
    <w:rsid w:val="00463141"/>
    <w:rsid w:val="0046525C"/>
    <w:rsid w:val="00466706"/>
    <w:rsid w:val="00466DE7"/>
    <w:rsid w:val="00467791"/>
    <w:rsid w:val="0047116B"/>
    <w:rsid w:val="00471C49"/>
    <w:rsid w:val="00471F0B"/>
    <w:rsid w:val="004720BD"/>
    <w:rsid w:val="00473DE2"/>
    <w:rsid w:val="00477B53"/>
    <w:rsid w:val="00477FA3"/>
    <w:rsid w:val="00480DE5"/>
    <w:rsid w:val="004823D2"/>
    <w:rsid w:val="00482F11"/>
    <w:rsid w:val="004845A4"/>
    <w:rsid w:val="00485AFA"/>
    <w:rsid w:val="0048603E"/>
    <w:rsid w:val="004907D8"/>
    <w:rsid w:val="00490961"/>
    <w:rsid w:val="00492335"/>
    <w:rsid w:val="00493428"/>
    <w:rsid w:val="00493535"/>
    <w:rsid w:val="004937CC"/>
    <w:rsid w:val="004941E7"/>
    <w:rsid w:val="004954F3"/>
    <w:rsid w:val="00495650"/>
    <w:rsid w:val="004960DF"/>
    <w:rsid w:val="0049621A"/>
    <w:rsid w:val="00496256"/>
    <w:rsid w:val="00496B98"/>
    <w:rsid w:val="00496E15"/>
    <w:rsid w:val="00497FEB"/>
    <w:rsid w:val="004A075E"/>
    <w:rsid w:val="004A1061"/>
    <w:rsid w:val="004A1246"/>
    <w:rsid w:val="004A147A"/>
    <w:rsid w:val="004A1D7D"/>
    <w:rsid w:val="004A3665"/>
    <w:rsid w:val="004A3D86"/>
    <w:rsid w:val="004A438B"/>
    <w:rsid w:val="004A44BB"/>
    <w:rsid w:val="004A45B0"/>
    <w:rsid w:val="004A4F50"/>
    <w:rsid w:val="004A5CA3"/>
    <w:rsid w:val="004A6965"/>
    <w:rsid w:val="004A7206"/>
    <w:rsid w:val="004A74F3"/>
    <w:rsid w:val="004A7BC6"/>
    <w:rsid w:val="004B2D83"/>
    <w:rsid w:val="004B3AB0"/>
    <w:rsid w:val="004B3DEE"/>
    <w:rsid w:val="004B45B9"/>
    <w:rsid w:val="004B4906"/>
    <w:rsid w:val="004B4DF5"/>
    <w:rsid w:val="004B5BEA"/>
    <w:rsid w:val="004B64E5"/>
    <w:rsid w:val="004B738F"/>
    <w:rsid w:val="004B7AA5"/>
    <w:rsid w:val="004C06DE"/>
    <w:rsid w:val="004C0809"/>
    <w:rsid w:val="004C08F2"/>
    <w:rsid w:val="004C135E"/>
    <w:rsid w:val="004C142D"/>
    <w:rsid w:val="004C15B8"/>
    <w:rsid w:val="004C207B"/>
    <w:rsid w:val="004C251C"/>
    <w:rsid w:val="004C38BF"/>
    <w:rsid w:val="004C39EA"/>
    <w:rsid w:val="004C4007"/>
    <w:rsid w:val="004C438E"/>
    <w:rsid w:val="004C5400"/>
    <w:rsid w:val="004C5F87"/>
    <w:rsid w:val="004D01A3"/>
    <w:rsid w:val="004D021A"/>
    <w:rsid w:val="004D063B"/>
    <w:rsid w:val="004D12F9"/>
    <w:rsid w:val="004D1888"/>
    <w:rsid w:val="004D19CD"/>
    <w:rsid w:val="004D1AA3"/>
    <w:rsid w:val="004D23D7"/>
    <w:rsid w:val="004D3423"/>
    <w:rsid w:val="004D3B1A"/>
    <w:rsid w:val="004D497B"/>
    <w:rsid w:val="004D4A81"/>
    <w:rsid w:val="004D5D02"/>
    <w:rsid w:val="004D6766"/>
    <w:rsid w:val="004D6C44"/>
    <w:rsid w:val="004E013E"/>
    <w:rsid w:val="004E1E4C"/>
    <w:rsid w:val="004E3B82"/>
    <w:rsid w:val="004E6D36"/>
    <w:rsid w:val="004E7DBB"/>
    <w:rsid w:val="004F1693"/>
    <w:rsid w:val="004F1812"/>
    <w:rsid w:val="004F22BA"/>
    <w:rsid w:val="004F2418"/>
    <w:rsid w:val="004F2DAB"/>
    <w:rsid w:val="004F3A38"/>
    <w:rsid w:val="004F4C8C"/>
    <w:rsid w:val="004F4ECD"/>
    <w:rsid w:val="004F5714"/>
    <w:rsid w:val="004F5E20"/>
    <w:rsid w:val="004F5F16"/>
    <w:rsid w:val="004F6212"/>
    <w:rsid w:val="004F73DF"/>
    <w:rsid w:val="00500603"/>
    <w:rsid w:val="00500737"/>
    <w:rsid w:val="005010B3"/>
    <w:rsid w:val="00501441"/>
    <w:rsid w:val="00502AD0"/>
    <w:rsid w:val="00503C89"/>
    <w:rsid w:val="00503D3C"/>
    <w:rsid w:val="005051A4"/>
    <w:rsid w:val="0050586D"/>
    <w:rsid w:val="0050630F"/>
    <w:rsid w:val="005102FC"/>
    <w:rsid w:val="00510833"/>
    <w:rsid w:val="005110A6"/>
    <w:rsid w:val="00512A91"/>
    <w:rsid w:val="00512E1E"/>
    <w:rsid w:val="005138B6"/>
    <w:rsid w:val="00514240"/>
    <w:rsid w:val="0051464A"/>
    <w:rsid w:val="005150D5"/>
    <w:rsid w:val="0051551F"/>
    <w:rsid w:val="0051645D"/>
    <w:rsid w:val="0051794D"/>
    <w:rsid w:val="00517C6A"/>
    <w:rsid w:val="00520147"/>
    <w:rsid w:val="0052048D"/>
    <w:rsid w:val="00521336"/>
    <w:rsid w:val="00521E60"/>
    <w:rsid w:val="00521F14"/>
    <w:rsid w:val="0052292D"/>
    <w:rsid w:val="00523666"/>
    <w:rsid w:val="00523694"/>
    <w:rsid w:val="0052369B"/>
    <w:rsid w:val="00524B45"/>
    <w:rsid w:val="00525C16"/>
    <w:rsid w:val="00526148"/>
    <w:rsid w:val="00526BC5"/>
    <w:rsid w:val="00526D3A"/>
    <w:rsid w:val="00526E2A"/>
    <w:rsid w:val="0052723D"/>
    <w:rsid w:val="00527E6F"/>
    <w:rsid w:val="005311E8"/>
    <w:rsid w:val="005331B9"/>
    <w:rsid w:val="00533FE6"/>
    <w:rsid w:val="005348A9"/>
    <w:rsid w:val="00534F19"/>
    <w:rsid w:val="005352E7"/>
    <w:rsid w:val="00537745"/>
    <w:rsid w:val="00537EDF"/>
    <w:rsid w:val="00540451"/>
    <w:rsid w:val="005407ED"/>
    <w:rsid w:val="00540C23"/>
    <w:rsid w:val="00542B79"/>
    <w:rsid w:val="00542C3E"/>
    <w:rsid w:val="0054460C"/>
    <w:rsid w:val="0054578F"/>
    <w:rsid w:val="00546183"/>
    <w:rsid w:val="00546A27"/>
    <w:rsid w:val="005471C8"/>
    <w:rsid w:val="0055060B"/>
    <w:rsid w:val="00550BAA"/>
    <w:rsid w:val="0055197F"/>
    <w:rsid w:val="00551BCE"/>
    <w:rsid w:val="00552983"/>
    <w:rsid w:val="0055298E"/>
    <w:rsid w:val="005529B6"/>
    <w:rsid w:val="00553766"/>
    <w:rsid w:val="0055401F"/>
    <w:rsid w:val="005544D4"/>
    <w:rsid w:val="0055453F"/>
    <w:rsid w:val="00554C55"/>
    <w:rsid w:val="005551BD"/>
    <w:rsid w:val="00555366"/>
    <w:rsid w:val="00557817"/>
    <w:rsid w:val="00560CDB"/>
    <w:rsid w:val="00562685"/>
    <w:rsid w:val="0056369C"/>
    <w:rsid w:val="005663FF"/>
    <w:rsid w:val="00566E19"/>
    <w:rsid w:val="0056707E"/>
    <w:rsid w:val="00567536"/>
    <w:rsid w:val="0057034B"/>
    <w:rsid w:val="00570519"/>
    <w:rsid w:val="005710B0"/>
    <w:rsid w:val="00571488"/>
    <w:rsid w:val="00571C25"/>
    <w:rsid w:val="005720F3"/>
    <w:rsid w:val="00573E1B"/>
    <w:rsid w:val="00573F41"/>
    <w:rsid w:val="00575563"/>
    <w:rsid w:val="00576274"/>
    <w:rsid w:val="00576794"/>
    <w:rsid w:val="00576C94"/>
    <w:rsid w:val="00576D35"/>
    <w:rsid w:val="00577A92"/>
    <w:rsid w:val="005804FF"/>
    <w:rsid w:val="00580760"/>
    <w:rsid w:val="0058128B"/>
    <w:rsid w:val="00581855"/>
    <w:rsid w:val="00581EC6"/>
    <w:rsid w:val="00582771"/>
    <w:rsid w:val="00583231"/>
    <w:rsid w:val="00583992"/>
    <w:rsid w:val="00583F50"/>
    <w:rsid w:val="00584883"/>
    <w:rsid w:val="0058494B"/>
    <w:rsid w:val="00584A5F"/>
    <w:rsid w:val="00584D01"/>
    <w:rsid w:val="0058524B"/>
    <w:rsid w:val="005855AF"/>
    <w:rsid w:val="00585AFD"/>
    <w:rsid w:val="00586B18"/>
    <w:rsid w:val="00586C4D"/>
    <w:rsid w:val="0058713A"/>
    <w:rsid w:val="005900CF"/>
    <w:rsid w:val="005901DA"/>
    <w:rsid w:val="005905BC"/>
    <w:rsid w:val="00590DC7"/>
    <w:rsid w:val="00591020"/>
    <w:rsid w:val="005922D0"/>
    <w:rsid w:val="005923FA"/>
    <w:rsid w:val="00593356"/>
    <w:rsid w:val="00593803"/>
    <w:rsid w:val="00593FD2"/>
    <w:rsid w:val="00595507"/>
    <w:rsid w:val="0059624C"/>
    <w:rsid w:val="0059632B"/>
    <w:rsid w:val="00596C08"/>
    <w:rsid w:val="00597111"/>
    <w:rsid w:val="00597119"/>
    <w:rsid w:val="005971B0"/>
    <w:rsid w:val="00597AA7"/>
    <w:rsid w:val="005A01DB"/>
    <w:rsid w:val="005A16EE"/>
    <w:rsid w:val="005A1FE3"/>
    <w:rsid w:val="005A298A"/>
    <w:rsid w:val="005A34A1"/>
    <w:rsid w:val="005A4282"/>
    <w:rsid w:val="005A50CD"/>
    <w:rsid w:val="005A595D"/>
    <w:rsid w:val="005A5DD3"/>
    <w:rsid w:val="005A6551"/>
    <w:rsid w:val="005A68B7"/>
    <w:rsid w:val="005A7318"/>
    <w:rsid w:val="005A7B96"/>
    <w:rsid w:val="005B062A"/>
    <w:rsid w:val="005B1A5D"/>
    <w:rsid w:val="005B48AC"/>
    <w:rsid w:val="005B48F7"/>
    <w:rsid w:val="005B4F92"/>
    <w:rsid w:val="005B565F"/>
    <w:rsid w:val="005B6E03"/>
    <w:rsid w:val="005B7A98"/>
    <w:rsid w:val="005C1032"/>
    <w:rsid w:val="005C23CB"/>
    <w:rsid w:val="005C245E"/>
    <w:rsid w:val="005C36E7"/>
    <w:rsid w:val="005C426F"/>
    <w:rsid w:val="005C4360"/>
    <w:rsid w:val="005D07A1"/>
    <w:rsid w:val="005D0B28"/>
    <w:rsid w:val="005D1C73"/>
    <w:rsid w:val="005D1D68"/>
    <w:rsid w:val="005D1DBD"/>
    <w:rsid w:val="005D257C"/>
    <w:rsid w:val="005D299B"/>
    <w:rsid w:val="005D2B90"/>
    <w:rsid w:val="005D331D"/>
    <w:rsid w:val="005D3750"/>
    <w:rsid w:val="005D3898"/>
    <w:rsid w:val="005D40FC"/>
    <w:rsid w:val="005D41DE"/>
    <w:rsid w:val="005D50D4"/>
    <w:rsid w:val="005D57A4"/>
    <w:rsid w:val="005D6524"/>
    <w:rsid w:val="005D7167"/>
    <w:rsid w:val="005D74FD"/>
    <w:rsid w:val="005D7745"/>
    <w:rsid w:val="005E0C50"/>
    <w:rsid w:val="005E1316"/>
    <w:rsid w:val="005E14FE"/>
    <w:rsid w:val="005E1622"/>
    <w:rsid w:val="005E1B97"/>
    <w:rsid w:val="005E1C22"/>
    <w:rsid w:val="005E40A9"/>
    <w:rsid w:val="005E5173"/>
    <w:rsid w:val="005E5CF0"/>
    <w:rsid w:val="005E635C"/>
    <w:rsid w:val="005E63F4"/>
    <w:rsid w:val="005E721B"/>
    <w:rsid w:val="005E7284"/>
    <w:rsid w:val="005E72D1"/>
    <w:rsid w:val="005F051E"/>
    <w:rsid w:val="005F0EF0"/>
    <w:rsid w:val="005F116C"/>
    <w:rsid w:val="005F187B"/>
    <w:rsid w:val="005F3B09"/>
    <w:rsid w:val="005F5132"/>
    <w:rsid w:val="005F54EF"/>
    <w:rsid w:val="005F5E21"/>
    <w:rsid w:val="005F743B"/>
    <w:rsid w:val="00601375"/>
    <w:rsid w:val="00603A80"/>
    <w:rsid w:val="00603B2B"/>
    <w:rsid w:val="00603C96"/>
    <w:rsid w:val="00604869"/>
    <w:rsid w:val="00605AC3"/>
    <w:rsid w:val="00606830"/>
    <w:rsid w:val="006075EE"/>
    <w:rsid w:val="00607D9E"/>
    <w:rsid w:val="00610A83"/>
    <w:rsid w:val="00611531"/>
    <w:rsid w:val="00611613"/>
    <w:rsid w:val="006125F0"/>
    <w:rsid w:val="00612AEA"/>
    <w:rsid w:val="00614AFC"/>
    <w:rsid w:val="006157DB"/>
    <w:rsid w:val="006158DB"/>
    <w:rsid w:val="00615C20"/>
    <w:rsid w:val="00615F7D"/>
    <w:rsid w:val="006172E6"/>
    <w:rsid w:val="00620B48"/>
    <w:rsid w:val="00620E2D"/>
    <w:rsid w:val="00621015"/>
    <w:rsid w:val="00621353"/>
    <w:rsid w:val="00622FB3"/>
    <w:rsid w:val="00623253"/>
    <w:rsid w:val="00623854"/>
    <w:rsid w:val="00624616"/>
    <w:rsid w:val="006249A1"/>
    <w:rsid w:val="006253E4"/>
    <w:rsid w:val="00625F38"/>
    <w:rsid w:val="00625F8E"/>
    <w:rsid w:val="0063121C"/>
    <w:rsid w:val="00631800"/>
    <w:rsid w:val="0063277D"/>
    <w:rsid w:val="00633254"/>
    <w:rsid w:val="00633683"/>
    <w:rsid w:val="00633738"/>
    <w:rsid w:val="006342C1"/>
    <w:rsid w:val="00634FD4"/>
    <w:rsid w:val="00636349"/>
    <w:rsid w:val="006374A9"/>
    <w:rsid w:val="00640058"/>
    <w:rsid w:val="0064051A"/>
    <w:rsid w:val="00642392"/>
    <w:rsid w:val="00642917"/>
    <w:rsid w:val="00642D44"/>
    <w:rsid w:val="006435A0"/>
    <w:rsid w:val="00643F05"/>
    <w:rsid w:val="00645207"/>
    <w:rsid w:val="006453DC"/>
    <w:rsid w:val="00645835"/>
    <w:rsid w:val="00645A0E"/>
    <w:rsid w:val="00645DC2"/>
    <w:rsid w:val="00646176"/>
    <w:rsid w:val="0064690A"/>
    <w:rsid w:val="006472BD"/>
    <w:rsid w:val="00647A20"/>
    <w:rsid w:val="00647DEE"/>
    <w:rsid w:val="0065018E"/>
    <w:rsid w:val="00650BE8"/>
    <w:rsid w:val="00650C10"/>
    <w:rsid w:val="00650CFB"/>
    <w:rsid w:val="00651161"/>
    <w:rsid w:val="00651B09"/>
    <w:rsid w:val="00652028"/>
    <w:rsid w:val="00653985"/>
    <w:rsid w:val="00655349"/>
    <w:rsid w:val="006564B8"/>
    <w:rsid w:val="0066010C"/>
    <w:rsid w:val="0066125E"/>
    <w:rsid w:val="00661521"/>
    <w:rsid w:val="006616A7"/>
    <w:rsid w:val="006620D9"/>
    <w:rsid w:val="00663F68"/>
    <w:rsid w:val="006661A7"/>
    <w:rsid w:val="00666482"/>
    <w:rsid w:val="006700ED"/>
    <w:rsid w:val="006704A7"/>
    <w:rsid w:val="006704D5"/>
    <w:rsid w:val="0067190B"/>
    <w:rsid w:val="00671D55"/>
    <w:rsid w:val="00671EDC"/>
    <w:rsid w:val="00680DD3"/>
    <w:rsid w:val="0068113A"/>
    <w:rsid w:val="00685749"/>
    <w:rsid w:val="0068610F"/>
    <w:rsid w:val="006870F5"/>
    <w:rsid w:val="006872F2"/>
    <w:rsid w:val="00687473"/>
    <w:rsid w:val="0068764D"/>
    <w:rsid w:val="00687B41"/>
    <w:rsid w:val="00690045"/>
    <w:rsid w:val="006900D5"/>
    <w:rsid w:val="00691041"/>
    <w:rsid w:val="00691F03"/>
    <w:rsid w:val="0069226D"/>
    <w:rsid w:val="006922D6"/>
    <w:rsid w:val="00692AD4"/>
    <w:rsid w:val="00692C44"/>
    <w:rsid w:val="00693629"/>
    <w:rsid w:val="00694282"/>
    <w:rsid w:val="00694650"/>
    <w:rsid w:val="00694F7F"/>
    <w:rsid w:val="00695938"/>
    <w:rsid w:val="006972A6"/>
    <w:rsid w:val="00697A72"/>
    <w:rsid w:val="00697B10"/>
    <w:rsid w:val="006A2746"/>
    <w:rsid w:val="006A3B72"/>
    <w:rsid w:val="006A415B"/>
    <w:rsid w:val="006A5916"/>
    <w:rsid w:val="006A6036"/>
    <w:rsid w:val="006A702D"/>
    <w:rsid w:val="006A7396"/>
    <w:rsid w:val="006A7BE3"/>
    <w:rsid w:val="006B0918"/>
    <w:rsid w:val="006B0BE6"/>
    <w:rsid w:val="006B0C38"/>
    <w:rsid w:val="006B189E"/>
    <w:rsid w:val="006B1E5F"/>
    <w:rsid w:val="006B256D"/>
    <w:rsid w:val="006B2C60"/>
    <w:rsid w:val="006B2CA3"/>
    <w:rsid w:val="006B2FAE"/>
    <w:rsid w:val="006B4015"/>
    <w:rsid w:val="006B51D0"/>
    <w:rsid w:val="006B5844"/>
    <w:rsid w:val="006B5DF4"/>
    <w:rsid w:val="006B6414"/>
    <w:rsid w:val="006B706A"/>
    <w:rsid w:val="006C0116"/>
    <w:rsid w:val="006C2728"/>
    <w:rsid w:val="006C3156"/>
    <w:rsid w:val="006C73A9"/>
    <w:rsid w:val="006C74F0"/>
    <w:rsid w:val="006D0AB3"/>
    <w:rsid w:val="006D0BAB"/>
    <w:rsid w:val="006D0F2C"/>
    <w:rsid w:val="006D1284"/>
    <w:rsid w:val="006D18B5"/>
    <w:rsid w:val="006D2216"/>
    <w:rsid w:val="006D4892"/>
    <w:rsid w:val="006D4BE2"/>
    <w:rsid w:val="006D6899"/>
    <w:rsid w:val="006D7F1A"/>
    <w:rsid w:val="006D7FC2"/>
    <w:rsid w:val="006E1084"/>
    <w:rsid w:val="006E3D57"/>
    <w:rsid w:val="006E5D42"/>
    <w:rsid w:val="006E6CA5"/>
    <w:rsid w:val="006E7625"/>
    <w:rsid w:val="006F0D0B"/>
    <w:rsid w:val="006F18D3"/>
    <w:rsid w:val="006F1B26"/>
    <w:rsid w:val="006F21A7"/>
    <w:rsid w:val="006F399B"/>
    <w:rsid w:val="006F45DE"/>
    <w:rsid w:val="006F57C6"/>
    <w:rsid w:val="00700528"/>
    <w:rsid w:val="00701421"/>
    <w:rsid w:val="00701781"/>
    <w:rsid w:val="00701B1F"/>
    <w:rsid w:val="00702066"/>
    <w:rsid w:val="007029D4"/>
    <w:rsid w:val="007031DB"/>
    <w:rsid w:val="00704368"/>
    <w:rsid w:val="00705ABB"/>
    <w:rsid w:val="00706EB7"/>
    <w:rsid w:val="00706ED4"/>
    <w:rsid w:val="00707B57"/>
    <w:rsid w:val="007110DC"/>
    <w:rsid w:val="007111EC"/>
    <w:rsid w:val="00711648"/>
    <w:rsid w:val="0071187C"/>
    <w:rsid w:val="0071231F"/>
    <w:rsid w:val="00713504"/>
    <w:rsid w:val="0071424E"/>
    <w:rsid w:val="00715E38"/>
    <w:rsid w:val="00716AA8"/>
    <w:rsid w:val="0072011B"/>
    <w:rsid w:val="007205E2"/>
    <w:rsid w:val="00720C78"/>
    <w:rsid w:val="00721D9A"/>
    <w:rsid w:val="00722066"/>
    <w:rsid w:val="0072226A"/>
    <w:rsid w:val="00722EB7"/>
    <w:rsid w:val="0072302E"/>
    <w:rsid w:val="0072321A"/>
    <w:rsid w:val="0072353F"/>
    <w:rsid w:val="00724025"/>
    <w:rsid w:val="00724351"/>
    <w:rsid w:val="00724452"/>
    <w:rsid w:val="00725D4F"/>
    <w:rsid w:val="0072792C"/>
    <w:rsid w:val="0073084D"/>
    <w:rsid w:val="00730D72"/>
    <w:rsid w:val="00731365"/>
    <w:rsid w:val="007328B8"/>
    <w:rsid w:val="0073301E"/>
    <w:rsid w:val="007336D4"/>
    <w:rsid w:val="007343B7"/>
    <w:rsid w:val="007364B3"/>
    <w:rsid w:val="00741624"/>
    <w:rsid w:val="007420E7"/>
    <w:rsid w:val="00742C56"/>
    <w:rsid w:val="0074329C"/>
    <w:rsid w:val="00743B49"/>
    <w:rsid w:val="00743BA3"/>
    <w:rsid w:val="007441D8"/>
    <w:rsid w:val="007445FC"/>
    <w:rsid w:val="00744864"/>
    <w:rsid w:val="00746F29"/>
    <w:rsid w:val="00747277"/>
    <w:rsid w:val="00747346"/>
    <w:rsid w:val="00750F77"/>
    <w:rsid w:val="00751646"/>
    <w:rsid w:val="0075186B"/>
    <w:rsid w:val="007521B2"/>
    <w:rsid w:val="007535D6"/>
    <w:rsid w:val="0075413E"/>
    <w:rsid w:val="0075475A"/>
    <w:rsid w:val="00754E89"/>
    <w:rsid w:val="00755121"/>
    <w:rsid w:val="00755255"/>
    <w:rsid w:val="00755CA9"/>
    <w:rsid w:val="00756D44"/>
    <w:rsid w:val="00760246"/>
    <w:rsid w:val="0076076E"/>
    <w:rsid w:val="00760D13"/>
    <w:rsid w:val="007610BA"/>
    <w:rsid w:val="00761407"/>
    <w:rsid w:val="007632DF"/>
    <w:rsid w:val="007635B7"/>
    <w:rsid w:val="007649FF"/>
    <w:rsid w:val="00764D24"/>
    <w:rsid w:val="00765998"/>
    <w:rsid w:val="00766B23"/>
    <w:rsid w:val="00767115"/>
    <w:rsid w:val="00770194"/>
    <w:rsid w:val="00771C15"/>
    <w:rsid w:val="007724F6"/>
    <w:rsid w:val="00772CCD"/>
    <w:rsid w:val="00773125"/>
    <w:rsid w:val="00773B22"/>
    <w:rsid w:val="00773CE1"/>
    <w:rsid w:val="0077477E"/>
    <w:rsid w:val="00781B74"/>
    <w:rsid w:val="00783A4D"/>
    <w:rsid w:val="00784DC8"/>
    <w:rsid w:val="00785CA1"/>
    <w:rsid w:val="007864DD"/>
    <w:rsid w:val="00786831"/>
    <w:rsid w:val="00786B8D"/>
    <w:rsid w:val="007905BF"/>
    <w:rsid w:val="00791E89"/>
    <w:rsid w:val="007924D0"/>
    <w:rsid w:val="007934C5"/>
    <w:rsid w:val="0079354A"/>
    <w:rsid w:val="007950FC"/>
    <w:rsid w:val="00795714"/>
    <w:rsid w:val="00795E82"/>
    <w:rsid w:val="00797A81"/>
    <w:rsid w:val="00797F9B"/>
    <w:rsid w:val="007A0F00"/>
    <w:rsid w:val="007A1138"/>
    <w:rsid w:val="007A25CE"/>
    <w:rsid w:val="007A3AB9"/>
    <w:rsid w:val="007A4A3C"/>
    <w:rsid w:val="007A504D"/>
    <w:rsid w:val="007A52B0"/>
    <w:rsid w:val="007A54C6"/>
    <w:rsid w:val="007A6F4C"/>
    <w:rsid w:val="007A7B73"/>
    <w:rsid w:val="007B18C3"/>
    <w:rsid w:val="007B1987"/>
    <w:rsid w:val="007B4C78"/>
    <w:rsid w:val="007B5771"/>
    <w:rsid w:val="007B61AE"/>
    <w:rsid w:val="007B6F7A"/>
    <w:rsid w:val="007B711A"/>
    <w:rsid w:val="007C0782"/>
    <w:rsid w:val="007C129F"/>
    <w:rsid w:val="007C3793"/>
    <w:rsid w:val="007C4697"/>
    <w:rsid w:val="007C4E6F"/>
    <w:rsid w:val="007C72C8"/>
    <w:rsid w:val="007D0D11"/>
    <w:rsid w:val="007D164E"/>
    <w:rsid w:val="007D3943"/>
    <w:rsid w:val="007D44E2"/>
    <w:rsid w:val="007D5000"/>
    <w:rsid w:val="007D5D5F"/>
    <w:rsid w:val="007D6A82"/>
    <w:rsid w:val="007D7218"/>
    <w:rsid w:val="007D76E3"/>
    <w:rsid w:val="007E11A9"/>
    <w:rsid w:val="007E1D88"/>
    <w:rsid w:val="007E212C"/>
    <w:rsid w:val="007E2272"/>
    <w:rsid w:val="007E27C9"/>
    <w:rsid w:val="007E3E7D"/>
    <w:rsid w:val="007E50D6"/>
    <w:rsid w:val="007E55D1"/>
    <w:rsid w:val="007E5AB0"/>
    <w:rsid w:val="007E64C8"/>
    <w:rsid w:val="007E6F89"/>
    <w:rsid w:val="007E788A"/>
    <w:rsid w:val="007F036E"/>
    <w:rsid w:val="007F18F2"/>
    <w:rsid w:val="007F290D"/>
    <w:rsid w:val="007F2E58"/>
    <w:rsid w:val="007F30C5"/>
    <w:rsid w:val="007F37D0"/>
    <w:rsid w:val="007F3891"/>
    <w:rsid w:val="007F3A06"/>
    <w:rsid w:val="007F3AEE"/>
    <w:rsid w:val="007F458F"/>
    <w:rsid w:val="007F525D"/>
    <w:rsid w:val="007F55BD"/>
    <w:rsid w:val="007F67D1"/>
    <w:rsid w:val="007F7712"/>
    <w:rsid w:val="00800AC4"/>
    <w:rsid w:val="00803140"/>
    <w:rsid w:val="00803F7D"/>
    <w:rsid w:val="008043AD"/>
    <w:rsid w:val="00806171"/>
    <w:rsid w:val="0080704C"/>
    <w:rsid w:val="008108B4"/>
    <w:rsid w:val="0081114B"/>
    <w:rsid w:val="00814507"/>
    <w:rsid w:val="008148A4"/>
    <w:rsid w:val="00815186"/>
    <w:rsid w:val="008155A5"/>
    <w:rsid w:val="00815B72"/>
    <w:rsid w:val="0082043A"/>
    <w:rsid w:val="00820E0F"/>
    <w:rsid w:val="0082220F"/>
    <w:rsid w:val="00822A08"/>
    <w:rsid w:val="00822A13"/>
    <w:rsid w:val="00822F9B"/>
    <w:rsid w:val="00823117"/>
    <w:rsid w:val="00823339"/>
    <w:rsid w:val="00825194"/>
    <w:rsid w:val="00825C42"/>
    <w:rsid w:val="00825DEC"/>
    <w:rsid w:val="00826972"/>
    <w:rsid w:val="008278C6"/>
    <w:rsid w:val="00827C7C"/>
    <w:rsid w:val="008312B2"/>
    <w:rsid w:val="00831D23"/>
    <w:rsid w:val="00831DB1"/>
    <w:rsid w:val="00833D7E"/>
    <w:rsid w:val="00833E7F"/>
    <w:rsid w:val="0083406F"/>
    <w:rsid w:val="00834534"/>
    <w:rsid w:val="00835BB5"/>
    <w:rsid w:val="008376EE"/>
    <w:rsid w:val="00841953"/>
    <w:rsid w:val="008422E2"/>
    <w:rsid w:val="0084232C"/>
    <w:rsid w:val="0084269A"/>
    <w:rsid w:val="00842759"/>
    <w:rsid w:val="008430BB"/>
    <w:rsid w:val="0084359E"/>
    <w:rsid w:val="00843EF5"/>
    <w:rsid w:val="00843FE9"/>
    <w:rsid w:val="0084580D"/>
    <w:rsid w:val="00846AE2"/>
    <w:rsid w:val="008470C0"/>
    <w:rsid w:val="00851499"/>
    <w:rsid w:val="00851F97"/>
    <w:rsid w:val="00853451"/>
    <w:rsid w:val="00854A5A"/>
    <w:rsid w:val="00854CD9"/>
    <w:rsid w:val="008569A1"/>
    <w:rsid w:val="00861E00"/>
    <w:rsid w:val="00862C10"/>
    <w:rsid w:val="00862E1F"/>
    <w:rsid w:val="00863182"/>
    <w:rsid w:val="00864070"/>
    <w:rsid w:val="008650C7"/>
    <w:rsid w:val="00866706"/>
    <w:rsid w:val="00867E0E"/>
    <w:rsid w:val="008707FF"/>
    <w:rsid w:val="00871152"/>
    <w:rsid w:val="0087128E"/>
    <w:rsid w:val="008723B2"/>
    <w:rsid w:val="00872EFA"/>
    <w:rsid w:val="008731D7"/>
    <w:rsid w:val="00873E01"/>
    <w:rsid w:val="00873E69"/>
    <w:rsid w:val="00874916"/>
    <w:rsid w:val="008751C7"/>
    <w:rsid w:val="00876E04"/>
    <w:rsid w:val="00877E61"/>
    <w:rsid w:val="008806BD"/>
    <w:rsid w:val="00880874"/>
    <w:rsid w:val="0088111D"/>
    <w:rsid w:val="008815B3"/>
    <w:rsid w:val="0088184E"/>
    <w:rsid w:val="0088309B"/>
    <w:rsid w:val="00884FFA"/>
    <w:rsid w:val="0088510D"/>
    <w:rsid w:val="008871B5"/>
    <w:rsid w:val="008900D0"/>
    <w:rsid w:val="008916D5"/>
    <w:rsid w:val="00892236"/>
    <w:rsid w:val="008935C8"/>
    <w:rsid w:val="00893696"/>
    <w:rsid w:val="00893E32"/>
    <w:rsid w:val="0089407F"/>
    <w:rsid w:val="008963D2"/>
    <w:rsid w:val="008A0B91"/>
    <w:rsid w:val="008A0D4B"/>
    <w:rsid w:val="008A0DA3"/>
    <w:rsid w:val="008A201D"/>
    <w:rsid w:val="008A3483"/>
    <w:rsid w:val="008A353D"/>
    <w:rsid w:val="008A3AEF"/>
    <w:rsid w:val="008A464C"/>
    <w:rsid w:val="008A467E"/>
    <w:rsid w:val="008A51A7"/>
    <w:rsid w:val="008B0A9F"/>
    <w:rsid w:val="008B3012"/>
    <w:rsid w:val="008B3355"/>
    <w:rsid w:val="008B3814"/>
    <w:rsid w:val="008B3915"/>
    <w:rsid w:val="008B4202"/>
    <w:rsid w:val="008B50D5"/>
    <w:rsid w:val="008B54AE"/>
    <w:rsid w:val="008B71BC"/>
    <w:rsid w:val="008B7D3B"/>
    <w:rsid w:val="008C06C3"/>
    <w:rsid w:val="008C16E9"/>
    <w:rsid w:val="008C1D6C"/>
    <w:rsid w:val="008C27AB"/>
    <w:rsid w:val="008C370E"/>
    <w:rsid w:val="008C378B"/>
    <w:rsid w:val="008C387E"/>
    <w:rsid w:val="008C3D5D"/>
    <w:rsid w:val="008C5261"/>
    <w:rsid w:val="008C5DBD"/>
    <w:rsid w:val="008C633B"/>
    <w:rsid w:val="008C68EF"/>
    <w:rsid w:val="008C7149"/>
    <w:rsid w:val="008D0417"/>
    <w:rsid w:val="008D0F4A"/>
    <w:rsid w:val="008D1814"/>
    <w:rsid w:val="008D1D87"/>
    <w:rsid w:val="008D2CE3"/>
    <w:rsid w:val="008D4333"/>
    <w:rsid w:val="008D532E"/>
    <w:rsid w:val="008D54D2"/>
    <w:rsid w:val="008D5EB4"/>
    <w:rsid w:val="008D78E5"/>
    <w:rsid w:val="008D7B8C"/>
    <w:rsid w:val="008D7BE9"/>
    <w:rsid w:val="008E0444"/>
    <w:rsid w:val="008E0AB0"/>
    <w:rsid w:val="008E0C18"/>
    <w:rsid w:val="008E0FAF"/>
    <w:rsid w:val="008E1D3D"/>
    <w:rsid w:val="008E27B1"/>
    <w:rsid w:val="008E4869"/>
    <w:rsid w:val="008E5A07"/>
    <w:rsid w:val="008E5F00"/>
    <w:rsid w:val="008E6183"/>
    <w:rsid w:val="008E6784"/>
    <w:rsid w:val="008F13AF"/>
    <w:rsid w:val="008F1E1C"/>
    <w:rsid w:val="008F265F"/>
    <w:rsid w:val="008F5D9C"/>
    <w:rsid w:val="008F6742"/>
    <w:rsid w:val="008F67E8"/>
    <w:rsid w:val="008F6F5B"/>
    <w:rsid w:val="009021F6"/>
    <w:rsid w:val="00902FE3"/>
    <w:rsid w:val="009038F2"/>
    <w:rsid w:val="009043CF"/>
    <w:rsid w:val="00905255"/>
    <w:rsid w:val="0090571F"/>
    <w:rsid w:val="00905B35"/>
    <w:rsid w:val="00906438"/>
    <w:rsid w:val="0090654F"/>
    <w:rsid w:val="00910241"/>
    <w:rsid w:val="00910993"/>
    <w:rsid w:val="00910A2C"/>
    <w:rsid w:val="00910D4E"/>
    <w:rsid w:val="00911F87"/>
    <w:rsid w:val="00912442"/>
    <w:rsid w:val="00913678"/>
    <w:rsid w:val="009141AE"/>
    <w:rsid w:val="0091491F"/>
    <w:rsid w:val="0091571E"/>
    <w:rsid w:val="009158C7"/>
    <w:rsid w:val="009160FA"/>
    <w:rsid w:val="009161E6"/>
    <w:rsid w:val="0091712A"/>
    <w:rsid w:val="00920340"/>
    <w:rsid w:val="0092114B"/>
    <w:rsid w:val="0092218C"/>
    <w:rsid w:val="0092358F"/>
    <w:rsid w:val="009235C3"/>
    <w:rsid w:val="00923AE1"/>
    <w:rsid w:val="00925045"/>
    <w:rsid w:val="0092728F"/>
    <w:rsid w:val="00930D4A"/>
    <w:rsid w:val="00930FE6"/>
    <w:rsid w:val="009313DD"/>
    <w:rsid w:val="00931497"/>
    <w:rsid w:val="009314BB"/>
    <w:rsid w:val="00937C76"/>
    <w:rsid w:val="00937D43"/>
    <w:rsid w:val="009412E7"/>
    <w:rsid w:val="00941D4D"/>
    <w:rsid w:val="00943AF1"/>
    <w:rsid w:val="00943FBA"/>
    <w:rsid w:val="00945227"/>
    <w:rsid w:val="00946D2C"/>
    <w:rsid w:val="00946DE0"/>
    <w:rsid w:val="00950DA4"/>
    <w:rsid w:val="00951119"/>
    <w:rsid w:val="009530B2"/>
    <w:rsid w:val="00954D97"/>
    <w:rsid w:val="0095501E"/>
    <w:rsid w:val="0095576D"/>
    <w:rsid w:val="009564F1"/>
    <w:rsid w:val="00956641"/>
    <w:rsid w:val="00957834"/>
    <w:rsid w:val="00961935"/>
    <w:rsid w:val="00963346"/>
    <w:rsid w:val="009633C4"/>
    <w:rsid w:val="0096366A"/>
    <w:rsid w:val="0096380C"/>
    <w:rsid w:val="00965E25"/>
    <w:rsid w:val="00966233"/>
    <w:rsid w:val="00966369"/>
    <w:rsid w:val="009665AD"/>
    <w:rsid w:val="00967437"/>
    <w:rsid w:val="009677AB"/>
    <w:rsid w:val="00967B33"/>
    <w:rsid w:val="00970DF3"/>
    <w:rsid w:val="009716C7"/>
    <w:rsid w:val="00971E10"/>
    <w:rsid w:val="00971E31"/>
    <w:rsid w:val="0097232D"/>
    <w:rsid w:val="009731C7"/>
    <w:rsid w:val="00973E49"/>
    <w:rsid w:val="00975303"/>
    <w:rsid w:val="00975391"/>
    <w:rsid w:val="00975AC8"/>
    <w:rsid w:val="00976530"/>
    <w:rsid w:val="00976E9F"/>
    <w:rsid w:val="00976F6F"/>
    <w:rsid w:val="009772C5"/>
    <w:rsid w:val="009775A1"/>
    <w:rsid w:val="00981AE0"/>
    <w:rsid w:val="00982234"/>
    <w:rsid w:val="00982430"/>
    <w:rsid w:val="009824BE"/>
    <w:rsid w:val="009826E2"/>
    <w:rsid w:val="00984545"/>
    <w:rsid w:val="00984668"/>
    <w:rsid w:val="00984AE2"/>
    <w:rsid w:val="00985CD7"/>
    <w:rsid w:val="00986174"/>
    <w:rsid w:val="009869F7"/>
    <w:rsid w:val="00987139"/>
    <w:rsid w:val="00987520"/>
    <w:rsid w:val="009906F2"/>
    <w:rsid w:val="0099183C"/>
    <w:rsid w:val="0099296F"/>
    <w:rsid w:val="00992FF9"/>
    <w:rsid w:val="0099673E"/>
    <w:rsid w:val="00996925"/>
    <w:rsid w:val="00997E06"/>
    <w:rsid w:val="00997E53"/>
    <w:rsid w:val="009A1677"/>
    <w:rsid w:val="009A1B5F"/>
    <w:rsid w:val="009A1E2F"/>
    <w:rsid w:val="009A1E70"/>
    <w:rsid w:val="009A43C2"/>
    <w:rsid w:val="009A5263"/>
    <w:rsid w:val="009A55FE"/>
    <w:rsid w:val="009A6DB9"/>
    <w:rsid w:val="009A7C10"/>
    <w:rsid w:val="009B1018"/>
    <w:rsid w:val="009B1F02"/>
    <w:rsid w:val="009B28E0"/>
    <w:rsid w:val="009B3109"/>
    <w:rsid w:val="009B3240"/>
    <w:rsid w:val="009B3484"/>
    <w:rsid w:val="009B41D5"/>
    <w:rsid w:val="009B49BA"/>
    <w:rsid w:val="009B568C"/>
    <w:rsid w:val="009B7AF1"/>
    <w:rsid w:val="009B7B44"/>
    <w:rsid w:val="009C0015"/>
    <w:rsid w:val="009C0123"/>
    <w:rsid w:val="009C059A"/>
    <w:rsid w:val="009C0708"/>
    <w:rsid w:val="009C08CB"/>
    <w:rsid w:val="009C1610"/>
    <w:rsid w:val="009C1B47"/>
    <w:rsid w:val="009C2D55"/>
    <w:rsid w:val="009C2FAD"/>
    <w:rsid w:val="009C3678"/>
    <w:rsid w:val="009C3D2E"/>
    <w:rsid w:val="009C3EB2"/>
    <w:rsid w:val="009C5D44"/>
    <w:rsid w:val="009C5E35"/>
    <w:rsid w:val="009C7283"/>
    <w:rsid w:val="009C76DD"/>
    <w:rsid w:val="009D03A8"/>
    <w:rsid w:val="009D058C"/>
    <w:rsid w:val="009D090E"/>
    <w:rsid w:val="009D0E3A"/>
    <w:rsid w:val="009D0EA5"/>
    <w:rsid w:val="009D128B"/>
    <w:rsid w:val="009D2E23"/>
    <w:rsid w:val="009D5198"/>
    <w:rsid w:val="009D7291"/>
    <w:rsid w:val="009D73AC"/>
    <w:rsid w:val="009E0C06"/>
    <w:rsid w:val="009E0D57"/>
    <w:rsid w:val="009E2471"/>
    <w:rsid w:val="009E30C6"/>
    <w:rsid w:val="009E4057"/>
    <w:rsid w:val="009E4723"/>
    <w:rsid w:val="009E580A"/>
    <w:rsid w:val="009E6E9A"/>
    <w:rsid w:val="009E7887"/>
    <w:rsid w:val="009F0F17"/>
    <w:rsid w:val="009F1C13"/>
    <w:rsid w:val="009F3788"/>
    <w:rsid w:val="009F4EE9"/>
    <w:rsid w:val="009F5BA7"/>
    <w:rsid w:val="009F6C2A"/>
    <w:rsid w:val="009F7B6C"/>
    <w:rsid w:val="009F7FCF"/>
    <w:rsid w:val="00A00E0C"/>
    <w:rsid w:val="00A01487"/>
    <w:rsid w:val="00A023F4"/>
    <w:rsid w:val="00A02995"/>
    <w:rsid w:val="00A04148"/>
    <w:rsid w:val="00A042E0"/>
    <w:rsid w:val="00A04928"/>
    <w:rsid w:val="00A04AAA"/>
    <w:rsid w:val="00A05A01"/>
    <w:rsid w:val="00A05EEA"/>
    <w:rsid w:val="00A065B6"/>
    <w:rsid w:val="00A06DD4"/>
    <w:rsid w:val="00A103CB"/>
    <w:rsid w:val="00A11981"/>
    <w:rsid w:val="00A12265"/>
    <w:rsid w:val="00A12956"/>
    <w:rsid w:val="00A14070"/>
    <w:rsid w:val="00A141C9"/>
    <w:rsid w:val="00A143B4"/>
    <w:rsid w:val="00A14502"/>
    <w:rsid w:val="00A14AFB"/>
    <w:rsid w:val="00A15401"/>
    <w:rsid w:val="00A15DB4"/>
    <w:rsid w:val="00A15E89"/>
    <w:rsid w:val="00A16034"/>
    <w:rsid w:val="00A16834"/>
    <w:rsid w:val="00A2024E"/>
    <w:rsid w:val="00A20358"/>
    <w:rsid w:val="00A21908"/>
    <w:rsid w:val="00A21A31"/>
    <w:rsid w:val="00A2268E"/>
    <w:rsid w:val="00A2455D"/>
    <w:rsid w:val="00A256FF"/>
    <w:rsid w:val="00A25F53"/>
    <w:rsid w:val="00A2604E"/>
    <w:rsid w:val="00A275D5"/>
    <w:rsid w:val="00A3093E"/>
    <w:rsid w:val="00A30B19"/>
    <w:rsid w:val="00A30B37"/>
    <w:rsid w:val="00A30BAD"/>
    <w:rsid w:val="00A321A4"/>
    <w:rsid w:val="00A32278"/>
    <w:rsid w:val="00A3304A"/>
    <w:rsid w:val="00A34B91"/>
    <w:rsid w:val="00A35AAB"/>
    <w:rsid w:val="00A36CE3"/>
    <w:rsid w:val="00A372DE"/>
    <w:rsid w:val="00A377F1"/>
    <w:rsid w:val="00A37BEF"/>
    <w:rsid w:val="00A4000D"/>
    <w:rsid w:val="00A40585"/>
    <w:rsid w:val="00A40936"/>
    <w:rsid w:val="00A41536"/>
    <w:rsid w:val="00A41E8C"/>
    <w:rsid w:val="00A420A7"/>
    <w:rsid w:val="00A44016"/>
    <w:rsid w:val="00A44540"/>
    <w:rsid w:val="00A454D7"/>
    <w:rsid w:val="00A4586D"/>
    <w:rsid w:val="00A464CA"/>
    <w:rsid w:val="00A50DC3"/>
    <w:rsid w:val="00A50E20"/>
    <w:rsid w:val="00A51ADB"/>
    <w:rsid w:val="00A5220B"/>
    <w:rsid w:val="00A52A71"/>
    <w:rsid w:val="00A5309B"/>
    <w:rsid w:val="00A53C1A"/>
    <w:rsid w:val="00A53D07"/>
    <w:rsid w:val="00A541E1"/>
    <w:rsid w:val="00A54646"/>
    <w:rsid w:val="00A56C52"/>
    <w:rsid w:val="00A57341"/>
    <w:rsid w:val="00A57563"/>
    <w:rsid w:val="00A57B74"/>
    <w:rsid w:val="00A60E11"/>
    <w:rsid w:val="00A60F36"/>
    <w:rsid w:val="00A61118"/>
    <w:rsid w:val="00A6208A"/>
    <w:rsid w:val="00A625B1"/>
    <w:rsid w:val="00A63260"/>
    <w:rsid w:val="00A634C5"/>
    <w:rsid w:val="00A6367F"/>
    <w:rsid w:val="00A70443"/>
    <w:rsid w:val="00A713DF"/>
    <w:rsid w:val="00A71F2F"/>
    <w:rsid w:val="00A72A29"/>
    <w:rsid w:val="00A72AFB"/>
    <w:rsid w:val="00A7319A"/>
    <w:rsid w:val="00A732BF"/>
    <w:rsid w:val="00A743DC"/>
    <w:rsid w:val="00A74559"/>
    <w:rsid w:val="00A7460B"/>
    <w:rsid w:val="00A75BCC"/>
    <w:rsid w:val="00A76781"/>
    <w:rsid w:val="00A77E2B"/>
    <w:rsid w:val="00A80B4F"/>
    <w:rsid w:val="00A814B5"/>
    <w:rsid w:val="00A825B6"/>
    <w:rsid w:val="00A83D9F"/>
    <w:rsid w:val="00A84E94"/>
    <w:rsid w:val="00A8685D"/>
    <w:rsid w:val="00A86CB9"/>
    <w:rsid w:val="00A86ED4"/>
    <w:rsid w:val="00A87058"/>
    <w:rsid w:val="00A90A03"/>
    <w:rsid w:val="00A91834"/>
    <w:rsid w:val="00A93BF8"/>
    <w:rsid w:val="00A96683"/>
    <w:rsid w:val="00AA1389"/>
    <w:rsid w:val="00AA1963"/>
    <w:rsid w:val="00AA2E3D"/>
    <w:rsid w:val="00AA3073"/>
    <w:rsid w:val="00AA3137"/>
    <w:rsid w:val="00AA4062"/>
    <w:rsid w:val="00AA4509"/>
    <w:rsid w:val="00AA47AD"/>
    <w:rsid w:val="00AA55FA"/>
    <w:rsid w:val="00AA55FD"/>
    <w:rsid w:val="00AA56B0"/>
    <w:rsid w:val="00AA65B5"/>
    <w:rsid w:val="00AA7BE6"/>
    <w:rsid w:val="00AB0CC5"/>
    <w:rsid w:val="00AB1AB5"/>
    <w:rsid w:val="00AB23BD"/>
    <w:rsid w:val="00AB38AB"/>
    <w:rsid w:val="00AB495B"/>
    <w:rsid w:val="00AB6337"/>
    <w:rsid w:val="00AB742C"/>
    <w:rsid w:val="00AC157F"/>
    <w:rsid w:val="00AC21BC"/>
    <w:rsid w:val="00AC221E"/>
    <w:rsid w:val="00AC2CE8"/>
    <w:rsid w:val="00AC4FFB"/>
    <w:rsid w:val="00AC6C6F"/>
    <w:rsid w:val="00AC77FE"/>
    <w:rsid w:val="00AD026E"/>
    <w:rsid w:val="00AD12BC"/>
    <w:rsid w:val="00AD1880"/>
    <w:rsid w:val="00AD1B36"/>
    <w:rsid w:val="00AD213D"/>
    <w:rsid w:val="00AD223F"/>
    <w:rsid w:val="00AD2B18"/>
    <w:rsid w:val="00AD3409"/>
    <w:rsid w:val="00AD34AB"/>
    <w:rsid w:val="00AD3B91"/>
    <w:rsid w:val="00AD3ED5"/>
    <w:rsid w:val="00AD431C"/>
    <w:rsid w:val="00AD5390"/>
    <w:rsid w:val="00AD692D"/>
    <w:rsid w:val="00AE0889"/>
    <w:rsid w:val="00AE08EC"/>
    <w:rsid w:val="00AE0DC2"/>
    <w:rsid w:val="00AE0F90"/>
    <w:rsid w:val="00AE25B5"/>
    <w:rsid w:val="00AE2FAA"/>
    <w:rsid w:val="00AE3BBE"/>
    <w:rsid w:val="00AE4A96"/>
    <w:rsid w:val="00AE4ECB"/>
    <w:rsid w:val="00AE72C5"/>
    <w:rsid w:val="00AE7482"/>
    <w:rsid w:val="00AE7A3F"/>
    <w:rsid w:val="00AF040C"/>
    <w:rsid w:val="00AF08C0"/>
    <w:rsid w:val="00AF0D66"/>
    <w:rsid w:val="00AF0DBB"/>
    <w:rsid w:val="00AF0FBE"/>
    <w:rsid w:val="00AF176C"/>
    <w:rsid w:val="00AF1AC4"/>
    <w:rsid w:val="00AF215A"/>
    <w:rsid w:val="00AF26A2"/>
    <w:rsid w:val="00AF2AC8"/>
    <w:rsid w:val="00AF6FB3"/>
    <w:rsid w:val="00AF7343"/>
    <w:rsid w:val="00AF799B"/>
    <w:rsid w:val="00AF7BDE"/>
    <w:rsid w:val="00AF7DC8"/>
    <w:rsid w:val="00AF7F04"/>
    <w:rsid w:val="00B001AB"/>
    <w:rsid w:val="00B0046F"/>
    <w:rsid w:val="00B008CC"/>
    <w:rsid w:val="00B00D0F"/>
    <w:rsid w:val="00B012AC"/>
    <w:rsid w:val="00B013D5"/>
    <w:rsid w:val="00B0166C"/>
    <w:rsid w:val="00B02C2E"/>
    <w:rsid w:val="00B0583E"/>
    <w:rsid w:val="00B06A1D"/>
    <w:rsid w:val="00B06E18"/>
    <w:rsid w:val="00B06F91"/>
    <w:rsid w:val="00B101B6"/>
    <w:rsid w:val="00B1253F"/>
    <w:rsid w:val="00B126F0"/>
    <w:rsid w:val="00B1285C"/>
    <w:rsid w:val="00B12B12"/>
    <w:rsid w:val="00B12C37"/>
    <w:rsid w:val="00B13CF3"/>
    <w:rsid w:val="00B13ED2"/>
    <w:rsid w:val="00B1477C"/>
    <w:rsid w:val="00B14B7A"/>
    <w:rsid w:val="00B14C6C"/>
    <w:rsid w:val="00B15DE6"/>
    <w:rsid w:val="00B16181"/>
    <w:rsid w:val="00B16D92"/>
    <w:rsid w:val="00B170A1"/>
    <w:rsid w:val="00B1748B"/>
    <w:rsid w:val="00B20D7B"/>
    <w:rsid w:val="00B218DD"/>
    <w:rsid w:val="00B21A5B"/>
    <w:rsid w:val="00B21E55"/>
    <w:rsid w:val="00B22A42"/>
    <w:rsid w:val="00B23900"/>
    <w:rsid w:val="00B241E7"/>
    <w:rsid w:val="00B24230"/>
    <w:rsid w:val="00B268A6"/>
    <w:rsid w:val="00B26F56"/>
    <w:rsid w:val="00B26FE8"/>
    <w:rsid w:val="00B274BB"/>
    <w:rsid w:val="00B27B1A"/>
    <w:rsid w:val="00B32A27"/>
    <w:rsid w:val="00B33102"/>
    <w:rsid w:val="00B34AF7"/>
    <w:rsid w:val="00B3572B"/>
    <w:rsid w:val="00B36007"/>
    <w:rsid w:val="00B375CE"/>
    <w:rsid w:val="00B4001D"/>
    <w:rsid w:val="00B41882"/>
    <w:rsid w:val="00B421DC"/>
    <w:rsid w:val="00B423C0"/>
    <w:rsid w:val="00B42626"/>
    <w:rsid w:val="00B42B94"/>
    <w:rsid w:val="00B4369C"/>
    <w:rsid w:val="00B446F9"/>
    <w:rsid w:val="00B44C22"/>
    <w:rsid w:val="00B45345"/>
    <w:rsid w:val="00B46D4D"/>
    <w:rsid w:val="00B46F04"/>
    <w:rsid w:val="00B5030C"/>
    <w:rsid w:val="00B51BA8"/>
    <w:rsid w:val="00B524A5"/>
    <w:rsid w:val="00B5256F"/>
    <w:rsid w:val="00B535E9"/>
    <w:rsid w:val="00B53C5C"/>
    <w:rsid w:val="00B54008"/>
    <w:rsid w:val="00B54222"/>
    <w:rsid w:val="00B54CF1"/>
    <w:rsid w:val="00B5527F"/>
    <w:rsid w:val="00B55414"/>
    <w:rsid w:val="00B57F92"/>
    <w:rsid w:val="00B6025D"/>
    <w:rsid w:val="00B60C62"/>
    <w:rsid w:val="00B612B3"/>
    <w:rsid w:val="00B62748"/>
    <w:rsid w:val="00B636D0"/>
    <w:rsid w:val="00B660F7"/>
    <w:rsid w:val="00B66FC2"/>
    <w:rsid w:val="00B67E75"/>
    <w:rsid w:val="00B70BA0"/>
    <w:rsid w:val="00B71946"/>
    <w:rsid w:val="00B71E2A"/>
    <w:rsid w:val="00B72875"/>
    <w:rsid w:val="00B7367F"/>
    <w:rsid w:val="00B74095"/>
    <w:rsid w:val="00B74B41"/>
    <w:rsid w:val="00B74C0F"/>
    <w:rsid w:val="00B755D8"/>
    <w:rsid w:val="00B758E4"/>
    <w:rsid w:val="00B80A54"/>
    <w:rsid w:val="00B80DF5"/>
    <w:rsid w:val="00B843DA"/>
    <w:rsid w:val="00B856EC"/>
    <w:rsid w:val="00B857EC"/>
    <w:rsid w:val="00B863E2"/>
    <w:rsid w:val="00B90B74"/>
    <w:rsid w:val="00B91C2A"/>
    <w:rsid w:val="00B93994"/>
    <w:rsid w:val="00B93E56"/>
    <w:rsid w:val="00B94242"/>
    <w:rsid w:val="00B94D45"/>
    <w:rsid w:val="00B96836"/>
    <w:rsid w:val="00BA018E"/>
    <w:rsid w:val="00BA0B90"/>
    <w:rsid w:val="00BA1241"/>
    <w:rsid w:val="00BA1FB9"/>
    <w:rsid w:val="00BA24BD"/>
    <w:rsid w:val="00BA3858"/>
    <w:rsid w:val="00BA42A9"/>
    <w:rsid w:val="00BA46D4"/>
    <w:rsid w:val="00BA5309"/>
    <w:rsid w:val="00BA535F"/>
    <w:rsid w:val="00BA5742"/>
    <w:rsid w:val="00BB0137"/>
    <w:rsid w:val="00BB0D24"/>
    <w:rsid w:val="00BB2A84"/>
    <w:rsid w:val="00BB4AAD"/>
    <w:rsid w:val="00BB58C7"/>
    <w:rsid w:val="00BB5B28"/>
    <w:rsid w:val="00BB5E56"/>
    <w:rsid w:val="00BB7D74"/>
    <w:rsid w:val="00BC04AA"/>
    <w:rsid w:val="00BC06A3"/>
    <w:rsid w:val="00BC088A"/>
    <w:rsid w:val="00BC2DFE"/>
    <w:rsid w:val="00BC33C1"/>
    <w:rsid w:val="00BC3E94"/>
    <w:rsid w:val="00BC3F25"/>
    <w:rsid w:val="00BC42F1"/>
    <w:rsid w:val="00BC67CC"/>
    <w:rsid w:val="00BD008B"/>
    <w:rsid w:val="00BD0C39"/>
    <w:rsid w:val="00BD0F8E"/>
    <w:rsid w:val="00BD3656"/>
    <w:rsid w:val="00BD41D1"/>
    <w:rsid w:val="00BD6626"/>
    <w:rsid w:val="00BD71DA"/>
    <w:rsid w:val="00BD7538"/>
    <w:rsid w:val="00BD7799"/>
    <w:rsid w:val="00BD7EFB"/>
    <w:rsid w:val="00BE0B78"/>
    <w:rsid w:val="00BE0D4A"/>
    <w:rsid w:val="00BE1021"/>
    <w:rsid w:val="00BE1941"/>
    <w:rsid w:val="00BE233F"/>
    <w:rsid w:val="00BE243F"/>
    <w:rsid w:val="00BE26C8"/>
    <w:rsid w:val="00BE37D7"/>
    <w:rsid w:val="00BE37EF"/>
    <w:rsid w:val="00BE4458"/>
    <w:rsid w:val="00BE5BD6"/>
    <w:rsid w:val="00BE61BA"/>
    <w:rsid w:val="00BE7F4C"/>
    <w:rsid w:val="00BF0761"/>
    <w:rsid w:val="00BF18F1"/>
    <w:rsid w:val="00BF1D5A"/>
    <w:rsid w:val="00BF347D"/>
    <w:rsid w:val="00BF402B"/>
    <w:rsid w:val="00BF4973"/>
    <w:rsid w:val="00BF669F"/>
    <w:rsid w:val="00BF78F9"/>
    <w:rsid w:val="00BF7CA9"/>
    <w:rsid w:val="00BF7CD8"/>
    <w:rsid w:val="00C00510"/>
    <w:rsid w:val="00C0080B"/>
    <w:rsid w:val="00C01426"/>
    <w:rsid w:val="00C017FB"/>
    <w:rsid w:val="00C01FD7"/>
    <w:rsid w:val="00C02C89"/>
    <w:rsid w:val="00C03137"/>
    <w:rsid w:val="00C03729"/>
    <w:rsid w:val="00C03917"/>
    <w:rsid w:val="00C03B5E"/>
    <w:rsid w:val="00C04309"/>
    <w:rsid w:val="00C048D3"/>
    <w:rsid w:val="00C04BCB"/>
    <w:rsid w:val="00C05010"/>
    <w:rsid w:val="00C0646B"/>
    <w:rsid w:val="00C064E6"/>
    <w:rsid w:val="00C068BC"/>
    <w:rsid w:val="00C0773C"/>
    <w:rsid w:val="00C122D0"/>
    <w:rsid w:val="00C12344"/>
    <w:rsid w:val="00C13566"/>
    <w:rsid w:val="00C13569"/>
    <w:rsid w:val="00C1469C"/>
    <w:rsid w:val="00C146D6"/>
    <w:rsid w:val="00C155D7"/>
    <w:rsid w:val="00C15621"/>
    <w:rsid w:val="00C15BCF"/>
    <w:rsid w:val="00C15C22"/>
    <w:rsid w:val="00C1628A"/>
    <w:rsid w:val="00C16323"/>
    <w:rsid w:val="00C16BDC"/>
    <w:rsid w:val="00C16FCA"/>
    <w:rsid w:val="00C1707B"/>
    <w:rsid w:val="00C1765B"/>
    <w:rsid w:val="00C17F5D"/>
    <w:rsid w:val="00C201FC"/>
    <w:rsid w:val="00C20571"/>
    <w:rsid w:val="00C2216E"/>
    <w:rsid w:val="00C225C1"/>
    <w:rsid w:val="00C23D3F"/>
    <w:rsid w:val="00C23EC5"/>
    <w:rsid w:val="00C24768"/>
    <w:rsid w:val="00C24C87"/>
    <w:rsid w:val="00C25861"/>
    <w:rsid w:val="00C2592B"/>
    <w:rsid w:val="00C25BC5"/>
    <w:rsid w:val="00C25D70"/>
    <w:rsid w:val="00C27432"/>
    <w:rsid w:val="00C30D47"/>
    <w:rsid w:val="00C31CEC"/>
    <w:rsid w:val="00C33F6D"/>
    <w:rsid w:val="00C342D3"/>
    <w:rsid w:val="00C3442D"/>
    <w:rsid w:val="00C3524A"/>
    <w:rsid w:val="00C35971"/>
    <w:rsid w:val="00C35E6B"/>
    <w:rsid w:val="00C36431"/>
    <w:rsid w:val="00C36979"/>
    <w:rsid w:val="00C36C7B"/>
    <w:rsid w:val="00C36DE3"/>
    <w:rsid w:val="00C36E0D"/>
    <w:rsid w:val="00C40AB6"/>
    <w:rsid w:val="00C40C43"/>
    <w:rsid w:val="00C40C58"/>
    <w:rsid w:val="00C42FD3"/>
    <w:rsid w:val="00C43724"/>
    <w:rsid w:val="00C44404"/>
    <w:rsid w:val="00C44E1E"/>
    <w:rsid w:val="00C460F1"/>
    <w:rsid w:val="00C46295"/>
    <w:rsid w:val="00C46823"/>
    <w:rsid w:val="00C470B8"/>
    <w:rsid w:val="00C47B3A"/>
    <w:rsid w:val="00C50586"/>
    <w:rsid w:val="00C506AD"/>
    <w:rsid w:val="00C50734"/>
    <w:rsid w:val="00C519CA"/>
    <w:rsid w:val="00C51ECE"/>
    <w:rsid w:val="00C52627"/>
    <w:rsid w:val="00C52B42"/>
    <w:rsid w:val="00C52F04"/>
    <w:rsid w:val="00C532F6"/>
    <w:rsid w:val="00C54266"/>
    <w:rsid w:val="00C54433"/>
    <w:rsid w:val="00C5490A"/>
    <w:rsid w:val="00C5500C"/>
    <w:rsid w:val="00C55233"/>
    <w:rsid w:val="00C55399"/>
    <w:rsid w:val="00C55AF2"/>
    <w:rsid w:val="00C56BC3"/>
    <w:rsid w:val="00C5786B"/>
    <w:rsid w:val="00C605F8"/>
    <w:rsid w:val="00C611EE"/>
    <w:rsid w:val="00C615F3"/>
    <w:rsid w:val="00C61BF8"/>
    <w:rsid w:val="00C627B2"/>
    <w:rsid w:val="00C63086"/>
    <w:rsid w:val="00C632A3"/>
    <w:rsid w:val="00C63D55"/>
    <w:rsid w:val="00C63E3E"/>
    <w:rsid w:val="00C64083"/>
    <w:rsid w:val="00C64458"/>
    <w:rsid w:val="00C65B6D"/>
    <w:rsid w:val="00C65D79"/>
    <w:rsid w:val="00C67056"/>
    <w:rsid w:val="00C67208"/>
    <w:rsid w:val="00C67DB0"/>
    <w:rsid w:val="00C70CBF"/>
    <w:rsid w:val="00C72679"/>
    <w:rsid w:val="00C730A6"/>
    <w:rsid w:val="00C732F0"/>
    <w:rsid w:val="00C736C1"/>
    <w:rsid w:val="00C74D03"/>
    <w:rsid w:val="00C74FB6"/>
    <w:rsid w:val="00C764C7"/>
    <w:rsid w:val="00C8240A"/>
    <w:rsid w:val="00C82AB3"/>
    <w:rsid w:val="00C82B91"/>
    <w:rsid w:val="00C833A5"/>
    <w:rsid w:val="00C83AAF"/>
    <w:rsid w:val="00C85D3E"/>
    <w:rsid w:val="00C90392"/>
    <w:rsid w:val="00C90DDC"/>
    <w:rsid w:val="00C934C4"/>
    <w:rsid w:val="00C93E34"/>
    <w:rsid w:val="00C94A20"/>
    <w:rsid w:val="00C94B58"/>
    <w:rsid w:val="00C9560E"/>
    <w:rsid w:val="00C96E60"/>
    <w:rsid w:val="00C971C4"/>
    <w:rsid w:val="00C979CB"/>
    <w:rsid w:val="00CA0C2F"/>
    <w:rsid w:val="00CA1380"/>
    <w:rsid w:val="00CA182D"/>
    <w:rsid w:val="00CA1A90"/>
    <w:rsid w:val="00CA3997"/>
    <w:rsid w:val="00CA3EA8"/>
    <w:rsid w:val="00CA3ED1"/>
    <w:rsid w:val="00CA54D9"/>
    <w:rsid w:val="00CA597B"/>
    <w:rsid w:val="00CA6DAA"/>
    <w:rsid w:val="00CA7BAE"/>
    <w:rsid w:val="00CA7CA2"/>
    <w:rsid w:val="00CB01C0"/>
    <w:rsid w:val="00CB04ED"/>
    <w:rsid w:val="00CB0688"/>
    <w:rsid w:val="00CB0786"/>
    <w:rsid w:val="00CB0A1F"/>
    <w:rsid w:val="00CB10FE"/>
    <w:rsid w:val="00CB168D"/>
    <w:rsid w:val="00CB325A"/>
    <w:rsid w:val="00CB38D1"/>
    <w:rsid w:val="00CB5669"/>
    <w:rsid w:val="00CB5BCC"/>
    <w:rsid w:val="00CB5CEE"/>
    <w:rsid w:val="00CB7AAA"/>
    <w:rsid w:val="00CC034A"/>
    <w:rsid w:val="00CC0780"/>
    <w:rsid w:val="00CC0AC5"/>
    <w:rsid w:val="00CC0B66"/>
    <w:rsid w:val="00CC1B10"/>
    <w:rsid w:val="00CC1BEA"/>
    <w:rsid w:val="00CC3A8B"/>
    <w:rsid w:val="00CC4061"/>
    <w:rsid w:val="00CC4100"/>
    <w:rsid w:val="00CC55D1"/>
    <w:rsid w:val="00CC5E28"/>
    <w:rsid w:val="00CC6B2B"/>
    <w:rsid w:val="00CC7B21"/>
    <w:rsid w:val="00CC7DDF"/>
    <w:rsid w:val="00CD0A13"/>
    <w:rsid w:val="00CD0E63"/>
    <w:rsid w:val="00CD11AD"/>
    <w:rsid w:val="00CD1D4D"/>
    <w:rsid w:val="00CD27E5"/>
    <w:rsid w:val="00CD315E"/>
    <w:rsid w:val="00CD41F4"/>
    <w:rsid w:val="00CD47FB"/>
    <w:rsid w:val="00CD4A8B"/>
    <w:rsid w:val="00CD5043"/>
    <w:rsid w:val="00CD54E1"/>
    <w:rsid w:val="00CD579F"/>
    <w:rsid w:val="00CD76C2"/>
    <w:rsid w:val="00CD7DBF"/>
    <w:rsid w:val="00CE1532"/>
    <w:rsid w:val="00CE16EF"/>
    <w:rsid w:val="00CE2C39"/>
    <w:rsid w:val="00CE348F"/>
    <w:rsid w:val="00CE3F6C"/>
    <w:rsid w:val="00CE42CD"/>
    <w:rsid w:val="00CE4477"/>
    <w:rsid w:val="00CE4490"/>
    <w:rsid w:val="00CE53FE"/>
    <w:rsid w:val="00CE67A8"/>
    <w:rsid w:val="00CE7103"/>
    <w:rsid w:val="00CF1487"/>
    <w:rsid w:val="00CF1847"/>
    <w:rsid w:val="00CF3288"/>
    <w:rsid w:val="00CF35CB"/>
    <w:rsid w:val="00CF629A"/>
    <w:rsid w:val="00CF688C"/>
    <w:rsid w:val="00D00A87"/>
    <w:rsid w:val="00D010B8"/>
    <w:rsid w:val="00D01982"/>
    <w:rsid w:val="00D04EBE"/>
    <w:rsid w:val="00D063D7"/>
    <w:rsid w:val="00D0676D"/>
    <w:rsid w:val="00D07CCE"/>
    <w:rsid w:val="00D1294D"/>
    <w:rsid w:val="00D12BFC"/>
    <w:rsid w:val="00D12E23"/>
    <w:rsid w:val="00D12F70"/>
    <w:rsid w:val="00D135AF"/>
    <w:rsid w:val="00D13760"/>
    <w:rsid w:val="00D15494"/>
    <w:rsid w:val="00D157B5"/>
    <w:rsid w:val="00D201E0"/>
    <w:rsid w:val="00D20C04"/>
    <w:rsid w:val="00D20F45"/>
    <w:rsid w:val="00D216F0"/>
    <w:rsid w:val="00D22C3C"/>
    <w:rsid w:val="00D22CE3"/>
    <w:rsid w:val="00D23FEE"/>
    <w:rsid w:val="00D25B59"/>
    <w:rsid w:val="00D26136"/>
    <w:rsid w:val="00D2662A"/>
    <w:rsid w:val="00D26730"/>
    <w:rsid w:val="00D26B8D"/>
    <w:rsid w:val="00D271CF"/>
    <w:rsid w:val="00D275CE"/>
    <w:rsid w:val="00D30D2E"/>
    <w:rsid w:val="00D32145"/>
    <w:rsid w:val="00D32B87"/>
    <w:rsid w:val="00D32BDF"/>
    <w:rsid w:val="00D339E5"/>
    <w:rsid w:val="00D34164"/>
    <w:rsid w:val="00D344F6"/>
    <w:rsid w:val="00D34761"/>
    <w:rsid w:val="00D34CA7"/>
    <w:rsid w:val="00D358CE"/>
    <w:rsid w:val="00D373FE"/>
    <w:rsid w:val="00D37BAD"/>
    <w:rsid w:val="00D4063F"/>
    <w:rsid w:val="00D41304"/>
    <w:rsid w:val="00D42155"/>
    <w:rsid w:val="00D42969"/>
    <w:rsid w:val="00D42DE2"/>
    <w:rsid w:val="00D43032"/>
    <w:rsid w:val="00D43925"/>
    <w:rsid w:val="00D4452F"/>
    <w:rsid w:val="00D44977"/>
    <w:rsid w:val="00D45441"/>
    <w:rsid w:val="00D464F5"/>
    <w:rsid w:val="00D4676A"/>
    <w:rsid w:val="00D467D5"/>
    <w:rsid w:val="00D47F18"/>
    <w:rsid w:val="00D50869"/>
    <w:rsid w:val="00D50AFA"/>
    <w:rsid w:val="00D50B50"/>
    <w:rsid w:val="00D51727"/>
    <w:rsid w:val="00D517F7"/>
    <w:rsid w:val="00D51809"/>
    <w:rsid w:val="00D51A31"/>
    <w:rsid w:val="00D537A8"/>
    <w:rsid w:val="00D5418F"/>
    <w:rsid w:val="00D56B3F"/>
    <w:rsid w:val="00D574AD"/>
    <w:rsid w:val="00D57771"/>
    <w:rsid w:val="00D57833"/>
    <w:rsid w:val="00D5796F"/>
    <w:rsid w:val="00D57BF2"/>
    <w:rsid w:val="00D60F28"/>
    <w:rsid w:val="00D612DA"/>
    <w:rsid w:val="00D627EA"/>
    <w:rsid w:val="00D62DB4"/>
    <w:rsid w:val="00D631B0"/>
    <w:rsid w:val="00D632DC"/>
    <w:rsid w:val="00D634C1"/>
    <w:rsid w:val="00D65B5A"/>
    <w:rsid w:val="00D663AC"/>
    <w:rsid w:val="00D70379"/>
    <w:rsid w:val="00D71304"/>
    <w:rsid w:val="00D7159F"/>
    <w:rsid w:val="00D71FD7"/>
    <w:rsid w:val="00D73BA7"/>
    <w:rsid w:val="00D74198"/>
    <w:rsid w:val="00D7490A"/>
    <w:rsid w:val="00D74C8D"/>
    <w:rsid w:val="00D754F8"/>
    <w:rsid w:val="00D75979"/>
    <w:rsid w:val="00D7600E"/>
    <w:rsid w:val="00D76919"/>
    <w:rsid w:val="00D77291"/>
    <w:rsid w:val="00D77B85"/>
    <w:rsid w:val="00D817D9"/>
    <w:rsid w:val="00D81CBD"/>
    <w:rsid w:val="00D838EC"/>
    <w:rsid w:val="00D83BBC"/>
    <w:rsid w:val="00D83FCE"/>
    <w:rsid w:val="00D843F1"/>
    <w:rsid w:val="00D849FD"/>
    <w:rsid w:val="00D84EE9"/>
    <w:rsid w:val="00D86422"/>
    <w:rsid w:val="00D86A07"/>
    <w:rsid w:val="00D86D7C"/>
    <w:rsid w:val="00D872F0"/>
    <w:rsid w:val="00D91A4B"/>
    <w:rsid w:val="00D91BFA"/>
    <w:rsid w:val="00D92106"/>
    <w:rsid w:val="00D92ED4"/>
    <w:rsid w:val="00D93A32"/>
    <w:rsid w:val="00D93D35"/>
    <w:rsid w:val="00D94096"/>
    <w:rsid w:val="00D94DEC"/>
    <w:rsid w:val="00D94E0E"/>
    <w:rsid w:val="00D96FBA"/>
    <w:rsid w:val="00D97DD2"/>
    <w:rsid w:val="00D97EE1"/>
    <w:rsid w:val="00DA1A36"/>
    <w:rsid w:val="00DA1CE9"/>
    <w:rsid w:val="00DA2D37"/>
    <w:rsid w:val="00DA2E17"/>
    <w:rsid w:val="00DA30D0"/>
    <w:rsid w:val="00DA4482"/>
    <w:rsid w:val="00DA50E0"/>
    <w:rsid w:val="00DA768C"/>
    <w:rsid w:val="00DA7D93"/>
    <w:rsid w:val="00DB01C3"/>
    <w:rsid w:val="00DB03F7"/>
    <w:rsid w:val="00DB0D4B"/>
    <w:rsid w:val="00DB116A"/>
    <w:rsid w:val="00DB372C"/>
    <w:rsid w:val="00DB3DB3"/>
    <w:rsid w:val="00DB494B"/>
    <w:rsid w:val="00DB4D80"/>
    <w:rsid w:val="00DB5218"/>
    <w:rsid w:val="00DB5D55"/>
    <w:rsid w:val="00DB5EEC"/>
    <w:rsid w:val="00DB5EFC"/>
    <w:rsid w:val="00DB784F"/>
    <w:rsid w:val="00DB79A4"/>
    <w:rsid w:val="00DC0C36"/>
    <w:rsid w:val="00DC1449"/>
    <w:rsid w:val="00DC1A7E"/>
    <w:rsid w:val="00DC1E42"/>
    <w:rsid w:val="00DC429A"/>
    <w:rsid w:val="00DC504E"/>
    <w:rsid w:val="00DC51DA"/>
    <w:rsid w:val="00DC59DD"/>
    <w:rsid w:val="00DC6722"/>
    <w:rsid w:val="00DC77E4"/>
    <w:rsid w:val="00DC7CC8"/>
    <w:rsid w:val="00DC7EEA"/>
    <w:rsid w:val="00DC7F8C"/>
    <w:rsid w:val="00DD0401"/>
    <w:rsid w:val="00DD0C09"/>
    <w:rsid w:val="00DD0F58"/>
    <w:rsid w:val="00DD17AD"/>
    <w:rsid w:val="00DD1850"/>
    <w:rsid w:val="00DD2240"/>
    <w:rsid w:val="00DD2EFD"/>
    <w:rsid w:val="00DD322E"/>
    <w:rsid w:val="00DD34A2"/>
    <w:rsid w:val="00DD3CF8"/>
    <w:rsid w:val="00DD51AB"/>
    <w:rsid w:val="00DD5A9A"/>
    <w:rsid w:val="00DD617E"/>
    <w:rsid w:val="00DE14B7"/>
    <w:rsid w:val="00DE1CBE"/>
    <w:rsid w:val="00DE3566"/>
    <w:rsid w:val="00DE38C2"/>
    <w:rsid w:val="00DE47EE"/>
    <w:rsid w:val="00DE5970"/>
    <w:rsid w:val="00DE5B0C"/>
    <w:rsid w:val="00DE7E84"/>
    <w:rsid w:val="00DF0415"/>
    <w:rsid w:val="00DF12FB"/>
    <w:rsid w:val="00DF1564"/>
    <w:rsid w:val="00DF2CCB"/>
    <w:rsid w:val="00DF3816"/>
    <w:rsid w:val="00DF3986"/>
    <w:rsid w:val="00DF3AD2"/>
    <w:rsid w:val="00DF42B7"/>
    <w:rsid w:val="00DF478E"/>
    <w:rsid w:val="00DF56EA"/>
    <w:rsid w:val="00DF60FF"/>
    <w:rsid w:val="00DF61F5"/>
    <w:rsid w:val="00DF7497"/>
    <w:rsid w:val="00E002A5"/>
    <w:rsid w:val="00E0312A"/>
    <w:rsid w:val="00E04BC5"/>
    <w:rsid w:val="00E04C2A"/>
    <w:rsid w:val="00E069CE"/>
    <w:rsid w:val="00E079DC"/>
    <w:rsid w:val="00E07FB6"/>
    <w:rsid w:val="00E101C4"/>
    <w:rsid w:val="00E10420"/>
    <w:rsid w:val="00E134D3"/>
    <w:rsid w:val="00E136FD"/>
    <w:rsid w:val="00E1583C"/>
    <w:rsid w:val="00E15BC5"/>
    <w:rsid w:val="00E15CDB"/>
    <w:rsid w:val="00E16439"/>
    <w:rsid w:val="00E16589"/>
    <w:rsid w:val="00E17FE1"/>
    <w:rsid w:val="00E201C7"/>
    <w:rsid w:val="00E201E3"/>
    <w:rsid w:val="00E20E0F"/>
    <w:rsid w:val="00E23622"/>
    <w:rsid w:val="00E238AC"/>
    <w:rsid w:val="00E23F0D"/>
    <w:rsid w:val="00E25CA4"/>
    <w:rsid w:val="00E2713F"/>
    <w:rsid w:val="00E276D5"/>
    <w:rsid w:val="00E278C2"/>
    <w:rsid w:val="00E31B33"/>
    <w:rsid w:val="00E31FBB"/>
    <w:rsid w:val="00E32EEE"/>
    <w:rsid w:val="00E333AF"/>
    <w:rsid w:val="00E33B5B"/>
    <w:rsid w:val="00E3434F"/>
    <w:rsid w:val="00E35244"/>
    <w:rsid w:val="00E35314"/>
    <w:rsid w:val="00E35E0E"/>
    <w:rsid w:val="00E3603B"/>
    <w:rsid w:val="00E37C4C"/>
    <w:rsid w:val="00E37FEF"/>
    <w:rsid w:val="00E416FE"/>
    <w:rsid w:val="00E41E5A"/>
    <w:rsid w:val="00E43071"/>
    <w:rsid w:val="00E434E4"/>
    <w:rsid w:val="00E43741"/>
    <w:rsid w:val="00E45BED"/>
    <w:rsid w:val="00E46037"/>
    <w:rsid w:val="00E463F9"/>
    <w:rsid w:val="00E46748"/>
    <w:rsid w:val="00E47F27"/>
    <w:rsid w:val="00E51039"/>
    <w:rsid w:val="00E53C13"/>
    <w:rsid w:val="00E5457F"/>
    <w:rsid w:val="00E55A69"/>
    <w:rsid w:val="00E55E97"/>
    <w:rsid w:val="00E560B1"/>
    <w:rsid w:val="00E5731A"/>
    <w:rsid w:val="00E57A8A"/>
    <w:rsid w:val="00E57A9E"/>
    <w:rsid w:val="00E60287"/>
    <w:rsid w:val="00E629C8"/>
    <w:rsid w:val="00E63DBF"/>
    <w:rsid w:val="00E66BD7"/>
    <w:rsid w:val="00E66DD5"/>
    <w:rsid w:val="00E679A3"/>
    <w:rsid w:val="00E7105F"/>
    <w:rsid w:val="00E710EB"/>
    <w:rsid w:val="00E719EB"/>
    <w:rsid w:val="00E72481"/>
    <w:rsid w:val="00E7258E"/>
    <w:rsid w:val="00E72923"/>
    <w:rsid w:val="00E72F36"/>
    <w:rsid w:val="00E732DB"/>
    <w:rsid w:val="00E73E6C"/>
    <w:rsid w:val="00E74B34"/>
    <w:rsid w:val="00E74F4D"/>
    <w:rsid w:val="00E762F8"/>
    <w:rsid w:val="00E76692"/>
    <w:rsid w:val="00E81355"/>
    <w:rsid w:val="00E81C62"/>
    <w:rsid w:val="00E83EC0"/>
    <w:rsid w:val="00E84781"/>
    <w:rsid w:val="00E84B02"/>
    <w:rsid w:val="00E85A6E"/>
    <w:rsid w:val="00E901FE"/>
    <w:rsid w:val="00E9188F"/>
    <w:rsid w:val="00E91AB9"/>
    <w:rsid w:val="00E92EE0"/>
    <w:rsid w:val="00E936DC"/>
    <w:rsid w:val="00EA0BAE"/>
    <w:rsid w:val="00EA2B1E"/>
    <w:rsid w:val="00EA2DE3"/>
    <w:rsid w:val="00EA4027"/>
    <w:rsid w:val="00EA654E"/>
    <w:rsid w:val="00EA6E7C"/>
    <w:rsid w:val="00EA746B"/>
    <w:rsid w:val="00EA76F0"/>
    <w:rsid w:val="00EB176E"/>
    <w:rsid w:val="00EB2517"/>
    <w:rsid w:val="00EB27CA"/>
    <w:rsid w:val="00EB2829"/>
    <w:rsid w:val="00EB2942"/>
    <w:rsid w:val="00EB2CBE"/>
    <w:rsid w:val="00EB39B6"/>
    <w:rsid w:val="00EB39DF"/>
    <w:rsid w:val="00EB3FDE"/>
    <w:rsid w:val="00EB48BB"/>
    <w:rsid w:val="00EB7A6A"/>
    <w:rsid w:val="00EC015C"/>
    <w:rsid w:val="00EC08AA"/>
    <w:rsid w:val="00EC0B87"/>
    <w:rsid w:val="00EC2508"/>
    <w:rsid w:val="00EC2606"/>
    <w:rsid w:val="00EC2AD6"/>
    <w:rsid w:val="00EC2E6D"/>
    <w:rsid w:val="00EC31C8"/>
    <w:rsid w:val="00EC43CA"/>
    <w:rsid w:val="00EC4B58"/>
    <w:rsid w:val="00EC5556"/>
    <w:rsid w:val="00ED0833"/>
    <w:rsid w:val="00ED1877"/>
    <w:rsid w:val="00ED3261"/>
    <w:rsid w:val="00ED3CC7"/>
    <w:rsid w:val="00ED3EA8"/>
    <w:rsid w:val="00ED4C18"/>
    <w:rsid w:val="00ED52E2"/>
    <w:rsid w:val="00ED5371"/>
    <w:rsid w:val="00ED5DB5"/>
    <w:rsid w:val="00ED67C8"/>
    <w:rsid w:val="00ED6CB5"/>
    <w:rsid w:val="00ED7FC6"/>
    <w:rsid w:val="00EE09FB"/>
    <w:rsid w:val="00EE12B3"/>
    <w:rsid w:val="00EE15CD"/>
    <w:rsid w:val="00EE1EC1"/>
    <w:rsid w:val="00EE2344"/>
    <w:rsid w:val="00EE2802"/>
    <w:rsid w:val="00EE2D33"/>
    <w:rsid w:val="00EE3919"/>
    <w:rsid w:val="00EE3D55"/>
    <w:rsid w:val="00EE4262"/>
    <w:rsid w:val="00EE4762"/>
    <w:rsid w:val="00EE49AE"/>
    <w:rsid w:val="00EE5264"/>
    <w:rsid w:val="00EE558E"/>
    <w:rsid w:val="00EE590A"/>
    <w:rsid w:val="00EE63AC"/>
    <w:rsid w:val="00EE7A3E"/>
    <w:rsid w:val="00EF1F51"/>
    <w:rsid w:val="00EF213E"/>
    <w:rsid w:val="00EF2220"/>
    <w:rsid w:val="00EF3113"/>
    <w:rsid w:val="00EF3846"/>
    <w:rsid w:val="00EF4FFF"/>
    <w:rsid w:val="00EF60A8"/>
    <w:rsid w:val="00EF60C5"/>
    <w:rsid w:val="00EF6291"/>
    <w:rsid w:val="00EF6394"/>
    <w:rsid w:val="00EF792B"/>
    <w:rsid w:val="00F00E89"/>
    <w:rsid w:val="00F01866"/>
    <w:rsid w:val="00F02C58"/>
    <w:rsid w:val="00F056C9"/>
    <w:rsid w:val="00F056E9"/>
    <w:rsid w:val="00F076AB"/>
    <w:rsid w:val="00F107B6"/>
    <w:rsid w:val="00F11D58"/>
    <w:rsid w:val="00F13F26"/>
    <w:rsid w:val="00F144B5"/>
    <w:rsid w:val="00F14869"/>
    <w:rsid w:val="00F14B6D"/>
    <w:rsid w:val="00F15FC4"/>
    <w:rsid w:val="00F166D0"/>
    <w:rsid w:val="00F167EB"/>
    <w:rsid w:val="00F17A1E"/>
    <w:rsid w:val="00F20B0A"/>
    <w:rsid w:val="00F21517"/>
    <w:rsid w:val="00F219A9"/>
    <w:rsid w:val="00F22008"/>
    <w:rsid w:val="00F221E8"/>
    <w:rsid w:val="00F23297"/>
    <w:rsid w:val="00F2678C"/>
    <w:rsid w:val="00F271F0"/>
    <w:rsid w:val="00F3022D"/>
    <w:rsid w:val="00F3026C"/>
    <w:rsid w:val="00F3028E"/>
    <w:rsid w:val="00F303E9"/>
    <w:rsid w:val="00F3046D"/>
    <w:rsid w:val="00F30946"/>
    <w:rsid w:val="00F33E5A"/>
    <w:rsid w:val="00F35150"/>
    <w:rsid w:val="00F35D09"/>
    <w:rsid w:val="00F365E8"/>
    <w:rsid w:val="00F36A3E"/>
    <w:rsid w:val="00F40974"/>
    <w:rsid w:val="00F4129B"/>
    <w:rsid w:val="00F42DD6"/>
    <w:rsid w:val="00F4333E"/>
    <w:rsid w:val="00F43BB0"/>
    <w:rsid w:val="00F445A7"/>
    <w:rsid w:val="00F445BB"/>
    <w:rsid w:val="00F450FC"/>
    <w:rsid w:val="00F4641A"/>
    <w:rsid w:val="00F530CD"/>
    <w:rsid w:val="00F53197"/>
    <w:rsid w:val="00F53528"/>
    <w:rsid w:val="00F53F4F"/>
    <w:rsid w:val="00F542B2"/>
    <w:rsid w:val="00F542FA"/>
    <w:rsid w:val="00F54A0F"/>
    <w:rsid w:val="00F557EC"/>
    <w:rsid w:val="00F61D9C"/>
    <w:rsid w:val="00F623FB"/>
    <w:rsid w:val="00F63649"/>
    <w:rsid w:val="00F638B4"/>
    <w:rsid w:val="00F6429B"/>
    <w:rsid w:val="00F6454B"/>
    <w:rsid w:val="00F65803"/>
    <w:rsid w:val="00F65A44"/>
    <w:rsid w:val="00F65C5C"/>
    <w:rsid w:val="00F6659F"/>
    <w:rsid w:val="00F679AA"/>
    <w:rsid w:val="00F71C42"/>
    <w:rsid w:val="00F727F3"/>
    <w:rsid w:val="00F74256"/>
    <w:rsid w:val="00F74EDF"/>
    <w:rsid w:val="00F75065"/>
    <w:rsid w:val="00F7647A"/>
    <w:rsid w:val="00F76D8F"/>
    <w:rsid w:val="00F76E75"/>
    <w:rsid w:val="00F77435"/>
    <w:rsid w:val="00F80349"/>
    <w:rsid w:val="00F81C3C"/>
    <w:rsid w:val="00F81F98"/>
    <w:rsid w:val="00F85B5C"/>
    <w:rsid w:val="00F866A9"/>
    <w:rsid w:val="00F9016E"/>
    <w:rsid w:val="00F903CC"/>
    <w:rsid w:val="00F907EA"/>
    <w:rsid w:val="00F90CDA"/>
    <w:rsid w:val="00F90E66"/>
    <w:rsid w:val="00F91719"/>
    <w:rsid w:val="00F929D5"/>
    <w:rsid w:val="00F92C34"/>
    <w:rsid w:val="00F93D60"/>
    <w:rsid w:val="00F93D91"/>
    <w:rsid w:val="00F93E5E"/>
    <w:rsid w:val="00F93FDA"/>
    <w:rsid w:val="00F95267"/>
    <w:rsid w:val="00F953F7"/>
    <w:rsid w:val="00FA095B"/>
    <w:rsid w:val="00FA0BA0"/>
    <w:rsid w:val="00FA2B58"/>
    <w:rsid w:val="00FA2D07"/>
    <w:rsid w:val="00FA2DB5"/>
    <w:rsid w:val="00FA352E"/>
    <w:rsid w:val="00FA3D1F"/>
    <w:rsid w:val="00FA5CE5"/>
    <w:rsid w:val="00FA7930"/>
    <w:rsid w:val="00FB0EF8"/>
    <w:rsid w:val="00FB1340"/>
    <w:rsid w:val="00FB14CE"/>
    <w:rsid w:val="00FB33EE"/>
    <w:rsid w:val="00FB48A8"/>
    <w:rsid w:val="00FB55F8"/>
    <w:rsid w:val="00FB5739"/>
    <w:rsid w:val="00FC0A6D"/>
    <w:rsid w:val="00FC0D24"/>
    <w:rsid w:val="00FC15BB"/>
    <w:rsid w:val="00FC1ADF"/>
    <w:rsid w:val="00FC2CA0"/>
    <w:rsid w:val="00FC33E5"/>
    <w:rsid w:val="00FC3A86"/>
    <w:rsid w:val="00FC3B1D"/>
    <w:rsid w:val="00FC558B"/>
    <w:rsid w:val="00FC6163"/>
    <w:rsid w:val="00FC64AD"/>
    <w:rsid w:val="00FC6682"/>
    <w:rsid w:val="00FC6ECD"/>
    <w:rsid w:val="00FC6FFC"/>
    <w:rsid w:val="00FC7165"/>
    <w:rsid w:val="00FC7A06"/>
    <w:rsid w:val="00FD0F1B"/>
    <w:rsid w:val="00FD0FDC"/>
    <w:rsid w:val="00FD182C"/>
    <w:rsid w:val="00FD1CEB"/>
    <w:rsid w:val="00FD1E13"/>
    <w:rsid w:val="00FD2417"/>
    <w:rsid w:val="00FD27E9"/>
    <w:rsid w:val="00FD36DA"/>
    <w:rsid w:val="00FD374F"/>
    <w:rsid w:val="00FD40CE"/>
    <w:rsid w:val="00FD41AF"/>
    <w:rsid w:val="00FD4DB4"/>
    <w:rsid w:val="00FD53E7"/>
    <w:rsid w:val="00FD58F7"/>
    <w:rsid w:val="00FD5FF6"/>
    <w:rsid w:val="00FD67C9"/>
    <w:rsid w:val="00FD7F86"/>
    <w:rsid w:val="00FE22B6"/>
    <w:rsid w:val="00FE27A0"/>
    <w:rsid w:val="00FE3696"/>
    <w:rsid w:val="00FE36C0"/>
    <w:rsid w:val="00FE5291"/>
    <w:rsid w:val="00FE52C4"/>
    <w:rsid w:val="00FE5AD9"/>
    <w:rsid w:val="00FE6052"/>
    <w:rsid w:val="00FE6425"/>
    <w:rsid w:val="00FE6F54"/>
    <w:rsid w:val="00FF0696"/>
    <w:rsid w:val="00FF070A"/>
    <w:rsid w:val="00FF080F"/>
    <w:rsid w:val="00FF15E1"/>
    <w:rsid w:val="00FF33FD"/>
    <w:rsid w:val="00FF3644"/>
    <w:rsid w:val="00FF3CBD"/>
    <w:rsid w:val="00FF48BB"/>
    <w:rsid w:val="00FF5010"/>
    <w:rsid w:val="00FF505B"/>
    <w:rsid w:val="00FF5226"/>
    <w:rsid w:val="00FF59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BA59"/>
  <w15:docId w15:val="{8F791C12-6A68-406B-86A0-A7D22C0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6A2"/>
    <w:pPr>
      <w:spacing w:after="0" w:line="240" w:lineRule="auto"/>
    </w:pPr>
    <w:rPr>
      <w:rFonts w:asciiTheme="majorBidi" w:hAnsiTheme="majorBidi"/>
      <w:sz w:val="24"/>
      <w:szCs w:val="24"/>
    </w:rPr>
  </w:style>
  <w:style w:type="paragraph" w:styleId="1">
    <w:name w:val="heading 1"/>
    <w:aliases w:val=" תו"/>
    <w:basedOn w:val="a"/>
    <w:link w:val="10"/>
    <w:qFormat/>
    <w:rsid w:val="006A415B"/>
    <w:pPr>
      <w:numPr>
        <w:numId w:val="1"/>
      </w:numPr>
      <w:bidi/>
      <w:spacing w:line="360" w:lineRule="auto"/>
      <w:ind w:right="340"/>
      <w:jc w:val="both"/>
      <w:outlineLvl w:val="0"/>
    </w:pPr>
    <w:rPr>
      <w:rFonts w:ascii="Times New Roman" w:eastAsia="Times New Roman" w:hAnsi="Times New Roman" w:cs="David"/>
      <w:kern w:val="28"/>
      <w:lang w:eastAsia="he-IL"/>
    </w:rPr>
  </w:style>
  <w:style w:type="paragraph" w:styleId="2">
    <w:name w:val="heading 2"/>
    <w:basedOn w:val="1"/>
    <w:link w:val="20"/>
    <w:qFormat/>
    <w:rsid w:val="006A415B"/>
    <w:pPr>
      <w:numPr>
        <w:ilvl w:val="1"/>
      </w:numPr>
      <w:tabs>
        <w:tab w:val="num" w:pos="360"/>
      </w:tabs>
      <w:ind w:right="680"/>
      <w:outlineLvl w:val="1"/>
    </w:pPr>
  </w:style>
  <w:style w:type="paragraph" w:styleId="3">
    <w:name w:val="heading 3"/>
    <w:basedOn w:val="2"/>
    <w:link w:val="30"/>
    <w:qFormat/>
    <w:rsid w:val="006A415B"/>
    <w:pPr>
      <w:keepNext/>
      <w:numPr>
        <w:ilvl w:val="2"/>
      </w:numPr>
      <w:tabs>
        <w:tab w:val="num" w:pos="360"/>
      </w:tabs>
      <w:ind w:right="1020"/>
      <w:outlineLvl w:val="2"/>
    </w:pPr>
  </w:style>
  <w:style w:type="paragraph" w:styleId="4">
    <w:name w:val="heading 4"/>
    <w:basedOn w:val="3"/>
    <w:link w:val="40"/>
    <w:qFormat/>
    <w:rsid w:val="006A415B"/>
    <w:pPr>
      <w:keepNext w:val="0"/>
      <w:numPr>
        <w:ilvl w:val="3"/>
      </w:numPr>
      <w:tabs>
        <w:tab w:val="num" w:pos="360"/>
      </w:tabs>
      <w:ind w:right="1360"/>
      <w:outlineLvl w:val="3"/>
    </w:pPr>
  </w:style>
  <w:style w:type="paragraph" w:styleId="5">
    <w:name w:val="heading 5"/>
    <w:basedOn w:val="4"/>
    <w:link w:val="50"/>
    <w:qFormat/>
    <w:rsid w:val="006A415B"/>
    <w:pPr>
      <w:numPr>
        <w:ilvl w:val="4"/>
      </w:numPr>
      <w:tabs>
        <w:tab w:val="num" w:pos="360"/>
      </w:tabs>
      <w:ind w:right="2068"/>
      <w:outlineLvl w:val="4"/>
    </w:pPr>
  </w:style>
  <w:style w:type="paragraph" w:styleId="6">
    <w:name w:val="heading 6"/>
    <w:basedOn w:val="a"/>
    <w:next w:val="a"/>
    <w:link w:val="60"/>
    <w:qFormat/>
    <w:rsid w:val="006A415B"/>
    <w:pPr>
      <w:numPr>
        <w:ilvl w:val="5"/>
        <w:numId w:val="1"/>
      </w:numPr>
      <w:bidi/>
      <w:spacing w:before="240" w:after="60" w:line="360" w:lineRule="auto"/>
      <w:ind w:right="2776"/>
      <w:jc w:val="both"/>
      <w:outlineLvl w:val="5"/>
    </w:pPr>
    <w:rPr>
      <w:rFonts w:ascii="Arial" w:eastAsia="Times New Roman" w:hAnsi="Arial" w:cs="Arial"/>
      <w:i/>
      <w:iCs/>
      <w:szCs w:val="22"/>
      <w:lang w:eastAsia="he-IL"/>
    </w:rPr>
  </w:style>
  <w:style w:type="paragraph" w:styleId="7">
    <w:name w:val="heading 7"/>
    <w:basedOn w:val="a"/>
    <w:next w:val="a"/>
    <w:link w:val="70"/>
    <w:qFormat/>
    <w:rsid w:val="006A415B"/>
    <w:pPr>
      <w:numPr>
        <w:ilvl w:val="6"/>
        <w:numId w:val="1"/>
      </w:numPr>
      <w:bidi/>
      <w:spacing w:before="240" w:after="60" w:line="360" w:lineRule="auto"/>
      <w:ind w:right="3484"/>
      <w:jc w:val="both"/>
      <w:outlineLvl w:val="6"/>
    </w:pPr>
    <w:rPr>
      <w:rFonts w:ascii="Arial" w:eastAsia="Times New Roman" w:hAnsi="Arial" w:cs="Arial"/>
      <w:sz w:val="20"/>
      <w:szCs w:val="20"/>
      <w:lang w:eastAsia="he-IL"/>
    </w:rPr>
  </w:style>
  <w:style w:type="paragraph" w:styleId="8">
    <w:name w:val="heading 8"/>
    <w:basedOn w:val="a"/>
    <w:next w:val="a"/>
    <w:link w:val="80"/>
    <w:qFormat/>
    <w:rsid w:val="006A415B"/>
    <w:pPr>
      <w:numPr>
        <w:ilvl w:val="7"/>
        <w:numId w:val="1"/>
      </w:numPr>
      <w:bidi/>
      <w:spacing w:before="240" w:after="60" w:line="360" w:lineRule="auto"/>
      <w:ind w:right="4192"/>
      <w:jc w:val="both"/>
      <w:outlineLvl w:val="7"/>
    </w:pPr>
    <w:rPr>
      <w:rFonts w:ascii="Arial" w:eastAsia="Times New Roman" w:hAnsi="Arial" w:cs="Arial"/>
      <w:i/>
      <w:iCs/>
      <w:sz w:val="20"/>
      <w:szCs w:val="20"/>
      <w:lang w:eastAsia="he-IL"/>
    </w:rPr>
  </w:style>
  <w:style w:type="paragraph" w:styleId="9">
    <w:name w:val="heading 9"/>
    <w:basedOn w:val="a"/>
    <w:next w:val="a"/>
    <w:link w:val="90"/>
    <w:qFormat/>
    <w:rsid w:val="006A415B"/>
    <w:pPr>
      <w:numPr>
        <w:ilvl w:val="8"/>
        <w:numId w:val="1"/>
      </w:numPr>
      <w:bidi/>
      <w:spacing w:before="240" w:after="60" w:line="360" w:lineRule="auto"/>
      <w:ind w:right="4900"/>
      <w:jc w:val="both"/>
      <w:outlineLvl w:val="8"/>
    </w:pPr>
    <w:rPr>
      <w:rFonts w:ascii="Arial" w:eastAsia="Times New Roman" w:hAnsi="Arial" w:cs="Arial"/>
      <w:i/>
      <w:iCs/>
      <w:sz w:val="18"/>
      <w:szCs w:val="1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2DEE"/>
    <w:rPr>
      <w:rFonts w:ascii="Tahoma" w:hAnsi="Tahoma" w:cs="Tahoma"/>
      <w:sz w:val="16"/>
      <w:szCs w:val="16"/>
    </w:rPr>
  </w:style>
  <w:style w:type="character" w:customStyle="1" w:styleId="a4">
    <w:name w:val="טקסט בלונים תו"/>
    <w:basedOn w:val="a0"/>
    <w:link w:val="a3"/>
    <w:uiPriority w:val="99"/>
    <w:semiHidden/>
    <w:rsid w:val="003A2DEE"/>
    <w:rPr>
      <w:rFonts w:ascii="Tahoma" w:hAnsi="Tahoma" w:cs="Tahoma"/>
      <w:sz w:val="16"/>
      <w:szCs w:val="16"/>
    </w:rPr>
  </w:style>
  <w:style w:type="character" w:styleId="a5">
    <w:name w:val="annotation reference"/>
    <w:basedOn w:val="a0"/>
    <w:uiPriority w:val="99"/>
    <w:semiHidden/>
    <w:unhideWhenUsed/>
    <w:rsid w:val="009021F6"/>
    <w:rPr>
      <w:sz w:val="16"/>
      <w:szCs w:val="16"/>
    </w:rPr>
  </w:style>
  <w:style w:type="paragraph" w:styleId="a6">
    <w:name w:val="annotation text"/>
    <w:basedOn w:val="a"/>
    <w:link w:val="a7"/>
    <w:uiPriority w:val="99"/>
    <w:semiHidden/>
    <w:unhideWhenUsed/>
    <w:rsid w:val="009021F6"/>
    <w:rPr>
      <w:sz w:val="20"/>
      <w:szCs w:val="20"/>
    </w:rPr>
  </w:style>
  <w:style w:type="character" w:customStyle="1" w:styleId="a7">
    <w:name w:val="טקסט הערה תו"/>
    <w:basedOn w:val="a0"/>
    <w:link w:val="a6"/>
    <w:uiPriority w:val="99"/>
    <w:semiHidden/>
    <w:rsid w:val="009021F6"/>
    <w:rPr>
      <w:rFonts w:asciiTheme="majorBidi" w:hAnsiTheme="majorBidi"/>
      <w:sz w:val="20"/>
      <w:szCs w:val="20"/>
    </w:rPr>
  </w:style>
  <w:style w:type="paragraph" w:styleId="a8">
    <w:name w:val="annotation subject"/>
    <w:basedOn w:val="a6"/>
    <w:next w:val="a6"/>
    <w:link w:val="a9"/>
    <w:uiPriority w:val="99"/>
    <w:semiHidden/>
    <w:unhideWhenUsed/>
    <w:rsid w:val="009021F6"/>
    <w:rPr>
      <w:b/>
      <w:bCs/>
    </w:rPr>
  </w:style>
  <w:style w:type="character" w:customStyle="1" w:styleId="a9">
    <w:name w:val="נושא הערה תו"/>
    <w:basedOn w:val="a7"/>
    <w:link w:val="a8"/>
    <w:uiPriority w:val="99"/>
    <w:semiHidden/>
    <w:rsid w:val="009021F6"/>
    <w:rPr>
      <w:rFonts w:asciiTheme="majorBidi" w:hAnsiTheme="majorBidi"/>
      <w:b/>
      <w:bCs/>
      <w:sz w:val="20"/>
      <w:szCs w:val="20"/>
    </w:rPr>
  </w:style>
  <w:style w:type="character" w:customStyle="1" w:styleId="10">
    <w:name w:val="כותרת 1 תו"/>
    <w:aliases w:val=" תו תו"/>
    <w:basedOn w:val="a0"/>
    <w:link w:val="1"/>
    <w:rsid w:val="006A415B"/>
    <w:rPr>
      <w:rFonts w:ascii="Times New Roman" w:eastAsia="Times New Roman" w:hAnsi="Times New Roman" w:cs="David"/>
      <w:kern w:val="28"/>
      <w:sz w:val="24"/>
      <w:szCs w:val="24"/>
      <w:lang w:eastAsia="he-IL"/>
    </w:rPr>
  </w:style>
  <w:style w:type="character" w:customStyle="1" w:styleId="20">
    <w:name w:val="כותרת 2 תו"/>
    <w:basedOn w:val="a0"/>
    <w:link w:val="2"/>
    <w:rsid w:val="006A415B"/>
    <w:rPr>
      <w:rFonts w:ascii="Times New Roman" w:eastAsia="Times New Roman" w:hAnsi="Times New Roman" w:cs="David"/>
      <w:kern w:val="28"/>
      <w:sz w:val="24"/>
      <w:szCs w:val="24"/>
      <w:lang w:eastAsia="he-IL"/>
    </w:rPr>
  </w:style>
  <w:style w:type="character" w:customStyle="1" w:styleId="30">
    <w:name w:val="כותרת 3 תו"/>
    <w:basedOn w:val="a0"/>
    <w:link w:val="3"/>
    <w:rsid w:val="006A415B"/>
    <w:rPr>
      <w:rFonts w:ascii="Times New Roman" w:eastAsia="Times New Roman" w:hAnsi="Times New Roman" w:cs="David"/>
      <w:kern w:val="28"/>
      <w:sz w:val="24"/>
      <w:szCs w:val="24"/>
      <w:lang w:eastAsia="he-IL"/>
    </w:rPr>
  </w:style>
  <w:style w:type="character" w:customStyle="1" w:styleId="40">
    <w:name w:val="כותרת 4 תו"/>
    <w:basedOn w:val="a0"/>
    <w:link w:val="4"/>
    <w:rsid w:val="006A415B"/>
    <w:rPr>
      <w:rFonts w:ascii="Times New Roman" w:eastAsia="Times New Roman" w:hAnsi="Times New Roman" w:cs="David"/>
      <w:kern w:val="28"/>
      <w:sz w:val="24"/>
      <w:szCs w:val="24"/>
      <w:lang w:eastAsia="he-IL"/>
    </w:rPr>
  </w:style>
  <w:style w:type="character" w:customStyle="1" w:styleId="50">
    <w:name w:val="כותרת 5 תו"/>
    <w:basedOn w:val="a0"/>
    <w:link w:val="5"/>
    <w:rsid w:val="006A415B"/>
    <w:rPr>
      <w:rFonts w:ascii="Times New Roman" w:eastAsia="Times New Roman" w:hAnsi="Times New Roman" w:cs="David"/>
      <w:kern w:val="28"/>
      <w:sz w:val="24"/>
      <w:szCs w:val="24"/>
      <w:lang w:eastAsia="he-IL"/>
    </w:rPr>
  </w:style>
  <w:style w:type="character" w:customStyle="1" w:styleId="60">
    <w:name w:val="כותרת 6 תו"/>
    <w:basedOn w:val="a0"/>
    <w:link w:val="6"/>
    <w:rsid w:val="006A415B"/>
    <w:rPr>
      <w:rFonts w:ascii="Arial" w:eastAsia="Times New Roman" w:hAnsi="Arial" w:cs="Arial"/>
      <w:i/>
      <w:iCs/>
      <w:sz w:val="24"/>
      <w:lang w:eastAsia="he-IL"/>
    </w:rPr>
  </w:style>
  <w:style w:type="character" w:customStyle="1" w:styleId="70">
    <w:name w:val="כותרת 7 תו"/>
    <w:basedOn w:val="a0"/>
    <w:link w:val="7"/>
    <w:rsid w:val="006A415B"/>
    <w:rPr>
      <w:rFonts w:ascii="Arial" w:eastAsia="Times New Roman" w:hAnsi="Arial" w:cs="Arial"/>
      <w:sz w:val="20"/>
      <w:szCs w:val="20"/>
      <w:lang w:eastAsia="he-IL"/>
    </w:rPr>
  </w:style>
  <w:style w:type="character" w:customStyle="1" w:styleId="80">
    <w:name w:val="כותרת 8 תו"/>
    <w:basedOn w:val="a0"/>
    <w:link w:val="8"/>
    <w:rsid w:val="006A415B"/>
    <w:rPr>
      <w:rFonts w:ascii="Arial" w:eastAsia="Times New Roman" w:hAnsi="Arial" w:cs="Arial"/>
      <w:i/>
      <w:iCs/>
      <w:sz w:val="20"/>
      <w:szCs w:val="20"/>
      <w:lang w:eastAsia="he-IL"/>
    </w:rPr>
  </w:style>
  <w:style w:type="character" w:customStyle="1" w:styleId="90">
    <w:name w:val="כותרת 9 תו"/>
    <w:basedOn w:val="a0"/>
    <w:link w:val="9"/>
    <w:rsid w:val="006A415B"/>
    <w:rPr>
      <w:rFonts w:ascii="Arial" w:eastAsia="Times New Roman" w:hAnsi="Arial" w:cs="Arial"/>
      <w:i/>
      <w:iCs/>
      <w:sz w:val="18"/>
      <w:szCs w:val="18"/>
      <w:lang w:eastAsia="he-IL"/>
    </w:rPr>
  </w:style>
  <w:style w:type="paragraph" w:styleId="aa">
    <w:name w:val="header"/>
    <w:basedOn w:val="a"/>
    <w:link w:val="ab"/>
    <w:rsid w:val="006A415B"/>
    <w:pPr>
      <w:tabs>
        <w:tab w:val="center" w:pos="4153"/>
        <w:tab w:val="right" w:pos="8306"/>
      </w:tabs>
      <w:bidi/>
      <w:spacing w:line="360" w:lineRule="auto"/>
      <w:jc w:val="both"/>
    </w:pPr>
    <w:rPr>
      <w:rFonts w:ascii="Times New Roman" w:eastAsia="Times New Roman" w:hAnsi="Times New Roman" w:cs="David"/>
      <w:lang w:eastAsia="he-IL"/>
    </w:rPr>
  </w:style>
  <w:style w:type="character" w:customStyle="1" w:styleId="ab">
    <w:name w:val="כותרת עליונה תו"/>
    <w:basedOn w:val="a0"/>
    <w:link w:val="aa"/>
    <w:rsid w:val="006A415B"/>
    <w:rPr>
      <w:rFonts w:ascii="Times New Roman" w:eastAsia="Times New Roman" w:hAnsi="Times New Roman" w:cs="David"/>
      <w:sz w:val="24"/>
      <w:szCs w:val="24"/>
      <w:lang w:eastAsia="he-IL"/>
    </w:rPr>
  </w:style>
  <w:style w:type="paragraph" w:styleId="ac">
    <w:name w:val="List Paragraph"/>
    <w:basedOn w:val="a"/>
    <w:uiPriority w:val="34"/>
    <w:qFormat/>
    <w:rsid w:val="006A415B"/>
    <w:pPr>
      <w:bidi/>
      <w:spacing w:line="360" w:lineRule="auto"/>
      <w:ind w:left="720"/>
      <w:contextualSpacing/>
      <w:jc w:val="both"/>
    </w:pPr>
    <w:rPr>
      <w:rFonts w:ascii="Times New Roman" w:eastAsia="Times New Roman" w:hAnsi="Times New Roman" w:cs="David"/>
      <w:lang w:eastAsia="he-IL"/>
    </w:rPr>
  </w:style>
  <w:style w:type="paragraph" w:styleId="ad">
    <w:name w:val="footer"/>
    <w:basedOn w:val="a"/>
    <w:link w:val="ae"/>
    <w:uiPriority w:val="99"/>
    <w:unhideWhenUsed/>
    <w:rsid w:val="006A415B"/>
    <w:pPr>
      <w:tabs>
        <w:tab w:val="center" w:pos="4320"/>
        <w:tab w:val="right" w:pos="8640"/>
      </w:tabs>
    </w:pPr>
  </w:style>
  <w:style w:type="character" w:customStyle="1" w:styleId="ae">
    <w:name w:val="כותרת תחתונה תו"/>
    <w:basedOn w:val="a0"/>
    <w:link w:val="ad"/>
    <w:uiPriority w:val="99"/>
    <w:rsid w:val="006A415B"/>
    <w:rPr>
      <w:rFonts w:asciiTheme="majorBidi" w:hAnsiTheme="majorBidi"/>
      <w:sz w:val="24"/>
      <w:szCs w:val="24"/>
    </w:rPr>
  </w:style>
  <w:style w:type="paragraph" w:customStyle="1" w:styleId="regpar">
    <w:name w:val="regpar"/>
    <w:basedOn w:val="a"/>
    <w:rsid w:val="006A415B"/>
    <w:pPr>
      <w:spacing w:line="300" w:lineRule="exact"/>
      <w:ind w:firstLine="240"/>
      <w:jc w:val="both"/>
    </w:pPr>
    <w:rPr>
      <w:rFonts w:ascii="Times" w:eastAsia="Times New Roman" w:hAnsi="Times" w:cs="Times"/>
    </w:rPr>
  </w:style>
  <w:style w:type="paragraph" w:styleId="af">
    <w:name w:val="Revision"/>
    <w:hidden/>
    <w:uiPriority w:val="99"/>
    <w:semiHidden/>
    <w:rsid w:val="002530C3"/>
    <w:pPr>
      <w:spacing w:after="0" w:line="240" w:lineRule="auto"/>
    </w:pPr>
    <w:rPr>
      <w:rFonts w:asciiTheme="majorBidi" w:hAnsiTheme="majorBidi"/>
      <w:sz w:val="24"/>
      <w:szCs w:val="24"/>
    </w:rPr>
  </w:style>
  <w:style w:type="paragraph" w:styleId="af0">
    <w:name w:val="footnote text"/>
    <w:basedOn w:val="a"/>
    <w:link w:val="af1"/>
    <w:uiPriority w:val="99"/>
    <w:semiHidden/>
    <w:unhideWhenUsed/>
    <w:rsid w:val="00701421"/>
    <w:rPr>
      <w:sz w:val="20"/>
      <w:szCs w:val="20"/>
    </w:rPr>
  </w:style>
  <w:style w:type="character" w:customStyle="1" w:styleId="af1">
    <w:name w:val="טקסט הערת שוליים תו"/>
    <w:basedOn w:val="a0"/>
    <w:link w:val="af0"/>
    <w:uiPriority w:val="99"/>
    <w:semiHidden/>
    <w:rsid w:val="00701421"/>
    <w:rPr>
      <w:rFonts w:asciiTheme="majorBidi" w:hAnsiTheme="majorBidi"/>
      <w:sz w:val="20"/>
      <w:szCs w:val="20"/>
    </w:rPr>
  </w:style>
  <w:style w:type="character" w:styleId="af2">
    <w:name w:val="footnote reference"/>
    <w:basedOn w:val="a0"/>
    <w:uiPriority w:val="99"/>
    <w:semiHidden/>
    <w:unhideWhenUsed/>
    <w:rsid w:val="00701421"/>
    <w:rPr>
      <w:vertAlign w:val="superscript"/>
    </w:rPr>
  </w:style>
  <w:style w:type="character" w:styleId="Hyperlink">
    <w:name w:val="Hyperlink"/>
    <w:basedOn w:val="a0"/>
    <w:uiPriority w:val="99"/>
    <w:unhideWhenUsed/>
    <w:rsid w:val="00B21E55"/>
    <w:rPr>
      <w:color w:val="0563C1"/>
      <w:u w:val="single"/>
    </w:rPr>
  </w:style>
  <w:style w:type="character" w:styleId="FollowedHyperlink">
    <w:name w:val="FollowedHyperlink"/>
    <w:basedOn w:val="a0"/>
    <w:uiPriority w:val="99"/>
    <w:semiHidden/>
    <w:unhideWhenUsed/>
    <w:rsid w:val="00606830"/>
    <w:rPr>
      <w:color w:val="800080" w:themeColor="followedHyperlink"/>
      <w:u w:val="single"/>
    </w:rPr>
  </w:style>
  <w:style w:type="paragraph" w:styleId="NormalWeb">
    <w:name w:val="Normal (Web)"/>
    <w:basedOn w:val="a"/>
    <w:uiPriority w:val="99"/>
    <w:unhideWhenUsed/>
    <w:rsid w:val="00D32BDF"/>
    <w:pPr>
      <w:spacing w:before="100" w:beforeAutospacing="1" w:after="100" w:afterAutospacing="1"/>
    </w:pPr>
    <w:rPr>
      <w:rFonts w:ascii="Times New Roman" w:eastAsia="Times New Roman" w:hAnsi="Times New Roman" w:cs="Times New Roman"/>
    </w:rPr>
  </w:style>
  <w:style w:type="character" w:styleId="af3">
    <w:name w:val="Emphasis"/>
    <w:basedOn w:val="a0"/>
    <w:uiPriority w:val="20"/>
    <w:qFormat/>
    <w:rsid w:val="008C63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A99E7CC-17BC-4E21-BDF6-92DCF66E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2147</Words>
  <Characters>10735</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לירון בן עמוס</dc:creator>
  <cp:lastModifiedBy>לירון בן עמוס</cp:lastModifiedBy>
  <cp:revision>23</cp:revision>
  <cp:lastPrinted>2026-07-06T11:52:00Z</cp:lastPrinted>
  <dcterms:created xsi:type="dcterms:W3CDTF">2026-07-06T06:26:00Z</dcterms:created>
  <dcterms:modified xsi:type="dcterms:W3CDTF">2026-07-06T11:55:00Z</dcterms:modified>
</cp:coreProperties>
</file>