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16"/>
        <w:bidiVisual/>
        <w:tblW w:w="0" w:type="auto"/>
        <w:tblLayout w:type="fixed"/>
        <w:tblLook w:val="0000" w:firstRow="0" w:lastRow="0" w:firstColumn="0" w:lastColumn="0" w:noHBand="0" w:noVBand="0"/>
        <w:tblCaption w:val="כותרת"/>
        <w:tblDescription w:val="כותרת"/>
      </w:tblPr>
      <w:tblGrid>
        <w:gridCol w:w="3343"/>
        <w:gridCol w:w="2596"/>
        <w:gridCol w:w="3591"/>
      </w:tblGrid>
      <w:tr w:rsidR="00917C6D" w:rsidRPr="0086400E" w:rsidTr="000D1589">
        <w:tc>
          <w:tcPr>
            <w:tcW w:w="3343" w:type="dxa"/>
            <w:tcBorders>
              <w:top w:val="nil"/>
              <w:left w:val="nil"/>
              <w:bottom w:val="nil"/>
              <w:right w:val="nil"/>
            </w:tcBorders>
            <w:vAlign w:val="center"/>
          </w:tcPr>
          <w:p w:rsidR="00917C6D" w:rsidRPr="0086400E" w:rsidRDefault="00917C6D" w:rsidP="005B0CF9">
            <w:pPr>
              <w:ind w:left="97"/>
              <w:rPr>
                <w:rFonts w:ascii="David" w:hAnsi="David" w:cs="David"/>
                <w:b/>
                <w:bCs/>
                <w:sz w:val="28"/>
                <w:szCs w:val="28"/>
              </w:rPr>
            </w:pPr>
            <w:bookmarkStart w:id="0" w:name="_GoBack"/>
            <w:bookmarkEnd w:id="0"/>
            <w:r w:rsidRPr="0086400E">
              <w:rPr>
                <w:rFonts w:ascii="David" w:hAnsi="David" w:cs="David"/>
                <w:b/>
                <w:bCs/>
                <w:sz w:val="28"/>
                <w:szCs w:val="28"/>
                <w:rtl/>
              </w:rPr>
              <w:t>בנק ישראל</w:t>
            </w:r>
          </w:p>
          <w:p w:rsidR="00917C6D" w:rsidRPr="0086400E" w:rsidRDefault="00917C6D" w:rsidP="005B0CF9">
            <w:pPr>
              <w:ind w:left="97" w:right="-101"/>
              <w:rPr>
                <w:rFonts w:ascii="David" w:hAnsi="David" w:cs="David"/>
              </w:rPr>
            </w:pPr>
            <w:r w:rsidRPr="0086400E">
              <w:rPr>
                <w:rFonts w:ascii="David" w:hAnsi="David" w:cs="David"/>
                <w:rtl/>
              </w:rPr>
              <w:t>דוברות והסברה כלכלית</w:t>
            </w:r>
          </w:p>
        </w:tc>
        <w:tc>
          <w:tcPr>
            <w:tcW w:w="2596" w:type="dxa"/>
            <w:tcBorders>
              <w:top w:val="nil"/>
              <w:left w:val="nil"/>
              <w:bottom w:val="nil"/>
              <w:right w:val="nil"/>
            </w:tcBorders>
            <w:shd w:val="clear" w:color="auto" w:fill="FFFFFF" w:themeFill="background1"/>
          </w:tcPr>
          <w:p w:rsidR="00917C6D" w:rsidRPr="0086400E" w:rsidRDefault="00917C6D" w:rsidP="005B0CF9">
            <w:pPr>
              <w:jc w:val="center"/>
              <w:rPr>
                <w:rFonts w:ascii="David" w:hAnsi="David" w:cs="David"/>
              </w:rPr>
            </w:pPr>
            <w:r w:rsidRPr="0086400E">
              <w:rPr>
                <w:rFonts w:ascii="David" w:hAnsi="David" w:cs="David"/>
                <w:noProof/>
              </w:rPr>
              <w:drawing>
                <wp:inline distT="0" distB="0" distL="0" distR="0" wp14:anchorId="10B0876C" wp14:editId="5F480024">
                  <wp:extent cx="707390" cy="707390"/>
                  <wp:effectExtent l="0" t="0" r="0" b="0"/>
                  <wp:docPr id="5" name="תמונה 5"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pic:spPr>
                      </pic:pic>
                    </a:graphicData>
                  </a:graphic>
                </wp:inline>
              </w:drawing>
            </w:r>
          </w:p>
        </w:tc>
        <w:tc>
          <w:tcPr>
            <w:tcW w:w="3591" w:type="dxa"/>
            <w:tcBorders>
              <w:top w:val="nil"/>
              <w:left w:val="nil"/>
              <w:bottom w:val="nil"/>
              <w:right w:val="nil"/>
            </w:tcBorders>
            <w:vAlign w:val="center"/>
          </w:tcPr>
          <w:p w:rsidR="00917C6D" w:rsidRPr="0086400E" w:rsidRDefault="00917C6D" w:rsidP="00AB2FEF">
            <w:pPr>
              <w:jc w:val="right"/>
              <w:rPr>
                <w:rFonts w:ascii="David" w:hAnsi="David" w:cs="David"/>
              </w:rPr>
            </w:pPr>
            <w:r w:rsidRPr="0086400E">
              <w:rPr>
                <w:rFonts w:ascii="David" w:hAnsi="David" w:cs="David"/>
                <w:rtl/>
              </w:rPr>
              <w:t xml:space="preserve">‏ירושלים, </w:t>
            </w:r>
            <w:r w:rsidR="008255BB">
              <w:rPr>
                <w:rFonts w:ascii="David" w:hAnsi="David" w:cs="David" w:hint="cs"/>
                <w:rtl/>
              </w:rPr>
              <w:t>י"</w:t>
            </w:r>
            <w:r w:rsidR="00AB2FEF">
              <w:rPr>
                <w:rFonts w:ascii="David" w:hAnsi="David" w:cs="David" w:hint="cs"/>
                <w:rtl/>
              </w:rPr>
              <w:t>ד</w:t>
            </w:r>
            <w:r w:rsidR="008255BB">
              <w:rPr>
                <w:rFonts w:ascii="David" w:hAnsi="David" w:cs="David" w:hint="cs"/>
                <w:rtl/>
              </w:rPr>
              <w:t xml:space="preserve"> ב</w:t>
            </w:r>
            <w:r w:rsidR="003967FE">
              <w:rPr>
                <w:rFonts w:ascii="David" w:hAnsi="David" w:cs="David" w:hint="cs"/>
                <w:rtl/>
              </w:rPr>
              <w:t>תמוז</w:t>
            </w:r>
            <w:r w:rsidRPr="0086400E">
              <w:rPr>
                <w:rFonts w:ascii="David" w:hAnsi="David" w:cs="David"/>
                <w:rtl/>
              </w:rPr>
              <w:t xml:space="preserve">, </w:t>
            </w:r>
            <w:proofErr w:type="spellStart"/>
            <w:r w:rsidRPr="0086400E">
              <w:rPr>
                <w:rFonts w:ascii="David" w:hAnsi="David" w:cs="David"/>
                <w:rtl/>
              </w:rPr>
              <w:t>תש</w:t>
            </w:r>
            <w:r w:rsidR="008255BB">
              <w:rPr>
                <w:rFonts w:ascii="David" w:hAnsi="David" w:cs="David" w:hint="cs"/>
                <w:rtl/>
              </w:rPr>
              <w:t>"ף</w:t>
            </w:r>
            <w:proofErr w:type="spellEnd"/>
          </w:p>
          <w:p w:rsidR="00917C6D" w:rsidRPr="0086400E" w:rsidRDefault="003967FE" w:rsidP="005B0CF9">
            <w:pPr>
              <w:jc w:val="right"/>
              <w:rPr>
                <w:rFonts w:ascii="David" w:hAnsi="David" w:cs="David"/>
                <w:rtl/>
              </w:rPr>
            </w:pPr>
            <w:r>
              <w:rPr>
                <w:rFonts w:ascii="David" w:hAnsi="David" w:cs="David"/>
              </w:rPr>
              <w:t>6</w:t>
            </w:r>
            <w:r w:rsidR="00917C6D" w:rsidRPr="0086400E">
              <w:rPr>
                <w:rFonts w:ascii="David" w:hAnsi="David" w:cs="David"/>
                <w:rtl/>
              </w:rPr>
              <w:t xml:space="preserve"> ב</w:t>
            </w:r>
            <w:r w:rsidR="00EC3A5A" w:rsidRPr="0086400E">
              <w:rPr>
                <w:rFonts w:ascii="David" w:hAnsi="David" w:cs="David"/>
                <w:rtl/>
              </w:rPr>
              <w:t>י</w:t>
            </w:r>
            <w:r>
              <w:rPr>
                <w:rFonts w:ascii="David" w:hAnsi="David" w:cs="David" w:hint="cs"/>
                <w:rtl/>
              </w:rPr>
              <w:t>ולי</w:t>
            </w:r>
            <w:r w:rsidR="00917C6D" w:rsidRPr="0086400E">
              <w:rPr>
                <w:rFonts w:ascii="David" w:hAnsi="David" w:cs="David"/>
                <w:rtl/>
              </w:rPr>
              <w:t xml:space="preserve"> 20</w:t>
            </w:r>
            <w:r w:rsidR="00EC3A5A" w:rsidRPr="0086400E">
              <w:rPr>
                <w:rFonts w:ascii="David" w:hAnsi="David" w:cs="David"/>
                <w:rtl/>
              </w:rPr>
              <w:t>20</w:t>
            </w:r>
          </w:p>
        </w:tc>
      </w:tr>
    </w:tbl>
    <w:p w:rsidR="00917C6D" w:rsidRDefault="00917C6D" w:rsidP="005B0CF9">
      <w:pPr>
        <w:spacing w:before="120" w:after="240" w:line="240" w:lineRule="auto"/>
        <w:ind w:left="113"/>
        <w:rPr>
          <w:rFonts w:ascii="David" w:hAnsi="David" w:cs="David"/>
          <w:rtl/>
        </w:rPr>
      </w:pPr>
      <w:r w:rsidRPr="0086400E">
        <w:rPr>
          <w:rFonts w:ascii="David" w:hAnsi="David" w:cs="David"/>
          <w:rtl/>
        </w:rPr>
        <w:t xml:space="preserve">הודעה לעיתונות: </w:t>
      </w:r>
    </w:p>
    <w:p w:rsidR="00917C6D" w:rsidRPr="0086400E" w:rsidRDefault="00917C6D" w:rsidP="005B0CF9">
      <w:pPr>
        <w:pStyle w:val="a6"/>
        <w:spacing w:after="0"/>
        <w:ind w:left="113"/>
        <w:rPr>
          <w:rFonts w:ascii="David" w:hAnsi="David" w:cs="David"/>
          <w:rtl/>
        </w:rPr>
      </w:pPr>
      <w:r w:rsidRPr="0086400E">
        <w:rPr>
          <w:rFonts w:ascii="David" w:hAnsi="David" w:cs="David"/>
          <w:rtl/>
        </w:rPr>
        <w:t xml:space="preserve">התחזית המקרו-כלכלית של חטיבת המחקר, </w:t>
      </w:r>
      <w:r w:rsidR="00316615">
        <w:rPr>
          <w:rFonts w:ascii="David" w:hAnsi="David" w:cs="David" w:hint="cs"/>
          <w:rtl/>
        </w:rPr>
        <w:t>יולי</w:t>
      </w:r>
      <w:r w:rsidRPr="0086400E">
        <w:rPr>
          <w:rFonts w:ascii="David" w:hAnsi="David" w:cs="David"/>
          <w:rtl/>
        </w:rPr>
        <w:t xml:space="preserve"> 20</w:t>
      </w:r>
      <w:r w:rsidR="00EC3A5A" w:rsidRPr="0086400E">
        <w:rPr>
          <w:rFonts w:ascii="David" w:hAnsi="David" w:cs="David"/>
          <w:rtl/>
        </w:rPr>
        <w:t>20</w:t>
      </w:r>
    </w:p>
    <w:p w:rsidR="00917C6D" w:rsidRPr="0086400E" w:rsidRDefault="00917C6D" w:rsidP="005B0CF9">
      <w:pPr>
        <w:pStyle w:val="1"/>
        <w:ind w:left="113"/>
        <w:rPr>
          <w:rFonts w:ascii="David" w:hAnsi="David" w:cs="David"/>
          <w:rtl/>
        </w:rPr>
      </w:pPr>
      <w:r w:rsidRPr="0086400E">
        <w:rPr>
          <w:rFonts w:ascii="David" w:hAnsi="David" w:cs="David"/>
          <w:rtl/>
        </w:rPr>
        <w:t>תמצית</w:t>
      </w:r>
    </w:p>
    <w:p w:rsidR="009E4927" w:rsidRPr="00BE29BB" w:rsidRDefault="009E4927" w:rsidP="00E11CC8">
      <w:pPr>
        <w:spacing w:before="120" w:after="120"/>
        <w:ind w:left="113"/>
        <w:rPr>
          <w:rFonts w:ascii="David" w:hAnsi="David" w:cs="David"/>
          <w:rtl/>
        </w:rPr>
      </w:pPr>
      <w:r w:rsidRPr="00BE29BB">
        <w:rPr>
          <w:rFonts w:ascii="David" w:hAnsi="David" w:cs="David"/>
          <w:rtl/>
        </w:rPr>
        <w:t xml:space="preserve">מסמך זה מציג את התחזית המקרו-כלכלית שחטיבת המחקר בבנק ישראל גיבשה </w:t>
      </w:r>
      <w:r>
        <w:rPr>
          <w:rFonts w:ascii="David" w:hAnsi="David" w:cs="David" w:hint="cs"/>
          <w:rtl/>
        </w:rPr>
        <w:t>ביולי</w:t>
      </w:r>
      <w:r w:rsidRPr="00BE29BB">
        <w:rPr>
          <w:rFonts w:ascii="David" w:hAnsi="David" w:cs="David"/>
          <w:rtl/>
        </w:rPr>
        <w:t xml:space="preserve"> 20</w:t>
      </w:r>
      <w:r w:rsidRPr="00BE29BB">
        <w:rPr>
          <w:rFonts w:ascii="David" w:hAnsi="David" w:cs="David" w:hint="cs"/>
          <w:rtl/>
        </w:rPr>
        <w:t>20</w:t>
      </w:r>
      <w:r w:rsidRPr="00BE29BB">
        <w:rPr>
          <w:rFonts w:ascii="David" w:hAnsi="David" w:cs="David"/>
          <w:vertAlign w:val="superscript"/>
          <w:rtl/>
        </w:rPr>
        <w:footnoteReference w:id="1"/>
      </w:r>
      <w:r w:rsidRPr="00BE29BB">
        <w:rPr>
          <w:rFonts w:ascii="David" w:hAnsi="David" w:cs="David"/>
          <w:rtl/>
        </w:rPr>
        <w:t xml:space="preserve"> בנוגע למשתני המקרו העיקריים – התוצר, האינפלציה והריבית.</w:t>
      </w:r>
      <w:r w:rsidRPr="00BE29BB">
        <w:rPr>
          <w:rFonts w:ascii="David" w:hAnsi="David" w:cs="David" w:hint="cs"/>
          <w:rtl/>
        </w:rPr>
        <w:t xml:space="preserve"> </w:t>
      </w:r>
      <w:r w:rsidRPr="00BE29BB">
        <w:rPr>
          <w:rFonts w:ascii="David" w:hAnsi="David" w:cs="David"/>
          <w:rtl/>
        </w:rPr>
        <w:t xml:space="preserve">על פי התחזית, התוצר צפוי </w:t>
      </w:r>
      <w:r>
        <w:rPr>
          <w:rFonts w:ascii="David" w:hAnsi="David" w:cs="David" w:hint="cs"/>
          <w:rtl/>
        </w:rPr>
        <w:t>להתכווץ</w:t>
      </w:r>
      <w:r w:rsidRPr="00BE29BB">
        <w:rPr>
          <w:rFonts w:ascii="David" w:hAnsi="David" w:cs="David"/>
          <w:rtl/>
        </w:rPr>
        <w:t xml:space="preserve"> בשיעור של </w:t>
      </w:r>
      <w:r>
        <w:rPr>
          <w:rFonts w:ascii="David" w:hAnsi="David" w:cs="David" w:hint="cs"/>
          <w:rtl/>
        </w:rPr>
        <w:t>6%</w:t>
      </w:r>
      <w:r w:rsidRPr="00BE29BB">
        <w:rPr>
          <w:rFonts w:ascii="David" w:hAnsi="David" w:cs="David"/>
          <w:rtl/>
        </w:rPr>
        <w:t xml:space="preserve"> ב-2020</w:t>
      </w:r>
      <w:r>
        <w:rPr>
          <w:rFonts w:ascii="David" w:hAnsi="David" w:cs="David" w:hint="cs"/>
          <w:rtl/>
        </w:rPr>
        <w:t xml:space="preserve">, לעומת </w:t>
      </w:r>
      <w:r w:rsidR="00E11CC8">
        <w:rPr>
          <w:rFonts w:ascii="David" w:hAnsi="David" w:cs="David" w:hint="cs"/>
          <w:rtl/>
        </w:rPr>
        <w:t>צפי ל</w:t>
      </w:r>
      <w:r>
        <w:rPr>
          <w:rFonts w:ascii="David" w:hAnsi="David" w:cs="David" w:hint="cs"/>
          <w:rtl/>
        </w:rPr>
        <w:t>התכווצות של 4.5% בתחזית הקודמת שהתפרסמה בסוף מאי</w:t>
      </w:r>
      <w:r w:rsidRPr="00BE29BB">
        <w:rPr>
          <w:rFonts w:ascii="David" w:hAnsi="David" w:cs="David"/>
          <w:rtl/>
        </w:rPr>
        <w:t>. ב-2021 התוצר צפוי לצמוח ב-</w:t>
      </w:r>
      <w:r>
        <w:rPr>
          <w:rFonts w:ascii="David" w:hAnsi="David" w:cs="David" w:hint="cs"/>
          <w:rtl/>
        </w:rPr>
        <w:t>7.5</w:t>
      </w:r>
      <w:r w:rsidRPr="00BE29BB">
        <w:rPr>
          <w:rFonts w:ascii="David" w:hAnsi="David" w:cs="David"/>
          <w:rtl/>
        </w:rPr>
        <w:t>%</w:t>
      </w:r>
      <w:r>
        <w:rPr>
          <w:rFonts w:ascii="David" w:hAnsi="David" w:cs="David" w:hint="cs"/>
          <w:rtl/>
        </w:rPr>
        <w:t xml:space="preserve"> </w:t>
      </w:r>
      <w:r w:rsidR="00E11CC8">
        <w:rPr>
          <w:rFonts w:ascii="David" w:hAnsi="David" w:cs="David" w:hint="cs"/>
          <w:rtl/>
        </w:rPr>
        <w:t xml:space="preserve">גבוה </w:t>
      </w:r>
      <w:r>
        <w:rPr>
          <w:rFonts w:ascii="David" w:hAnsi="David" w:cs="David" w:hint="cs"/>
          <w:rtl/>
        </w:rPr>
        <w:t>מעט יותר ביחס לתחזית מאי</w:t>
      </w:r>
      <w:r w:rsidRPr="00BE29BB">
        <w:rPr>
          <w:rFonts w:ascii="David" w:hAnsi="David" w:cs="David"/>
          <w:rtl/>
        </w:rPr>
        <w:t xml:space="preserve">. שיעור האינפלציה ב-2020 צפוי לעמוד על </w:t>
      </w:r>
      <w:r>
        <w:rPr>
          <w:rFonts w:ascii="David" w:hAnsi="David" w:cs="David" w:hint="cs"/>
          <w:rtl/>
        </w:rPr>
        <w:t>1.1</w:t>
      </w:r>
      <w:r w:rsidRPr="00BE29BB">
        <w:rPr>
          <w:rFonts w:ascii="David" w:hAnsi="David" w:cs="David"/>
          <w:rtl/>
        </w:rPr>
        <w:t>%</w:t>
      </w:r>
      <w:r>
        <w:rPr>
          <w:rFonts w:ascii="David" w:hAnsi="David" w:cs="David" w:hint="cs"/>
          <w:rtl/>
        </w:rPr>
        <w:t>-</w:t>
      </w:r>
      <w:r w:rsidRPr="00BE29BB">
        <w:rPr>
          <w:rFonts w:ascii="David" w:hAnsi="David" w:cs="David"/>
          <w:rtl/>
        </w:rPr>
        <w:t xml:space="preserve">, נמוך מהתחזית הקודמת, וב-2021 הוא צפוי לעמוד </w:t>
      </w:r>
      <w:r>
        <w:rPr>
          <w:rFonts w:ascii="David" w:hAnsi="David" w:cs="David" w:hint="cs"/>
          <w:rtl/>
        </w:rPr>
        <w:t xml:space="preserve">בדומה לתחזית מאי </w:t>
      </w:r>
      <w:r w:rsidRPr="00BE29BB">
        <w:rPr>
          <w:rFonts w:ascii="David" w:hAnsi="David" w:cs="David"/>
          <w:rtl/>
        </w:rPr>
        <w:t xml:space="preserve">על </w:t>
      </w:r>
      <w:r>
        <w:rPr>
          <w:rFonts w:ascii="David" w:hAnsi="David" w:cs="David" w:hint="cs"/>
          <w:rtl/>
        </w:rPr>
        <w:t>0.7</w:t>
      </w:r>
      <w:r w:rsidRPr="00BE29BB">
        <w:rPr>
          <w:rFonts w:ascii="David" w:hAnsi="David" w:cs="David"/>
          <w:rtl/>
        </w:rPr>
        <w:t>%. על פי התחזית, הריבית המוניטרית צפויה לעמוד</w:t>
      </w:r>
      <w:r>
        <w:rPr>
          <w:rFonts w:ascii="David" w:hAnsi="David" w:cs="David" w:hint="cs"/>
          <w:rtl/>
        </w:rPr>
        <w:t xml:space="preserve"> בתחום</w:t>
      </w:r>
      <w:r w:rsidRPr="00BE29BB">
        <w:rPr>
          <w:rFonts w:ascii="David" w:hAnsi="David" w:cs="David"/>
          <w:rtl/>
        </w:rPr>
        <w:t xml:space="preserve"> </w:t>
      </w:r>
      <w:r w:rsidR="00E05A87">
        <w:rPr>
          <w:rFonts w:ascii="David" w:hAnsi="David" w:cs="David" w:hint="cs"/>
          <w:rtl/>
        </w:rPr>
        <w:t>של</w:t>
      </w:r>
      <w:r w:rsidR="00E05A87" w:rsidRPr="00BE29BB">
        <w:rPr>
          <w:rFonts w:ascii="David" w:hAnsi="David" w:cs="David"/>
          <w:rtl/>
        </w:rPr>
        <w:t xml:space="preserve"> </w:t>
      </w:r>
      <w:r>
        <w:rPr>
          <w:rFonts w:ascii="David" w:hAnsi="David" w:cs="David" w:hint="cs"/>
          <w:rtl/>
        </w:rPr>
        <w:t>0-0.1</w:t>
      </w:r>
      <w:r>
        <w:rPr>
          <w:rFonts w:ascii="David" w:hAnsi="David" w:cs="David"/>
          <w:rtl/>
        </w:rPr>
        <w:t>%</w:t>
      </w:r>
      <w:r>
        <w:rPr>
          <w:rFonts w:ascii="David" w:hAnsi="David" w:cs="David" w:hint="cs"/>
          <w:rtl/>
        </w:rPr>
        <w:t xml:space="preserve"> </w:t>
      </w:r>
      <w:r w:rsidRPr="00BE29BB">
        <w:rPr>
          <w:rFonts w:ascii="David" w:hAnsi="David" w:cs="David"/>
          <w:rtl/>
        </w:rPr>
        <w:t>בעוד שנה.</w:t>
      </w:r>
      <w:r w:rsidRPr="009E4927">
        <w:rPr>
          <w:rStyle w:val="a5"/>
          <w:rFonts w:ascii="David" w:hAnsi="David" w:cs="David"/>
          <w:rtl/>
        </w:rPr>
        <w:t xml:space="preserve"> </w:t>
      </w:r>
    </w:p>
    <w:p w:rsidR="00917C6D" w:rsidRDefault="00917C6D" w:rsidP="00917C6D">
      <w:pPr>
        <w:pStyle w:val="1"/>
        <w:ind w:left="113"/>
        <w:rPr>
          <w:rFonts w:ascii="David" w:hAnsi="David" w:cs="David"/>
          <w:rtl/>
        </w:rPr>
      </w:pPr>
      <w:r w:rsidRPr="0086400E">
        <w:rPr>
          <w:rFonts w:ascii="David" w:hAnsi="David" w:cs="David"/>
          <w:rtl/>
        </w:rPr>
        <w:t>התחזית</w:t>
      </w:r>
    </w:p>
    <w:p w:rsidR="009E4927" w:rsidRPr="009E4927" w:rsidRDefault="009E4927" w:rsidP="00E05A87">
      <w:pPr>
        <w:spacing w:before="120" w:after="120"/>
        <w:ind w:left="113"/>
        <w:rPr>
          <w:rFonts w:ascii="David" w:hAnsi="David" w:cs="David"/>
        </w:rPr>
      </w:pPr>
      <w:r>
        <w:rPr>
          <w:rFonts w:ascii="David" w:hAnsi="David" w:cs="David"/>
          <w:rtl/>
        </w:rPr>
        <w:t>בתחזית</w:t>
      </w:r>
      <w:r>
        <w:rPr>
          <w:rFonts w:ascii="David" w:hAnsi="David" w:cs="David"/>
        </w:rPr>
        <w:t xml:space="preserve"> </w:t>
      </w:r>
      <w:r>
        <w:rPr>
          <w:rFonts w:ascii="David" w:hAnsi="David" w:cs="David"/>
          <w:rtl/>
        </w:rPr>
        <w:t>זו</w:t>
      </w:r>
      <w:r w:rsidR="005B0CF9">
        <w:rPr>
          <w:rFonts w:ascii="David" w:hAnsi="David" w:cs="David" w:hint="cs"/>
          <w:rtl/>
        </w:rPr>
        <w:t xml:space="preserve">, </w:t>
      </w:r>
      <w:r>
        <w:rPr>
          <w:rFonts w:ascii="David" w:hAnsi="David" w:cs="David"/>
          <w:rtl/>
        </w:rPr>
        <w:t>כמו</w:t>
      </w:r>
      <w:r>
        <w:rPr>
          <w:rFonts w:ascii="David" w:hAnsi="David" w:cs="David"/>
        </w:rPr>
        <w:t xml:space="preserve"> </w:t>
      </w:r>
      <w:r>
        <w:rPr>
          <w:rFonts w:ascii="David" w:hAnsi="David" w:cs="David"/>
          <w:rtl/>
        </w:rPr>
        <w:t>בתחזי</w:t>
      </w:r>
      <w:r w:rsidR="005B0CF9">
        <w:rPr>
          <w:rFonts w:ascii="David" w:hAnsi="David" w:cs="David" w:hint="cs"/>
          <w:rtl/>
        </w:rPr>
        <w:t>ו</w:t>
      </w:r>
      <w:r>
        <w:rPr>
          <w:rFonts w:ascii="David" w:hAnsi="David" w:cs="David"/>
          <w:rtl/>
        </w:rPr>
        <w:t>ת</w:t>
      </w:r>
      <w:r>
        <w:rPr>
          <w:rFonts w:ascii="David" w:hAnsi="David" w:cs="David"/>
        </w:rPr>
        <w:t xml:space="preserve"> </w:t>
      </w:r>
      <w:r>
        <w:rPr>
          <w:rFonts w:ascii="David" w:hAnsi="David" w:cs="David"/>
          <w:rtl/>
        </w:rPr>
        <w:t>שפורסמ</w:t>
      </w:r>
      <w:r w:rsidR="005B0CF9">
        <w:rPr>
          <w:rFonts w:ascii="David" w:hAnsi="David" w:cs="David" w:hint="cs"/>
          <w:rtl/>
        </w:rPr>
        <w:t>ו</w:t>
      </w:r>
      <w:r>
        <w:rPr>
          <w:rFonts w:ascii="David" w:hAnsi="David" w:cs="David"/>
        </w:rPr>
        <w:t xml:space="preserve"> </w:t>
      </w:r>
      <w:r w:rsidR="005B0CF9">
        <w:rPr>
          <w:rFonts w:ascii="David" w:hAnsi="David" w:cs="David"/>
          <w:rtl/>
        </w:rPr>
        <w:t>באפרי</w:t>
      </w:r>
      <w:r w:rsidR="005B0CF9">
        <w:rPr>
          <w:rFonts w:ascii="David" w:hAnsi="David" w:cs="David" w:hint="cs"/>
          <w:rtl/>
        </w:rPr>
        <w:t xml:space="preserve">ל ובמאי, </w:t>
      </w:r>
      <w:r>
        <w:rPr>
          <w:rFonts w:ascii="David" w:hAnsi="David" w:cs="David"/>
          <w:rtl/>
        </w:rPr>
        <w:t>הושם</w:t>
      </w:r>
      <w:r>
        <w:rPr>
          <w:rFonts w:ascii="David" w:hAnsi="David" w:cs="David"/>
        </w:rPr>
        <w:t xml:space="preserve"> </w:t>
      </w:r>
      <w:r>
        <w:rPr>
          <w:rFonts w:ascii="David" w:hAnsi="David" w:cs="David"/>
          <w:rtl/>
        </w:rPr>
        <w:t>דגש</w:t>
      </w:r>
      <w:r>
        <w:rPr>
          <w:rFonts w:ascii="David" w:hAnsi="David" w:cs="David"/>
        </w:rPr>
        <w:t xml:space="preserve"> </w:t>
      </w:r>
      <w:r>
        <w:rPr>
          <w:rFonts w:ascii="David" w:hAnsi="David" w:cs="David"/>
          <w:rtl/>
        </w:rPr>
        <w:t>מיוחד</w:t>
      </w:r>
      <w:r>
        <w:rPr>
          <w:rFonts w:ascii="David" w:hAnsi="David" w:cs="David" w:hint="cs"/>
          <w:rtl/>
        </w:rPr>
        <w:t xml:space="preserve"> על ניתוח ענפי לצורך הבנת ההשפעות הכלכליות של משבר </w:t>
      </w:r>
      <w:r w:rsidR="00E05A87">
        <w:rPr>
          <w:rFonts w:ascii="David" w:hAnsi="David" w:cs="David" w:hint="cs"/>
          <w:rtl/>
        </w:rPr>
        <w:t xml:space="preserve">הקורונה </w:t>
      </w:r>
      <w:r>
        <w:rPr>
          <w:rFonts w:ascii="David" w:hAnsi="David" w:cs="David" w:hint="cs"/>
          <w:rtl/>
        </w:rPr>
        <w:t xml:space="preserve">וצעדי המדיניות </w:t>
      </w:r>
      <w:r w:rsidR="00E05A87">
        <w:rPr>
          <w:rFonts w:ascii="David" w:hAnsi="David" w:cs="David" w:hint="cs"/>
          <w:rtl/>
        </w:rPr>
        <w:t>שננקטו בעקבות המשבר</w:t>
      </w:r>
      <w:r>
        <w:rPr>
          <w:rFonts w:ascii="David" w:hAnsi="David" w:cs="David" w:hint="cs"/>
          <w:rtl/>
        </w:rPr>
        <w:t>. בפרט, התחזית מושתתת על הערכה ביחס להשבתת ענפי המשק כתוצאה מצעדי הממשלה למאבק בהתפשטות הקורונה. בנוסף, התחזית מגלמת מידע מאינדיקטורים</w:t>
      </w:r>
      <w:r w:rsidR="003967FE">
        <w:rPr>
          <w:rFonts w:ascii="David" w:hAnsi="David" w:cs="David" w:hint="cs"/>
          <w:rtl/>
        </w:rPr>
        <w:t xml:space="preserve"> וממודלים נוספים, כאשר את השלמת התחזית לכדי תחזית מקרו-כלכלית לכלל המשתנים הריאליים והנומינליים ביצענו באמצעות מודל מבני שמבוסס על יסודות מיקרו-כלכליים </w:t>
      </w:r>
      <w:r w:rsidR="00BE6A4E">
        <w:rPr>
          <w:rFonts w:ascii="David" w:hAnsi="David" w:cs="David" w:hint="eastAsia"/>
          <w:rtl/>
        </w:rPr>
        <w:t xml:space="preserve">– </w:t>
      </w:r>
      <w:r w:rsidR="003967FE">
        <w:rPr>
          <w:rFonts w:ascii="David" w:hAnsi="David" w:cs="David" w:hint="cs"/>
          <w:rtl/>
        </w:rPr>
        <w:t xml:space="preserve">מודל </w:t>
      </w:r>
      <w:r w:rsidR="003967FE" w:rsidRPr="00885F33">
        <w:rPr>
          <w:rFonts w:ascii="David" w:hAnsi="David" w:cs="David" w:hint="cs"/>
          <w:rtl/>
        </w:rPr>
        <w:t>ה-</w:t>
      </w:r>
      <w:r w:rsidR="003967FE" w:rsidRPr="00885F33">
        <w:rPr>
          <w:rFonts w:ascii="David" w:hAnsi="David" w:cs="David"/>
        </w:rPr>
        <w:t>DSGE</w:t>
      </w:r>
      <w:r w:rsidR="003967FE" w:rsidRPr="00885F33">
        <w:rPr>
          <w:rFonts w:ascii="David" w:hAnsi="David" w:cs="David" w:hint="cs"/>
          <w:rtl/>
        </w:rPr>
        <w:t xml:space="preserve"> (</w:t>
      </w:r>
      <w:r w:rsidR="003967FE" w:rsidRPr="00885F33">
        <w:rPr>
          <w:rFonts w:ascii="David" w:hAnsi="David" w:cs="David"/>
        </w:rPr>
        <w:t>Dynamic Stochastic General Equilibrium</w:t>
      </w:r>
      <w:r w:rsidR="003967FE" w:rsidRPr="00885F33">
        <w:rPr>
          <w:rFonts w:ascii="David" w:hAnsi="David" w:cs="David" w:hint="cs"/>
          <w:rtl/>
        </w:rPr>
        <w:t>)</w:t>
      </w:r>
      <w:r w:rsidR="003967FE">
        <w:rPr>
          <w:rFonts w:ascii="David" w:hAnsi="David" w:cs="David" w:hint="cs"/>
          <w:rtl/>
        </w:rPr>
        <w:t xml:space="preserve"> שפותח בחטיבת המחקר</w:t>
      </w:r>
      <w:r w:rsidR="003967FE" w:rsidRPr="0086400E">
        <w:rPr>
          <w:rStyle w:val="a5"/>
          <w:rFonts w:ascii="David" w:hAnsi="David" w:cs="David"/>
          <w:rtl/>
        </w:rPr>
        <w:footnoteReference w:id="2"/>
      </w:r>
      <w:r w:rsidR="003967FE">
        <w:rPr>
          <w:rFonts w:ascii="David" w:hAnsi="David" w:cs="David" w:hint="cs"/>
          <w:rtl/>
        </w:rPr>
        <w:t>.</w:t>
      </w:r>
    </w:p>
    <w:p w:rsidR="00917C6D" w:rsidRPr="0086400E" w:rsidRDefault="00917C6D" w:rsidP="00917C6D">
      <w:pPr>
        <w:pStyle w:val="2"/>
        <w:ind w:left="113"/>
        <w:rPr>
          <w:rFonts w:ascii="David" w:hAnsi="David" w:cs="David"/>
        </w:rPr>
      </w:pPr>
      <w:r w:rsidRPr="0086400E">
        <w:rPr>
          <w:rFonts w:ascii="David" w:hAnsi="David" w:cs="David"/>
          <w:rtl/>
        </w:rPr>
        <w:t>הסביבה העולמית</w:t>
      </w:r>
    </w:p>
    <w:p w:rsidR="0053680E" w:rsidRDefault="009E4927" w:rsidP="00E05A87">
      <w:pPr>
        <w:spacing w:before="120" w:after="120"/>
        <w:ind w:left="113"/>
        <w:rPr>
          <w:rFonts w:ascii="David" w:hAnsi="David" w:cs="David"/>
          <w:rtl/>
        </w:rPr>
      </w:pPr>
      <w:r w:rsidRPr="00920C5B">
        <w:rPr>
          <w:rFonts w:ascii="David" w:hAnsi="David" w:cs="David"/>
          <w:rtl/>
        </w:rPr>
        <w:t>הערכותינו לגבי ההתפתחויות בסביבה העולמית מתבססות בעיקרן על התחזיות שמגבשים מוסדות בין-לאומיים ובתי השקעות זרים.</w:t>
      </w:r>
      <w:r w:rsidRPr="00920C5B">
        <w:rPr>
          <w:rFonts w:ascii="David" w:hAnsi="David" w:cs="David" w:hint="cs"/>
          <w:rtl/>
        </w:rPr>
        <w:t xml:space="preserve"> </w:t>
      </w:r>
      <w:r w:rsidRPr="00920C5B">
        <w:rPr>
          <w:rFonts w:ascii="David" w:hAnsi="David" w:cs="David"/>
          <w:rtl/>
        </w:rPr>
        <w:t xml:space="preserve">ההנחות בדבר </w:t>
      </w:r>
      <w:r w:rsidRPr="00920C5B">
        <w:rPr>
          <w:rFonts w:ascii="David" w:hAnsi="David" w:cs="David" w:hint="cs"/>
          <w:rtl/>
        </w:rPr>
        <w:t>התוצר</w:t>
      </w:r>
      <w:r w:rsidRPr="00920C5B">
        <w:rPr>
          <w:rFonts w:ascii="David" w:hAnsi="David" w:cs="David"/>
          <w:rtl/>
        </w:rPr>
        <w:t>, האינפלציה</w:t>
      </w:r>
      <w:r w:rsidR="00E11CC8">
        <w:rPr>
          <w:rFonts w:ascii="David" w:hAnsi="David" w:cs="David" w:hint="cs"/>
          <w:rtl/>
        </w:rPr>
        <w:t>,</w:t>
      </w:r>
      <w:r w:rsidRPr="00920C5B">
        <w:rPr>
          <w:rFonts w:ascii="David" w:hAnsi="David" w:cs="David"/>
          <w:rtl/>
        </w:rPr>
        <w:t xml:space="preserve"> </w:t>
      </w:r>
      <w:r>
        <w:rPr>
          <w:rFonts w:ascii="David" w:hAnsi="David" w:cs="David" w:hint="cs"/>
          <w:rtl/>
        </w:rPr>
        <w:t xml:space="preserve">הסחר העולמי </w:t>
      </w:r>
      <w:r w:rsidRPr="00920C5B">
        <w:rPr>
          <w:rFonts w:ascii="David" w:hAnsi="David" w:cs="David"/>
          <w:rtl/>
        </w:rPr>
        <w:t xml:space="preserve">והריבית </w:t>
      </w:r>
      <w:r w:rsidRPr="00920C5B">
        <w:rPr>
          <w:rFonts w:ascii="David" w:hAnsi="David" w:cs="David" w:hint="cs"/>
          <w:rtl/>
        </w:rPr>
        <w:t>במדינות המפותחות</w:t>
      </w:r>
      <w:r w:rsidRPr="00920C5B">
        <w:rPr>
          <w:rFonts w:ascii="David" w:hAnsi="David" w:cs="David"/>
          <w:rtl/>
        </w:rPr>
        <w:t xml:space="preserve"> </w:t>
      </w:r>
      <w:r>
        <w:rPr>
          <w:rFonts w:ascii="David" w:hAnsi="David" w:cs="David" w:hint="cs"/>
          <w:rtl/>
        </w:rPr>
        <w:t xml:space="preserve">משקפות החמרה ביחס </w:t>
      </w:r>
      <w:r w:rsidRPr="00920C5B">
        <w:rPr>
          <w:rFonts w:ascii="David" w:hAnsi="David" w:cs="David"/>
          <w:rtl/>
        </w:rPr>
        <w:t>לאלו ששימשו אותנו ב</w:t>
      </w:r>
      <w:r w:rsidRPr="00920C5B">
        <w:rPr>
          <w:rFonts w:ascii="David" w:hAnsi="David" w:cs="David" w:hint="cs"/>
          <w:rtl/>
        </w:rPr>
        <w:t>תחזית הקודמת.</w:t>
      </w:r>
      <w:r>
        <w:rPr>
          <w:rFonts w:ascii="David" w:hAnsi="David" w:cs="David" w:hint="cs"/>
          <w:rtl/>
        </w:rPr>
        <w:t xml:space="preserve"> </w:t>
      </w:r>
      <w:r w:rsidRPr="00920C5B">
        <w:rPr>
          <w:rFonts w:ascii="David" w:hAnsi="David" w:cs="David" w:hint="cs"/>
          <w:rtl/>
        </w:rPr>
        <w:t>בפרט,</w:t>
      </w:r>
      <w:r>
        <w:rPr>
          <w:rFonts w:ascii="David" w:hAnsi="David" w:cs="David"/>
          <w:rtl/>
        </w:rPr>
        <w:t xml:space="preserve"> </w:t>
      </w:r>
      <w:r>
        <w:rPr>
          <w:rFonts w:ascii="David" w:hAnsi="David" w:cs="David" w:hint="cs"/>
          <w:rtl/>
        </w:rPr>
        <w:t xml:space="preserve">הפחתנו את </w:t>
      </w:r>
      <w:r w:rsidRPr="00920C5B">
        <w:rPr>
          <w:rFonts w:ascii="David" w:hAnsi="David" w:cs="David" w:hint="cs"/>
          <w:rtl/>
        </w:rPr>
        <w:t xml:space="preserve">תחזית צמיחת </w:t>
      </w:r>
      <w:r w:rsidRPr="00920C5B">
        <w:rPr>
          <w:rFonts w:ascii="David" w:hAnsi="David" w:cs="David"/>
          <w:rtl/>
        </w:rPr>
        <w:t xml:space="preserve">יבוא </w:t>
      </w:r>
      <w:r w:rsidRPr="00920C5B">
        <w:rPr>
          <w:rFonts w:ascii="David" w:hAnsi="David" w:cs="David" w:hint="cs"/>
          <w:rtl/>
        </w:rPr>
        <w:t>המדינות המפותחות</w:t>
      </w:r>
      <w:r w:rsidRPr="00920C5B">
        <w:rPr>
          <w:rFonts w:ascii="David" w:hAnsi="David" w:cs="David"/>
          <w:rtl/>
        </w:rPr>
        <w:t xml:space="preserve"> בשנת 20</w:t>
      </w:r>
      <w:r w:rsidRPr="00920C5B">
        <w:rPr>
          <w:rFonts w:ascii="David" w:hAnsi="David" w:cs="David" w:hint="cs"/>
          <w:rtl/>
        </w:rPr>
        <w:t>20</w:t>
      </w:r>
      <w:r w:rsidRPr="00920C5B">
        <w:rPr>
          <w:rFonts w:ascii="David" w:hAnsi="David" w:cs="David"/>
          <w:rtl/>
        </w:rPr>
        <w:t xml:space="preserve"> </w:t>
      </w:r>
      <w:r w:rsidRPr="00920C5B">
        <w:rPr>
          <w:rFonts w:ascii="David" w:hAnsi="David" w:cs="David" w:hint="cs"/>
          <w:rtl/>
        </w:rPr>
        <w:t>ל</w:t>
      </w:r>
      <w:r w:rsidR="005B0CF9">
        <w:rPr>
          <w:rFonts w:ascii="David" w:hAnsi="David" w:cs="David" w:hint="cs"/>
          <w:rtl/>
        </w:rPr>
        <w:t xml:space="preserve">התכווצות של </w:t>
      </w:r>
      <w:r>
        <w:rPr>
          <w:rFonts w:ascii="David" w:hAnsi="David" w:cs="David" w:hint="cs"/>
          <w:rtl/>
        </w:rPr>
        <w:t>13</w:t>
      </w:r>
      <w:r w:rsidRPr="00920C5B">
        <w:rPr>
          <w:rFonts w:ascii="David" w:hAnsi="David" w:cs="David"/>
          <w:rtl/>
        </w:rPr>
        <w:t>%</w:t>
      </w:r>
      <w:r w:rsidRPr="00920C5B">
        <w:rPr>
          <w:rFonts w:ascii="David" w:hAnsi="David" w:cs="David" w:hint="cs"/>
          <w:rtl/>
        </w:rPr>
        <w:t>,</w:t>
      </w:r>
      <w:r w:rsidRPr="00920C5B">
        <w:rPr>
          <w:rFonts w:ascii="David" w:hAnsi="David" w:cs="David"/>
          <w:rtl/>
        </w:rPr>
        <w:t xml:space="preserve"> ו</w:t>
      </w:r>
      <w:r w:rsidRPr="00920C5B">
        <w:rPr>
          <w:rFonts w:ascii="David" w:hAnsi="David" w:cs="David" w:hint="cs"/>
          <w:rtl/>
        </w:rPr>
        <w:t>התחזית ל</w:t>
      </w:r>
      <w:r w:rsidRPr="00920C5B">
        <w:rPr>
          <w:rFonts w:ascii="David" w:hAnsi="David" w:cs="David"/>
          <w:rtl/>
        </w:rPr>
        <w:t>שנת 202</w:t>
      </w:r>
      <w:r w:rsidRPr="00920C5B">
        <w:rPr>
          <w:rFonts w:ascii="David" w:hAnsi="David" w:cs="David" w:hint="cs"/>
          <w:rtl/>
        </w:rPr>
        <w:t>1</w:t>
      </w:r>
      <w:r w:rsidRPr="00920C5B">
        <w:rPr>
          <w:rFonts w:ascii="David" w:hAnsi="David" w:cs="David"/>
          <w:rtl/>
        </w:rPr>
        <w:t xml:space="preserve"> </w:t>
      </w:r>
      <w:r>
        <w:rPr>
          <w:rFonts w:ascii="David" w:hAnsi="David" w:cs="David" w:hint="cs"/>
          <w:rtl/>
        </w:rPr>
        <w:t>הועלתה</w:t>
      </w:r>
      <w:r w:rsidRPr="00920C5B">
        <w:rPr>
          <w:rFonts w:ascii="David" w:hAnsi="David" w:cs="David" w:hint="cs"/>
          <w:rtl/>
        </w:rPr>
        <w:t xml:space="preserve"> </w:t>
      </w:r>
      <w:r>
        <w:rPr>
          <w:rFonts w:ascii="David" w:hAnsi="David" w:cs="David" w:hint="cs"/>
          <w:rtl/>
        </w:rPr>
        <w:t>ל-8%</w:t>
      </w:r>
      <w:r w:rsidRPr="00920C5B">
        <w:rPr>
          <w:rFonts w:ascii="David" w:hAnsi="David" w:cs="David"/>
          <w:rtl/>
        </w:rPr>
        <w:t xml:space="preserve">. </w:t>
      </w:r>
      <w:r>
        <w:rPr>
          <w:rFonts w:ascii="David" w:hAnsi="David" w:cs="David" w:hint="cs"/>
          <w:rtl/>
        </w:rPr>
        <w:t>באשר ל</w:t>
      </w:r>
      <w:r w:rsidRPr="00920C5B">
        <w:rPr>
          <w:rFonts w:ascii="David" w:hAnsi="David" w:cs="David" w:hint="cs"/>
          <w:rtl/>
        </w:rPr>
        <w:t>תוצר ב</w:t>
      </w:r>
      <w:r w:rsidRPr="00920C5B">
        <w:rPr>
          <w:rFonts w:ascii="David" w:hAnsi="David" w:cs="David"/>
          <w:rtl/>
        </w:rPr>
        <w:t>משקים המפותחים</w:t>
      </w:r>
      <w:r>
        <w:rPr>
          <w:rFonts w:ascii="David" w:hAnsi="David" w:cs="David" w:hint="cs"/>
          <w:rtl/>
        </w:rPr>
        <w:t xml:space="preserve"> </w:t>
      </w:r>
      <w:r>
        <w:rPr>
          <w:rFonts w:ascii="David" w:hAnsi="David" w:cs="David"/>
          <w:rtl/>
        </w:rPr>
        <w:t>–</w:t>
      </w:r>
      <w:r>
        <w:rPr>
          <w:rFonts w:ascii="David" w:hAnsi="David" w:cs="David" w:hint="cs"/>
          <w:rtl/>
        </w:rPr>
        <w:t xml:space="preserve"> אנחנו מניחים שהוא</w:t>
      </w:r>
      <w:r w:rsidRPr="00920C5B">
        <w:rPr>
          <w:rFonts w:ascii="David" w:hAnsi="David" w:cs="David"/>
          <w:rtl/>
        </w:rPr>
        <w:t xml:space="preserve"> </w:t>
      </w:r>
      <w:r>
        <w:rPr>
          <w:rFonts w:ascii="David" w:hAnsi="David" w:cs="David" w:hint="cs"/>
          <w:rtl/>
        </w:rPr>
        <w:t>יתכווץ</w:t>
      </w:r>
      <w:r w:rsidRPr="00920C5B">
        <w:rPr>
          <w:rFonts w:ascii="David" w:hAnsi="David" w:cs="David"/>
          <w:rtl/>
        </w:rPr>
        <w:t xml:space="preserve"> </w:t>
      </w:r>
      <w:r>
        <w:rPr>
          <w:rFonts w:ascii="David" w:hAnsi="David" w:cs="David" w:hint="cs"/>
          <w:rtl/>
        </w:rPr>
        <w:t xml:space="preserve">ב-2020 </w:t>
      </w:r>
      <w:r w:rsidRPr="00920C5B">
        <w:rPr>
          <w:rFonts w:ascii="David" w:hAnsi="David" w:cs="David"/>
          <w:rtl/>
        </w:rPr>
        <w:t>ב-</w:t>
      </w:r>
      <w:r>
        <w:rPr>
          <w:rFonts w:ascii="David" w:hAnsi="David" w:cs="David" w:hint="cs"/>
          <w:rtl/>
        </w:rPr>
        <w:t>8.0</w:t>
      </w:r>
      <w:r w:rsidRPr="00920C5B">
        <w:rPr>
          <w:rFonts w:ascii="David" w:hAnsi="David" w:cs="David"/>
          <w:rtl/>
        </w:rPr>
        <w:t xml:space="preserve">% </w:t>
      </w:r>
      <w:r w:rsidRPr="00920C5B">
        <w:rPr>
          <w:rFonts w:ascii="David" w:hAnsi="David" w:cs="David" w:hint="cs"/>
          <w:rtl/>
        </w:rPr>
        <w:t>ו</w:t>
      </w:r>
      <w:r>
        <w:rPr>
          <w:rFonts w:ascii="David" w:hAnsi="David" w:cs="David" w:hint="cs"/>
          <w:rtl/>
        </w:rPr>
        <w:t>יצמח ב-2021 ב</w:t>
      </w:r>
      <w:r w:rsidRPr="00920C5B">
        <w:rPr>
          <w:rFonts w:ascii="David" w:hAnsi="David" w:cs="David"/>
          <w:rtl/>
        </w:rPr>
        <w:t>-</w:t>
      </w:r>
      <w:r>
        <w:rPr>
          <w:rFonts w:ascii="David" w:hAnsi="David" w:cs="David" w:hint="cs"/>
          <w:rtl/>
        </w:rPr>
        <w:t>4.8</w:t>
      </w:r>
      <w:r w:rsidRPr="00920C5B">
        <w:rPr>
          <w:rFonts w:ascii="David" w:hAnsi="David" w:cs="David"/>
          <w:rtl/>
        </w:rPr>
        <w:t>%</w:t>
      </w:r>
      <w:r>
        <w:rPr>
          <w:rFonts w:ascii="David" w:hAnsi="David" w:cs="David" w:hint="cs"/>
          <w:rtl/>
        </w:rPr>
        <w:t>.</w:t>
      </w:r>
      <w:r w:rsidRPr="00920C5B">
        <w:rPr>
          <w:rFonts w:ascii="David" w:hAnsi="David" w:cs="David" w:hint="cs"/>
          <w:rtl/>
        </w:rPr>
        <w:t xml:space="preserve"> </w:t>
      </w:r>
      <w:r>
        <w:rPr>
          <w:rFonts w:ascii="David" w:hAnsi="David" w:cs="David" w:hint="cs"/>
          <w:rtl/>
        </w:rPr>
        <w:t>כמו כן,</w:t>
      </w:r>
      <w:r w:rsidRPr="00920C5B">
        <w:rPr>
          <w:rFonts w:ascii="David" w:hAnsi="David" w:cs="David" w:hint="cs"/>
          <w:rtl/>
        </w:rPr>
        <w:t xml:space="preserve"> </w:t>
      </w:r>
      <w:r>
        <w:rPr>
          <w:rFonts w:ascii="David" w:hAnsi="David" w:cs="David" w:hint="cs"/>
          <w:rtl/>
        </w:rPr>
        <w:t xml:space="preserve">אנו מניחים שבמדינות המפותחות </w:t>
      </w:r>
      <w:r w:rsidRPr="00920C5B">
        <w:rPr>
          <w:rFonts w:ascii="David" w:hAnsi="David" w:cs="David" w:hint="cs"/>
          <w:rtl/>
        </w:rPr>
        <w:t>האינפלציה</w:t>
      </w:r>
      <w:r w:rsidRPr="00920C5B">
        <w:rPr>
          <w:rFonts w:ascii="David" w:hAnsi="David" w:cs="David"/>
          <w:rtl/>
        </w:rPr>
        <w:t xml:space="preserve"> תסתכם ב-</w:t>
      </w:r>
      <w:r>
        <w:rPr>
          <w:rFonts w:ascii="David" w:hAnsi="David" w:cs="David" w:hint="cs"/>
          <w:rtl/>
        </w:rPr>
        <w:t>0.3</w:t>
      </w:r>
      <w:r w:rsidRPr="00920C5B">
        <w:rPr>
          <w:rFonts w:ascii="David" w:hAnsi="David" w:cs="David"/>
          <w:rtl/>
        </w:rPr>
        <w:t>% ו</w:t>
      </w:r>
      <w:r w:rsidRPr="00920C5B">
        <w:rPr>
          <w:rFonts w:ascii="David" w:hAnsi="David" w:cs="David" w:hint="cs"/>
          <w:rtl/>
        </w:rPr>
        <w:t>-</w:t>
      </w:r>
      <w:r w:rsidRPr="00920C5B">
        <w:rPr>
          <w:rFonts w:ascii="David" w:hAnsi="David" w:cs="David"/>
          <w:rtl/>
        </w:rPr>
        <w:t>1.</w:t>
      </w:r>
      <w:r>
        <w:rPr>
          <w:rFonts w:ascii="David" w:hAnsi="David" w:cs="David" w:hint="cs"/>
          <w:rtl/>
        </w:rPr>
        <w:t>5</w:t>
      </w:r>
      <w:r w:rsidRPr="00920C5B">
        <w:rPr>
          <w:rFonts w:ascii="David" w:hAnsi="David" w:cs="David"/>
          <w:rtl/>
        </w:rPr>
        <w:t>%</w:t>
      </w:r>
      <w:r>
        <w:rPr>
          <w:rFonts w:ascii="David" w:hAnsi="David" w:cs="David" w:hint="cs"/>
          <w:rtl/>
        </w:rPr>
        <w:t xml:space="preserve">, </w:t>
      </w:r>
      <w:r w:rsidRPr="00920C5B">
        <w:rPr>
          <w:rFonts w:ascii="David" w:hAnsi="David" w:cs="David" w:hint="cs"/>
          <w:rtl/>
        </w:rPr>
        <w:t xml:space="preserve">בשנים אלו </w:t>
      </w:r>
      <w:r>
        <w:rPr>
          <w:rFonts w:ascii="David" w:hAnsi="David" w:cs="David" w:hint="cs"/>
          <w:rtl/>
        </w:rPr>
        <w:t>בהתאמה, והריבית המוניטרית תישאר עד סוף 2021 על רמה ממוצעת של 0.1%</w:t>
      </w:r>
      <w:r w:rsidRPr="00920C5B">
        <w:rPr>
          <w:rFonts w:ascii="David" w:hAnsi="David" w:cs="David"/>
          <w:rtl/>
        </w:rPr>
        <w:t>.</w:t>
      </w:r>
      <w:r>
        <w:rPr>
          <w:rFonts w:ascii="David" w:hAnsi="David" w:cs="David" w:hint="cs"/>
          <w:rtl/>
        </w:rPr>
        <w:t xml:space="preserve"> </w:t>
      </w:r>
      <w:r w:rsidR="0053680E" w:rsidRPr="00166515">
        <w:rPr>
          <w:rFonts w:ascii="David" w:hAnsi="David" w:cs="David" w:hint="cs"/>
          <w:rtl/>
        </w:rPr>
        <w:t xml:space="preserve">מחיר הנפט </w:t>
      </w:r>
      <w:r w:rsidR="0053680E">
        <w:rPr>
          <w:rFonts w:ascii="David" w:hAnsi="David" w:cs="David" w:hint="cs"/>
          <w:rtl/>
        </w:rPr>
        <w:t>התאושש מעט מאז פרסום תחזית מאי</w:t>
      </w:r>
      <w:r w:rsidR="0053680E" w:rsidRPr="00166515">
        <w:rPr>
          <w:rFonts w:ascii="David" w:hAnsi="David" w:cs="David" w:hint="cs"/>
          <w:rtl/>
        </w:rPr>
        <w:t xml:space="preserve"> </w:t>
      </w:r>
      <w:r w:rsidR="0053680E" w:rsidRPr="00166515">
        <w:rPr>
          <w:rFonts w:ascii="David" w:hAnsi="David" w:cs="David"/>
          <w:rtl/>
        </w:rPr>
        <w:t>–</w:t>
      </w:r>
      <w:r w:rsidR="0053680E" w:rsidRPr="00166515">
        <w:rPr>
          <w:rFonts w:ascii="David" w:hAnsi="David" w:cs="David" w:hint="cs"/>
          <w:rtl/>
        </w:rPr>
        <w:t xml:space="preserve"> </w:t>
      </w:r>
      <w:r w:rsidR="0053680E" w:rsidRPr="00166515">
        <w:rPr>
          <w:rFonts w:ascii="David" w:hAnsi="David" w:cs="David" w:hint="eastAsia"/>
          <w:rtl/>
        </w:rPr>
        <w:t>המחיר</w:t>
      </w:r>
      <w:r w:rsidR="0053680E" w:rsidRPr="00166515">
        <w:rPr>
          <w:rFonts w:ascii="David" w:hAnsi="David" w:cs="David"/>
          <w:rtl/>
        </w:rPr>
        <w:t xml:space="preserve"> הממוצע </w:t>
      </w:r>
      <w:r w:rsidR="0053680E" w:rsidRPr="00166515">
        <w:rPr>
          <w:rFonts w:ascii="David" w:hAnsi="David" w:cs="David" w:hint="eastAsia"/>
          <w:rtl/>
        </w:rPr>
        <w:t>ברבעון</w:t>
      </w:r>
      <w:r w:rsidR="0053680E" w:rsidRPr="00166515">
        <w:rPr>
          <w:rFonts w:ascii="David" w:hAnsi="David" w:cs="David"/>
          <w:rtl/>
        </w:rPr>
        <w:t xml:space="preserve"> </w:t>
      </w:r>
      <w:r w:rsidR="0053680E">
        <w:rPr>
          <w:rFonts w:ascii="David" w:hAnsi="David" w:cs="David" w:hint="cs"/>
          <w:rtl/>
        </w:rPr>
        <w:t>השני</w:t>
      </w:r>
      <w:r w:rsidR="0053680E" w:rsidRPr="00166515">
        <w:rPr>
          <w:rFonts w:ascii="David" w:hAnsi="David" w:cs="David" w:hint="eastAsia"/>
          <w:rtl/>
        </w:rPr>
        <w:t xml:space="preserve"> </w:t>
      </w:r>
      <w:r w:rsidR="0053680E">
        <w:rPr>
          <w:rFonts w:ascii="David" w:hAnsi="David" w:cs="David" w:hint="cs"/>
          <w:rtl/>
        </w:rPr>
        <w:t>ב-</w:t>
      </w:r>
      <w:r w:rsidR="0053680E" w:rsidRPr="00166515">
        <w:rPr>
          <w:rFonts w:ascii="David" w:hAnsi="David" w:cs="David" w:hint="cs"/>
          <w:rtl/>
        </w:rPr>
        <w:t>2020</w:t>
      </w:r>
      <w:r w:rsidR="0053680E">
        <w:rPr>
          <w:rFonts w:ascii="David" w:hAnsi="David" w:cs="David" w:hint="cs"/>
          <w:rtl/>
        </w:rPr>
        <w:t xml:space="preserve"> </w:t>
      </w:r>
      <w:r w:rsidR="0053680E" w:rsidRPr="00166515">
        <w:rPr>
          <w:rFonts w:ascii="David" w:hAnsi="David" w:cs="David" w:hint="eastAsia"/>
          <w:rtl/>
        </w:rPr>
        <w:t>של</w:t>
      </w:r>
      <w:r w:rsidR="0053680E" w:rsidRPr="00166515">
        <w:rPr>
          <w:rFonts w:ascii="David" w:hAnsi="David" w:cs="David"/>
          <w:rtl/>
        </w:rPr>
        <w:t xml:space="preserve"> </w:t>
      </w:r>
      <w:r w:rsidR="0053680E" w:rsidRPr="00166515">
        <w:rPr>
          <w:rFonts w:ascii="David" w:hAnsi="David" w:cs="David" w:hint="eastAsia"/>
          <w:rtl/>
        </w:rPr>
        <w:t>חבית</w:t>
      </w:r>
      <w:r w:rsidR="0053680E" w:rsidRPr="00166515">
        <w:rPr>
          <w:rFonts w:ascii="David" w:hAnsi="David" w:cs="David"/>
          <w:rtl/>
        </w:rPr>
        <w:t xml:space="preserve"> נפט מסוג "ברנט" עמד </w:t>
      </w:r>
      <w:r w:rsidR="0053680E" w:rsidRPr="00166515">
        <w:rPr>
          <w:rFonts w:ascii="David" w:hAnsi="David" w:cs="David" w:hint="eastAsia"/>
          <w:rtl/>
        </w:rPr>
        <w:t>על</w:t>
      </w:r>
      <w:r w:rsidR="0053680E" w:rsidRPr="00166515">
        <w:rPr>
          <w:rFonts w:ascii="David" w:hAnsi="David" w:cs="David"/>
          <w:rtl/>
        </w:rPr>
        <w:t xml:space="preserve"> </w:t>
      </w:r>
      <w:r w:rsidR="0053680E" w:rsidRPr="00166515">
        <w:rPr>
          <w:rFonts w:ascii="David" w:hAnsi="David" w:cs="David" w:hint="eastAsia"/>
          <w:rtl/>
        </w:rPr>
        <w:t>כ</w:t>
      </w:r>
      <w:r w:rsidR="0053680E" w:rsidRPr="00166515">
        <w:rPr>
          <w:rFonts w:ascii="David" w:hAnsi="David" w:cs="David"/>
          <w:rtl/>
        </w:rPr>
        <w:t>-</w:t>
      </w:r>
      <w:r w:rsidR="0053680E">
        <w:rPr>
          <w:rFonts w:ascii="David" w:hAnsi="David" w:cs="David" w:hint="cs"/>
          <w:rtl/>
        </w:rPr>
        <w:t>33</w:t>
      </w:r>
      <w:r w:rsidR="0053680E" w:rsidRPr="00166515">
        <w:rPr>
          <w:rFonts w:ascii="David" w:hAnsi="David" w:cs="David"/>
          <w:rtl/>
        </w:rPr>
        <w:t xml:space="preserve"> דולרים</w:t>
      </w:r>
      <w:r w:rsidR="0053680E" w:rsidRPr="00166515">
        <w:rPr>
          <w:rFonts w:ascii="David" w:hAnsi="David" w:cs="David" w:hint="cs"/>
          <w:rtl/>
        </w:rPr>
        <w:t>, נמוך בכ-</w:t>
      </w:r>
      <w:r w:rsidR="0053680E">
        <w:rPr>
          <w:rFonts w:ascii="David" w:hAnsi="David" w:cs="David" w:hint="cs"/>
          <w:rtl/>
        </w:rPr>
        <w:t>35</w:t>
      </w:r>
      <w:r w:rsidR="0053680E" w:rsidRPr="00166515">
        <w:rPr>
          <w:rFonts w:ascii="David" w:hAnsi="David" w:cs="David" w:hint="cs"/>
          <w:rtl/>
        </w:rPr>
        <w:t xml:space="preserve">% מהמחיר הממוצע ברבעון </w:t>
      </w:r>
      <w:r w:rsidR="0053680E">
        <w:rPr>
          <w:rFonts w:ascii="David" w:hAnsi="David" w:cs="David" w:hint="cs"/>
          <w:rtl/>
        </w:rPr>
        <w:t xml:space="preserve">הראשון, </w:t>
      </w:r>
      <w:r w:rsidR="0053680E">
        <w:rPr>
          <w:rFonts w:ascii="David" w:eastAsia="Calibri" w:hAnsi="David" w:cs="David" w:hint="cs"/>
          <w:rtl/>
        </w:rPr>
        <w:t xml:space="preserve">אולם במהלך הרבעון עלה </w:t>
      </w:r>
      <w:r w:rsidR="00E05A87">
        <w:rPr>
          <w:rFonts w:ascii="David" w:eastAsia="Calibri" w:hAnsi="David" w:cs="David" w:hint="cs"/>
          <w:rtl/>
        </w:rPr>
        <w:t xml:space="preserve">המחיר </w:t>
      </w:r>
      <w:r w:rsidR="0053680E">
        <w:rPr>
          <w:rFonts w:ascii="David" w:eastAsia="Calibri" w:hAnsi="David" w:cs="David" w:hint="cs"/>
          <w:rtl/>
        </w:rPr>
        <w:t xml:space="preserve">עד לכ-41 דולרים </w:t>
      </w:r>
      <w:r w:rsidR="00E05A87">
        <w:rPr>
          <w:rFonts w:ascii="David" w:eastAsia="Calibri" w:hAnsi="David" w:cs="David" w:hint="cs"/>
          <w:rtl/>
        </w:rPr>
        <w:t>בסוף הרבעון</w:t>
      </w:r>
      <w:r w:rsidR="0053680E">
        <w:rPr>
          <w:rFonts w:ascii="David" w:hAnsi="David" w:cs="David" w:hint="cs"/>
          <w:rtl/>
        </w:rPr>
        <w:t>.</w:t>
      </w:r>
    </w:p>
    <w:p w:rsidR="009E4927" w:rsidRPr="00166515" w:rsidRDefault="005B0CF9" w:rsidP="005B0CF9">
      <w:pPr>
        <w:spacing w:before="120" w:after="120"/>
        <w:ind w:left="113"/>
        <w:rPr>
          <w:rFonts w:ascii="David" w:hAnsi="David" w:cs="David"/>
          <w:rtl/>
        </w:rPr>
      </w:pPr>
      <w:r w:rsidRPr="005B0CF9">
        <w:rPr>
          <w:rFonts w:ascii="David" w:hAnsi="David" w:cs="David" w:hint="cs"/>
          <w:rtl/>
        </w:rPr>
        <w:t>אי הו</w:t>
      </w:r>
      <w:r w:rsidR="00E05A87">
        <w:rPr>
          <w:rFonts w:ascii="David" w:hAnsi="David" w:cs="David" w:hint="cs"/>
          <w:rtl/>
        </w:rPr>
        <w:t>ו</w:t>
      </w:r>
      <w:r w:rsidRPr="005B0CF9">
        <w:rPr>
          <w:rFonts w:ascii="David" w:hAnsi="David" w:cs="David" w:hint="cs"/>
          <w:rtl/>
        </w:rPr>
        <w:t xml:space="preserve">דאות ביחס להתפתחויות אלו גבוהה, ובפרט אי הוודאות לגבי </w:t>
      </w:r>
      <w:r w:rsidR="00E05A87">
        <w:rPr>
          <w:rFonts w:ascii="David" w:hAnsi="David" w:cs="David" w:hint="cs"/>
          <w:rtl/>
        </w:rPr>
        <w:t>ה</w:t>
      </w:r>
      <w:r w:rsidRPr="005B0CF9">
        <w:rPr>
          <w:rFonts w:ascii="David" w:hAnsi="David" w:cs="David" w:hint="cs"/>
          <w:rtl/>
        </w:rPr>
        <w:t>מגבלות על הפעילות הכלכלית כתוצאה מגל תחלואה שני. יחד עם זאת, במסגרת התחזית אנו מניחים שלא תהיה החמרה במגבלות על הפעילות הכלכלית על רקע גל תחלואה שני ב</w:t>
      </w:r>
      <w:r w:rsidR="004048D5">
        <w:rPr>
          <w:rFonts w:ascii="David" w:hAnsi="David" w:cs="David" w:hint="cs"/>
          <w:rtl/>
        </w:rPr>
        <w:t>ארץ וב</w:t>
      </w:r>
      <w:r w:rsidRPr="005B0CF9">
        <w:rPr>
          <w:rFonts w:ascii="David" w:hAnsi="David" w:cs="David" w:hint="cs"/>
          <w:rtl/>
        </w:rPr>
        <w:t>עולם.</w:t>
      </w:r>
    </w:p>
    <w:p w:rsidR="00917C6D" w:rsidRPr="0086400E" w:rsidRDefault="00917C6D" w:rsidP="00917C6D">
      <w:pPr>
        <w:pStyle w:val="2"/>
        <w:ind w:left="113"/>
        <w:rPr>
          <w:rFonts w:ascii="David" w:hAnsi="David" w:cs="David"/>
          <w:rtl/>
        </w:rPr>
      </w:pPr>
      <w:r w:rsidRPr="0086400E">
        <w:rPr>
          <w:rFonts w:ascii="David" w:hAnsi="David" w:cs="David"/>
          <w:rtl/>
        </w:rPr>
        <w:lastRenderedPageBreak/>
        <w:t>הפעילות הריאלית בישראל</w:t>
      </w:r>
    </w:p>
    <w:p w:rsidR="00BE6A4E" w:rsidRDefault="00BE6A4E" w:rsidP="005B0CF9">
      <w:pPr>
        <w:spacing w:before="120" w:after="120"/>
        <w:ind w:left="113"/>
        <w:rPr>
          <w:rFonts w:ascii="David" w:hAnsi="David" w:cs="David"/>
          <w:rtl/>
        </w:rPr>
      </w:pPr>
      <w:bookmarkStart w:id="1" w:name="_Ref503088307"/>
      <w:r>
        <w:rPr>
          <w:rFonts w:ascii="David" w:hAnsi="David" w:cs="David" w:hint="cs"/>
          <w:b/>
          <w:bCs/>
          <w:rtl/>
        </w:rPr>
        <w:t>התוצר צפוי להתכווץ בשיעור של</w:t>
      </w:r>
      <w:r w:rsidRPr="0086400E">
        <w:rPr>
          <w:rFonts w:ascii="David" w:hAnsi="David" w:cs="David"/>
          <w:b/>
          <w:bCs/>
          <w:rtl/>
        </w:rPr>
        <w:t xml:space="preserve"> </w:t>
      </w:r>
      <w:r>
        <w:rPr>
          <w:rFonts w:ascii="David" w:hAnsi="David" w:cs="David" w:hint="cs"/>
          <w:b/>
          <w:bCs/>
          <w:rtl/>
        </w:rPr>
        <w:t>6% בשנת 2020</w:t>
      </w:r>
      <w:r w:rsidRPr="0086400E">
        <w:rPr>
          <w:rFonts w:ascii="David" w:hAnsi="David" w:cs="David"/>
          <w:b/>
          <w:bCs/>
          <w:rtl/>
        </w:rPr>
        <w:t>,</w:t>
      </w:r>
      <w:r>
        <w:rPr>
          <w:rFonts w:ascii="David" w:hAnsi="David" w:cs="David" w:hint="cs"/>
          <w:b/>
          <w:bCs/>
          <w:rtl/>
        </w:rPr>
        <w:t xml:space="preserve"> נמוך ב-1.5</w:t>
      </w:r>
      <w:r w:rsidR="005B0CF9">
        <w:rPr>
          <w:rFonts w:ascii="David" w:hAnsi="David" w:cs="David" w:hint="cs"/>
          <w:b/>
          <w:bCs/>
          <w:rtl/>
        </w:rPr>
        <w:t xml:space="preserve"> נקודת אחוז</w:t>
      </w:r>
      <w:r>
        <w:rPr>
          <w:rFonts w:ascii="David" w:hAnsi="David" w:cs="David" w:hint="cs"/>
          <w:b/>
          <w:bCs/>
          <w:rtl/>
        </w:rPr>
        <w:t xml:space="preserve"> מהתחזית הקודמת,</w:t>
      </w:r>
      <w:r w:rsidRPr="0086400E">
        <w:rPr>
          <w:rFonts w:ascii="David" w:hAnsi="David" w:cs="David"/>
          <w:b/>
          <w:bCs/>
          <w:rtl/>
        </w:rPr>
        <w:t xml:space="preserve"> </w:t>
      </w:r>
      <w:r>
        <w:rPr>
          <w:rFonts w:ascii="David" w:hAnsi="David" w:cs="David" w:hint="cs"/>
          <w:b/>
          <w:bCs/>
          <w:rtl/>
        </w:rPr>
        <w:t xml:space="preserve">והוא צפוי לצמוח בשיעור של 7.5% בשנת 2021 </w:t>
      </w:r>
      <w:r w:rsidRPr="0086400E">
        <w:rPr>
          <w:rFonts w:ascii="David" w:hAnsi="David" w:cs="David"/>
          <w:rtl/>
        </w:rPr>
        <w:t>(</w:t>
      </w:r>
      <w:r w:rsidRPr="0086400E">
        <w:rPr>
          <w:rFonts w:ascii="David" w:hAnsi="David" w:cs="David"/>
          <w:rtl/>
        </w:rPr>
        <w:fldChar w:fldCharType="begin"/>
      </w:r>
      <w:r w:rsidRPr="0086400E">
        <w:rPr>
          <w:rFonts w:ascii="David" w:hAnsi="David" w:cs="David"/>
          <w:rtl/>
        </w:rPr>
        <w:instrText xml:space="preserve"> </w:instrText>
      </w:r>
      <w:r w:rsidRPr="0086400E">
        <w:rPr>
          <w:rFonts w:ascii="David" w:hAnsi="David" w:cs="David"/>
        </w:rPr>
        <w:instrText>REF</w:instrText>
      </w:r>
      <w:r w:rsidRPr="0086400E">
        <w:rPr>
          <w:rFonts w:ascii="David" w:hAnsi="David" w:cs="David"/>
          <w:rtl/>
        </w:rPr>
        <w:instrText xml:space="preserve"> _</w:instrText>
      </w:r>
      <w:r w:rsidRPr="0086400E">
        <w:rPr>
          <w:rFonts w:ascii="David" w:hAnsi="David" w:cs="David"/>
        </w:rPr>
        <w:instrText>Ref503088307 \h</w:instrText>
      </w:r>
      <w:r w:rsidRPr="0086400E">
        <w:rPr>
          <w:rFonts w:ascii="David" w:hAnsi="David" w:cs="David"/>
          <w:rtl/>
        </w:rPr>
        <w:instrText xml:space="preserve">  \* </w:instrText>
      </w:r>
      <w:r w:rsidRPr="0086400E">
        <w:rPr>
          <w:rFonts w:ascii="David" w:hAnsi="David" w:cs="David"/>
        </w:rPr>
        <w:instrText>MERGEFORMAT</w:instrText>
      </w:r>
      <w:r w:rsidRPr="0086400E">
        <w:rPr>
          <w:rFonts w:ascii="David" w:hAnsi="David" w:cs="David"/>
          <w:rtl/>
        </w:rPr>
        <w:instrText xml:space="preserve"> </w:instrText>
      </w:r>
      <w:r w:rsidRPr="0086400E">
        <w:rPr>
          <w:rFonts w:ascii="David" w:hAnsi="David" w:cs="David"/>
          <w:rtl/>
        </w:rPr>
      </w:r>
      <w:r w:rsidRPr="0086400E">
        <w:rPr>
          <w:rFonts w:ascii="David" w:hAnsi="David" w:cs="David"/>
          <w:rtl/>
        </w:rPr>
        <w:fldChar w:fldCharType="separate"/>
      </w:r>
      <w:r w:rsidRPr="0086400E">
        <w:rPr>
          <w:rFonts w:ascii="David" w:hAnsi="David" w:cs="David"/>
          <w:rtl/>
        </w:rPr>
        <w:t xml:space="preserve">לוח </w:t>
      </w:r>
      <w:r>
        <w:rPr>
          <w:rFonts w:ascii="David" w:hAnsi="David" w:cs="David"/>
          <w:noProof/>
          <w:rtl/>
        </w:rPr>
        <w:t>1</w:t>
      </w:r>
      <w:r w:rsidRPr="0086400E">
        <w:rPr>
          <w:rFonts w:ascii="David" w:hAnsi="David" w:cs="David"/>
          <w:rtl/>
        </w:rPr>
        <w:fldChar w:fldCharType="end"/>
      </w:r>
      <w:r w:rsidRPr="0086400E">
        <w:rPr>
          <w:rFonts w:ascii="David" w:hAnsi="David" w:cs="David"/>
          <w:rtl/>
        </w:rPr>
        <w:t>).</w:t>
      </w:r>
      <w:r>
        <w:rPr>
          <w:rFonts w:ascii="David" w:hAnsi="David" w:cs="David" w:hint="cs"/>
          <w:rtl/>
        </w:rPr>
        <w:t xml:space="preserve"> העדכון מטה בפעילות הריאלית ב-2020 מוסבר בעלייה בנתוני התחלואה המגדילים את אי הו</w:t>
      </w:r>
      <w:r w:rsidR="00E11CC8">
        <w:rPr>
          <w:rFonts w:ascii="David" w:hAnsi="David" w:cs="David" w:hint="cs"/>
          <w:rtl/>
        </w:rPr>
        <w:t>ו</w:t>
      </w:r>
      <w:r>
        <w:rPr>
          <w:rFonts w:ascii="David" w:hAnsi="David" w:cs="David" w:hint="cs"/>
          <w:rtl/>
        </w:rPr>
        <w:t>דאות ומעכבים את החזרה לשגרת פעילות כלכלית, בקצב הירידה בשיעורי ההשבתה בענפי המשק השונים הנמוך ביחס להערכותינו בתחזית מאי</w:t>
      </w:r>
      <w:r w:rsidR="00E11CC8">
        <w:rPr>
          <w:rFonts w:ascii="David" w:hAnsi="David" w:cs="David" w:hint="cs"/>
          <w:rtl/>
        </w:rPr>
        <w:t>,</w:t>
      </w:r>
      <w:r>
        <w:rPr>
          <w:rFonts w:ascii="David" w:hAnsi="David" w:cs="David" w:hint="cs"/>
          <w:rtl/>
        </w:rPr>
        <w:t xml:space="preserve"> ובהתפתחויות בעולם. הירידה הצפויה בתוצר ב-2020 משתקפת בכל השימושים, למעט בצריכה הציבורית (לוח 1). </w:t>
      </w:r>
    </w:p>
    <w:p w:rsidR="00BE6A4E" w:rsidRPr="002D2275" w:rsidRDefault="00BE6A4E" w:rsidP="00E05A87">
      <w:pPr>
        <w:spacing w:after="120"/>
        <w:ind w:left="113"/>
        <w:rPr>
          <w:rFonts w:ascii="David" w:hAnsi="David" w:cs="David"/>
          <w:rtl/>
        </w:rPr>
      </w:pPr>
      <w:r>
        <w:rPr>
          <w:rFonts w:ascii="David" w:hAnsi="David" w:cs="David" w:hint="cs"/>
          <w:rtl/>
        </w:rPr>
        <w:t>הצריכה הפרטית צפויה לרדת ב-6.5% ב-2020, על אף התאוששותה החל מהרבעון השלישי. זאת, על רקע פגיעה צפויה בתעסוקה ובהכנסות, עלייה באי-הו</w:t>
      </w:r>
      <w:r w:rsidR="00E11CC8">
        <w:rPr>
          <w:rFonts w:ascii="David" w:hAnsi="David" w:cs="David" w:hint="cs"/>
          <w:rtl/>
        </w:rPr>
        <w:t>ו</w:t>
      </w:r>
      <w:r>
        <w:rPr>
          <w:rFonts w:ascii="David" w:hAnsi="David" w:cs="David" w:hint="cs"/>
          <w:rtl/>
        </w:rPr>
        <w:t xml:space="preserve">דאות ומגבלות התו הסגול, אשר ימתנו את </w:t>
      </w:r>
      <w:proofErr w:type="spellStart"/>
      <w:r>
        <w:rPr>
          <w:rFonts w:ascii="David" w:hAnsi="David" w:cs="David" w:hint="cs"/>
          <w:rtl/>
        </w:rPr>
        <w:t>הביקושים</w:t>
      </w:r>
      <w:proofErr w:type="spellEnd"/>
      <w:r>
        <w:rPr>
          <w:rFonts w:ascii="David" w:hAnsi="David" w:cs="David" w:hint="cs"/>
          <w:rtl/>
        </w:rPr>
        <w:t xml:space="preserve">. </w:t>
      </w:r>
      <w:r w:rsidR="00E11CC8">
        <w:rPr>
          <w:rFonts w:ascii="David" w:hAnsi="David" w:cs="David" w:hint="cs"/>
          <w:rtl/>
        </w:rPr>
        <w:t>ה</w:t>
      </w:r>
      <w:r>
        <w:rPr>
          <w:rFonts w:ascii="David" w:hAnsi="David" w:cs="David" w:hint="cs"/>
          <w:rtl/>
        </w:rPr>
        <w:t xml:space="preserve">ירידה </w:t>
      </w:r>
      <w:r w:rsidR="00E11CC8">
        <w:rPr>
          <w:rFonts w:ascii="David" w:hAnsi="David" w:cs="David" w:hint="cs"/>
          <w:rtl/>
        </w:rPr>
        <w:t>ה</w:t>
      </w:r>
      <w:r>
        <w:rPr>
          <w:rFonts w:ascii="David" w:hAnsi="David" w:cs="David" w:hint="cs"/>
          <w:rtl/>
        </w:rPr>
        <w:t>שנתית בצריכה הפרטית, הינה חריגה בהסתכלות היסטורית ולא נרשמה</w:t>
      </w:r>
      <w:r w:rsidR="00E05A87">
        <w:rPr>
          <w:rFonts w:ascii="David" w:hAnsi="David" w:cs="David" w:hint="cs"/>
          <w:rtl/>
        </w:rPr>
        <w:t xml:space="preserve"> כדוגמתה</w:t>
      </w:r>
      <w:r>
        <w:rPr>
          <w:rFonts w:ascii="David" w:hAnsi="David" w:cs="David" w:hint="cs"/>
          <w:rtl/>
        </w:rPr>
        <w:t xml:space="preserve"> כלל </w:t>
      </w:r>
      <w:r w:rsidR="00E05A87">
        <w:rPr>
          <w:rFonts w:ascii="David" w:hAnsi="David" w:cs="David" w:hint="cs"/>
          <w:rtl/>
        </w:rPr>
        <w:t>מאז 1984</w:t>
      </w:r>
      <w:r>
        <w:rPr>
          <w:rFonts w:ascii="David" w:hAnsi="David" w:cs="David" w:hint="cs"/>
          <w:rtl/>
        </w:rPr>
        <w:t xml:space="preserve">. ב-2021 צפויה הצריכה הפרטית להתאושש ולצמוח ב-8% אולם עדיין רמתה תהיה נמוכה ביחס לרמה </w:t>
      </w:r>
      <w:r w:rsidRPr="002D2275">
        <w:rPr>
          <w:rFonts w:ascii="David" w:hAnsi="David" w:cs="David" w:hint="cs"/>
          <w:rtl/>
        </w:rPr>
        <w:t>הנגזרת מהמגמה טרם המשבר.</w:t>
      </w:r>
    </w:p>
    <w:p w:rsidR="00BE6A4E" w:rsidRDefault="00BE6A4E" w:rsidP="0053680E">
      <w:pPr>
        <w:spacing w:after="120"/>
        <w:ind w:left="113"/>
        <w:rPr>
          <w:rFonts w:ascii="David" w:hAnsi="David" w:cs="David"/>
          <w:rtl/>
        </w:rPr>
      </w:pPr>
      <w:r w:rsidRPr="002D2275">
        <w:rPr>
          <w:rFonts w:ascii="David" w:hAnsi="David" w:cs="David" w:hint="cs"/>
          <w:rtl/>
        </w:rPr>
        <w:t>ההשקעות צפויות לרדת ב-</w:t>
      </w:r>
      <w:r>
        <w:rPr>
          <w:rFonts w:ascii="David" w:hAnsi="David" w:cs="David" w:hint="cs"/>
          <w:rtl/>
        </w:rPr>
        <w:t>2020 ב-13.5% על רקע העלייה באי-הו</w:t>
      </w:r>
      <w:r w:rsidR="00E11CC8">
        <w:rPr>
          <w:rFonts w:ascii="David" w:hAnsi="David" w:cs="David" w:hint="cs"/>
          <w:rtl/>
        </w:rPr>
        <w:t>ו</w:t>
      </w:r>
      <w:r>
        <w:rPr>
          <w:rFonts w:ascii="David" w:hAnsi="David" w:cs="David" w:hint="cs"/>
          <w:rtl/>
        </w:rPr>
        <w:t xml:space="preserve">דאות והצפי לירידה בפעילות, ולעלות ב-2021 ב-5.5%. היצוא צפוי לרדת ב-2020 ב-13%, על אף נתונים טובים יחסית על פי האומדן השני של החשבונאות הלאומית לרבעון הראשון, על רקע הירידה הגדולה הצפויה בסחר העולמי. בהתאם להתאוששות הצפויה בסחר העולמי ב-2021 אנו מעריכים כי היצוא יצמח ב-2021 ב-7.5%. </w:t>
      </w:r>
    </w:p>
    <w:p w:rsidR="00BE6A4E" w:rsidRDefault="00BE6A4E" w:rsidP="00F906E1">
      <w:pPr>
        <w:spacing w:after="120"/>
        <w:ind w:left="113"/>
        <w:rPr>
          <w:rFonts w:ascii="David" w:hAnsi="David" w:cs="David"/>
          <w:rtl/>
        </w:rPr>
      </w:pPr>
      <w:r>
        <w:rPr>
          <w:rFonts w:ascii="David" w:hAnsi="David" w:cs="David" w:hint="cs"/>
          <w:rtl/>
        </w:rPr>
        <w:t xml:space="preserve">לעומת אלו צפויה </w:t>
      </w:r>
      <w:r w:rsidR="00F906E1">
        <w:rPr>
          <w:rFonts w:ascii="David" w:hAnsi="David" w:cs="David" w:hint="cs"/>
          <w:rtl/>
        </w:rPr>
        <w:t xml:space="preserve">הצריכה </w:t>
      </w:r>
      <w:r>
        <w:rPr>
          <w:rFonts w:ascii="David" w:hAnsi="David" w:cs="David" w:hint="cs"/>
          <w:rtl/>
        </w:rPr>
        <w:t xml:space="preserve">הציבורית לעלות ב-2020 </w:t>
      </w:r>
      <w:r>
        <w:rPr>
          <w:rFonts w:ascii="David" w:hAnsi="David" w:cs="David"/>
          <w:rtl/>
        </w:rPr>
        <w:t>–</w:t>
      </w:r>
      <w:r>
        <w:rPr>
          <w:rFonts w:ascii="David" w:hAnsi="David" w:cs="David" w:hint="cs"/>
          <w:rtl/>
        </w:rPr>
        <w:t xml:space="preserve"> </w:t>
      </w:r>
      <w:r w:rsidR="00F906E1">
        <w:rPr>
          <w:rFonts w:ascii="David" w:hAnsi="David" w:cs="David" w:hint="cs"/>
          <w:rtl/>
        </w:rPr>
        <w:t>בעיקר</w:t>
      </w:r>
      <w:r>
        <w:rPr>
          <w:rFonts w:ascii="David" w:hAnsi="David" w:cs="David" w:hint="cs"/>
          <w:rtl/>
        </w:rPr>
        <w:t xml:space="preserve"> בשל תרומת החבילה הפיסקאלית שאישרה הממשלה לתמיכה בפעילות הכלכלית ובתעסוקה. הפער ביחס לתחזית מחודש מאי מוסבר בעדכון ההערכה לגבי ההוצאה הממשלתית בפועל. גרעון הממשלה צפוי לעמוד ב-2020 על כ-12 אחוזי תוצר ויחס החוב לתוצר צפוי לעלות ל-75% (לעומת 11% ו-74%, בהתאמה, בתחזית מאי). ב-2021 צפוי הגרעון לעמוד על 6.9% תוצר ויחס החוב-תוצר על 77%. </w:t>
      </w:r>
    </w:p>
    <w:p w:rsidR="00BE6A4E" w:rsidRDefault="00BE6A4E" w:rsidP="0053680E">
      <w:pPr>
        <w:spacing w:after="120"/>
        <w:ind w:left="113"/>
        <w:rPr>
          <w:rFonts w:ascii="David" w:hAnsi="David" w:cs="David"/>
          <w:rtl/>
        </w:rPr>
      </w:pPr>
      <w:r>
        <w:rPr>
          <w:rFonts w:ascii="David" w:hAnsi="David" w:cs="David" w:hint="cs"/>
          <w:rtl/>
        </w:rPr>
        <w:t>בצד המקורות, היבוא צפוי להתכווץ אף הוא ב-2020, בשיעור של 14%, ולצמוח ב-6.5% ב-2021, על רקע התפתחות הצריכה הפרטית וההשקעות בשנים אלו.</w:t>
      </w:r>
    </w:p>
    <w:p w:rsidR="00F2070B" w:rsidRDefault="00F2070B" w:rsidP="00F2070B">
      <w:pPr>
        <w:spacing w:after="120"/>
        <w:ind w:left="113"/>
        <w:rPr>
          <w:rFonts w:ascii="David" w:hAnsi="David" w:cs="David"/>
          <w:rtl/>
        </w:rPr>
      </w:pPr>
      <w:r>
        <w:rPr>
          <w:rFonts w:ascii="David" w:hAnsi="David" w:cs="David" w:hint="cs"/>
          <w:rtl/>
        </w:rPr>
        <w:t>בהתאם להערכתנו המעודכנת, ועל בסיס ניתוח הענפים שצפויים בסבירות גבוהה להישאר במצב פגיע גם אחרי הסרת המגבלות (תיירות ואירוח, תעשייה מייצאת, חברות הזנק), אנו צופים כי האבטלה (בקרב גילאי עבודה עיקריים) ברבעון האחרון של 2020 תעלה ל-9% (לעומת 8.5% בתחזית הקודמת), ובמהלך 2021 תחול ירידה, כך שברבעון האחרון של השנה, האבטלה תעמוד על 6% (לעומת 5.5%). כלומר, גם בסוף 2021 המשק לא צפוי לחזור לתעסוקה מלאה.</w:t>
      </w:r>
    </w:p>
    <w:bookmarkEnd w:id="1"/>
    <w:p w:rsidR="00BE6A4E" w:rsidRPr="00316615" w:rsidRDefault="00BE6A4E" w:rsidP="00316615">
      <w:pPr>
        <w:pStyle w:val="aa"/>
        <w:ind w:left="113"/>
        <w:rPr>
          <w:rFonts w:ascii="David" w:hAnsi="David" w:cs="David"/>
          <w:rtl/>
        </w:rPr>
      </w:pPr>
      <w:r w:rsidRPr="00905BD1">
        <w:rPr>
          <w:rFonts w:ascii="David" w:hAnsi="David" w:cs="David"/>
          <w:rtl/>
        </w:rPr>
        <w:t xml:space="preserve">לוח </w:t>
      </w:r>
      <w:r w:rsidRPr="00316615">
        <w:rPr>
          <w:rFonts w:ascii="David" w:hAnsi="David" w:cs="David"/>
          <w:rtl/>
        </w:rPr>
        <w:fldChar w:fldCharType="begin"/>
      </w:r>
      <w:r w:rsidRPr="00905BD1">
        <w:rPr>
          <w:rFonts w:ascii="David" w:hAnsi="David" w:cs="David"/>
          <w:rtl/>
        </w:rPr>
        <w:instrText xml:space="preserve"> </w:instrText>
      </w:r>
      <w:r w:rsidRPr="00905BD1">
        <w:rPr>
          <w:rFonts w:ascii="David" w:hAnsi="David" w:cs="David"/>
        </w:rPr>
        <w:instrText>SEQ</w:instrText>
      </w:r>
      <w:r w:rsidRPr="00905BD1">
        <w:rPr>
          <w:rFonts w:ascii="David" w:hAnsi="David" w:cs="David"/>
          <w:rtl/>
        </w:rPr>
        <w:instrText xml:space="preserve"> לוח \* </w:instrText>
      </w:r>
      <w:r w:rsidRPr="00905BD1">
        <w:rPr>
          <w:rFonts w:ascii="David" w:hAnsi="David" w:cs="David"/>
        </w:rPr>
        <w:instrText>ARABIC</w:instrText>
      </w:r>
      <w:r w:rsidRPr="00905BD1">
        <w:rPr>
          <w:rFonts w:ascii="David" w:hAnsi="David" w:cs="David"/>
          <w:rtl/>
        </w:rPr>
        <w:instrText xml:space="preserve"> </w:instrText>
      </w:r>
      <w:r w:rsidRPr="00316615">
        <w:rPr>
          <w:rFonts w:ascii="David" w:hAnsi="David" w:cs="David"/>
          <w:rtl/>
        </w:rPr>
        <w:fldChar w:fldCharType="separate"/>
      </w:r>
      <w:r w:rsidRPr="00905BD1">
        <w:rPr>
          <w:rFonts w:ascii="David" w:hAnsi="David" w:cs="David"/>
          <w:rtl/>
        </w:rPr>
        <w:t>1</w:t>
      </w:r>
      <w:r w:rsidRPr="00316615">
        <w:rPr>
          <w:rFonts w:ascii="David" w:hAnsi="David" w:cs="David"/>
          <w:rtl/>
        </w:rPr>
        <w:fldChar w:fldCharType="end"/>
      </w:r>
    </w:p>
    <w:p w:rsidR="00BE6A4E" w:rsidRPr="00316615" w:rsidRDefault="00BE6A4E" w:rsidP="00316615">
      <w:pPr>
        <w:pStyle w:val="aa"/>
        <w:ind w:left="113"/>
        <w:rPr>
          <w:rFonts w:ascii="David" w:hAnsi="David" w:cs="David"/>
          <w:rtl/>
        </w:rPr>
      </w:pPr>
      <w:r w:rsidRPr="00905BD1">
        <w:rPr>
          <w:rFonts w:ascii="David" w:hAnsi="David" w:cs="David"/>
          <w:rtl/>
        </w:rPr>
        <w:t>תחזית חטיבת המחקר</w:t>
      </w:r>
      <w:r w:rsidRPr="00905BD1">
        <w:rPr>
          <w:rFonts w:ascii="David" w:hAnsi="David" w:cs="David" w:hint="cs"/>
          <w:rtl/>
        </w:rPr>
        <w:t xml:space="preserve"> ל</w:t>
      </w:r>
      <w:r w:rsidRPr="00905BD1">
        <w:rPr>
          <w:rFonts w:ascii="David" w:hAnsi="David" w:cs="David"/>
          <w:rtl/>
        </w:rPr>
        <w:t>-2020—2021</w:t>
      </w:r>
    </w:p>
    <w:p w:rsidR="00BE6A4E" w:rsidRPr="00316615" w:rsidRDefault="00BE6A4E" w:rsidP="00316615">
      <w:pPr>
        <w:pStyle w:val="aa"/>
        <w:ind w:left="113"/>
        <w:rPr>
          <w:rFonts w:ascii="David" w:hAnsi="David" w:cs="David"/>
          <w:b w:val="0"/>
          <w:bCs w:val="0"/>
          <w:rtl/>
        </w:rPr>
      </w:pPr>
      <w:r w:rsidRPr="00316615">
        <w:rPr>
          <w:rFonts w:ascii="David" w:hAnsi="David" w:cs="David"/>
          <w:b w:val="0"/>
          <w:bCs w:val="0"/>
          <w:rtl/>
        </w:rPr>
        <w:t>(שיעורי השינוי באחוזים, אלא אם צוין אחרת)</w:t>
      </w:r>
    </w:p>
    <w:tbl>
      <w:tblPr>
        <w:bidiVisual/>
        <w:tblW w:w="8790" w:type="dxa"/>
        <w:jc w:val="center"/>
        <w:tblLayout w:type="fixed"/>
        <w:tblLook w:val="04A0" w:firstRow="1" w:lastRow="0" w:firstColumn="1" w:lastColumn="0" w:noHBand="0" w:noVBand="1"/>
      </w:tblPr>
      <w:tblGrid>
        <w:gridCol w:w="3402"/>
        <w:gridCol w:w="1077"/>
        <w:gridCol w:w="1077"/>
        <w:gridCol w:w="1078"/>
        <w:gridCol w:w="1078"/>
        <w:gridCol w:w="1078"/>
      </w:tblGrid>
      <w:tr w:rsidR="00BE6A4E" w:rsidRPr="0086400E" w:rsidTr="00316615">
        <w:trPr>
          <w:trHeight w:val="630"/>
          <w:jc w:val="center"/>
        </w:trPr>
        <w:tc>
          <w:tcPr>
            <w:tcW w:w="3402" w:type="dxa"/>
            <w:tcBorders>
              <w:bottom w:val="single" w:sz="4" w:space="0" w:color="auto"/>
              <w:right w:val="single" w:sz="4" w:space="0" w:color="auto"/>
            </w:tcBorders>
            <w:shd w:val="clear" w:color="auto" w:fill="auto"/>
            <w:noWrap/>
            <w:vAlign w:val="bottom"/>
            <w:hideMark/>
          </w:tcPr>
          <w:p w:rsidR="00BE6A4E" w:rsidRPr="0086400E" w:rsidRDefault="00BE6A4E" w:rsidP="00BE6A4E">
            <w:pPr>
              <w:pStyle w:val="Tablenc"/>
              <w:bidi w:val="0"/>
              <w:rPr>
                <w:rFonts w:ascii="David" w:hAnsi="David" w:cs="David"/>
              </w:rPr>
            </w:pPr>
            <w:r w:rsidRPr="0086400E">
              <w:rPr>
                <w:rFonts w:ascii="David" w:hAnsi="David" w:cs="David"/>
              </w:rPr>
              <w:t> </w:t>
            </w:r>
          </w:p>
        </w:tc>
        <w:tc>
          <w:tcPr>
            <w:tcW w:w="1077" w:type="dxa"/>
            <w:tcBorders>
              <w:left w:val="single" w:sz="4" w:space="0" w:color="auto"/>
              <w:bottom w:val="single" w:sz="4" w:space="0" w:color="auto"/>
            </w:tcBorders>
            <w:shd w:val="clear" w:color="auto" w:fill="D9D9D9" w:themeFill="background1" w:themeFillShade="D9"/>
            <w:noWrap/>
            <w:vAlign w:val="center"/>
            <w:hideMark/>
          </w:tcPr>
          <w:p w:rsidR="00BE6A4E" w:rsidRPr="0086400E" w:rsidRDefault="00BE6A4E" w:rsidP="00BE6A4E">
            <w:pPr>
              <w:pStyle w:val="Tablenc"/>
              <w:jc w:val="center"/>
              <w:rPr>
                <w:rFonts w:ascii="David" w:hAnsi="David" w:cs="David"/>
                <w:rtl/>
              </w:rPr>
            </w:pPr>
            <w:r w:rsidRPr="0086400E">
              <w:rPr>
                <w:rFonts w:ascii="David" w:hAnsi="David" w:cs="David"/>
                <w:rtl/>
              </w:rPr>
              <w:t xml:space="preserve">2019 </w:t>
            </w:r>
            <w:r w:rsidRPr="0086400E">
              <w:rPr>
                <w:rFonts w:ascii="David" w:hAnsi="David" w:cs="David"/>
                <w:sz w:val="22"/>
                <w:szCs w:val="22"/>
                <w:vertAlign w:val="superscript"/>
                <w:rtl/>
              </w:rPr>
              <w:t>1</w:t>
            </w:r>
          </w:p>
        </w:tc>
        <w:tc>
          <w:tcPr>
            <w:tcW w:w="1077" w:type="dxa"/>
            <w:tcBorders>
              <w:left w:val="single" w:sz="4" w:space="0" w:color="auto"/>
              <w:bottom w:val="single" w:sz="4" w:space="0" w:color="auto"/>
            </w:tcBorders>
            <w:shd w:val="clear" w:color="auto" w:fill="auto"/>
            <w:noWrap/>
            <w:vAlign w:val="center"/>
            <w:hideMark/>
          </w:tcPr>
          <w:p w:rsidR="00BE6A4E" w:rsidRPr="0086400E" w:rsidRDefault="00BE6A4E" w:rsidP="00BE6A4E">
            <w:pPr>
              <w:pStyle w:val="Tablenc"/>
              <w:jc w:val="center"/>
              <w:rPr>
                <w:rFonts w:ascii="David" w:hAnsi="David" w:cs="David"/>
                <w:rtl/>
              </w:rPr>
            </w:pPr>
            <w:r w:rsidRPr="0086400E">
              <w:rPr>
                <w:rFonts w:ascii="David" w:hAnsi="David" w:cs="David"/>
                <w:rtl/>
              </w:rPr>
              <w:t>התחזית ל-2020</w:t>
            </w:r>
          </w:p>
        </w:tc>
        <w:tc>
          <w:tcPr>
            <w:tcW w:w="1078" w:type="dxa"/>
            <w:tcBorders>
              <w:bottom w:val="single" w:sz="4" w:space="0" w:color="auto"/>
              <w:right w:val="single" w:sz="4" w:space="0" w:color="auto"/>
            </w:tcBorders>
            <w:shd w:val="clear" w:color="auto" w:fill="auto"/>
            <w:vAlign w:val="center"/>
            <w:hideMark/>
          </w:tcPr>
          <w:p w:rsidR="00BE6A4E" w:rsidRPr="0086400E" w:rsidRDefault="00BE6A4E" w:rsidP="00BE6A4E">
            <w:pPr>
              <w:pStyle w:val="Tablenc"/>
              <w:jc w:val="center"/>
              <w:rPr>
                <w:rFonts w:ascii="David" w:hAnsi="David" w:cs="David"/>
                <w:color w:val="4F81BD" w:themeColor="accent1"/>
              </w:rPr>
            </w:pPr>
            <w:r w:rsidRPr="0086400E">
              <w:rPr>
                <w:rFonts w:ascii="David" w:hAnsi="David" w:cs="David"/>
                <w:color w:val="4F81BD" w:themeColor="accent1"/>
                <w:rtl/>
              </w:rPr>
              <w:t>השינוי מהתחזית הקודמת</w:t>
            </w:r>
          </w:p>
        </w:tc>
        <w:tc>
          <w:tcPr>
            <w:tcW w:w="1078" w:type="dxa"/>
            <w:tcBorders>
              <w:left w:val="single" w:sz="4" w:space="0" w:color="auto"/>
              <w:bottom w:val="single" w:sz="4" w:space="0" w:color="auto"/>
              <w:right w:val="single" w:sz="4" w:space="0" w:color="FFFFFF" w:themeColor="background1"/>
            </w:tcBorders>
            <w:vAlign w:val="center"/>
          </w:tcPr>
          <w:p w:rsidR="00BE6A4E" w:rsidRPr="0086400E" w:rsidRDefault="00BE6A4E" w:rsidP="00BE6A4E">
            <w:pPr>
              <w:pStyle w:val="Tablenc"/>
              <w:jc w:val="center"/>
              <w:rPr>
                <w:rFonts w:ascii="David" w:hAnsi="David" w:cs="David"/>
                <w:color w:val="4F81BD" w:themeColor="accent1"/>
                <w:rtl/>
              </w:rPr>
            </w:pPr>
            <w:r w:rsidRPr="0086400E">
              <w:rPr>
                <w:rFonts w:ascii="David" w:hAnsi="David" w:cs="David"/>
                <w:rtl/>
              </w:rPr>
              <w:t>התחזית ל-2021</w:t>
            </w:r>
          </w:p>
        </w:tc>
        <w:tc>
          <w:tcPr>
            <w:tcW w:w="1078" w:type="dxa"/>
            <w:tcBorders>
              <w:left w:val="single" w:sz="4" w:space="0" w:color="auto"/>
              <w:bottom w:val="single" w:sz="4" w:space="0" w:color="auto"/>
              <w:right w:val="single" w:sz="4" w:space="0" w:color="auto"/>
            </w:tcBorders>
            <w:vAlign w:val="bottom"/>
          </w:tcPr>
          <w:p w:rsidR="00BE6A4E" w:rsidRPr="0086400E" w:rsidRDefault="00BE6A4E" w:rsidP="00BE6A4E">
            <w:pPr>
              <w:pStyle w:val="Tablenc"/>
              <w:jc w:val="center"/>
              <w:rPr>
                <w:rFonts w:ascii="David" w:hAnsi="David" w:cs="David"/>
                <w:rtl/>
              </w:rPr>
            </w:pPr>
            <w:r w:rsidRPr="00905BD1">
              <w:rPr>
                <w:rFonts w:ascii="David" w:hAnsi="David" w:cs="David" w:hint="eastAsia"/>
                <w:color w:val="4F81BD" w:themeColor="accent1"/>
                <w:rtl/>
              </w:rPr>
              <w:t>ה</w:t>
            </w:r>
            <w:r w:rsidRPr="00905BD1">
              <w:rPr>
                <w:rFonts w:ascii="David" w:hAnsi="David" w:cs="David"/>
                <w:color w:val="4F81BD" w:themeColor="accent1"/>
                <w:rtl/>
              </w:rPr>
              <w:t>שינוי מ</w:t>
            </w:r>
            <w:r w:rsidRPr="00905BD1">
              <w:rPr>
                <w:rFonts w:ascii="David" w:hAnsi="David" w:cs="David" w:hint="eastAsia"/>
                <w:color w:val="4F81BD" w:themeColor="accent1"/>
                <w:rtl/>
              </w:rPr>
              <w:t>ה</w:t>
            </w:r>
            <w:r w:rsidRPr="00905BD1">
              <w:rPr>
                <w:rFonts w:ascii="David" w:hAnsi="David" w:cs="David"/>
                <w:color w:val="4F81BD" w:themeColor="accent1"/>
                <w:rtl/>
              </w:rPr>
              <w:t xml:space="preserve">תחזית </w:t>
            </w:r>
            <w:r w:rsidRPr="00905BD1">
              <w:rPr>
                <w:rFonts w:ascii="David" w:hAnsi="David" w:cs="David" w:hint="eastAsia"/>
                <w:color w:val="4F81BD" w:themeColor="accent1"/>
                <w:rtl/>
              </w:rPr>
              <w:t>ה</w:t>
            </w:r>
            <w:r w:rsidRPr="00905BD1">
              <w:rPr>
                <w:rFonts w:ascii="David" w:hAnsi="David" w:cs="David"/>
                <w:color w:val="4F81BD" w:themeColor="accent1"/>
                <w:rtl/>
              </w:rPr>
              <w:t>קודמת</w:t>
            </w:r>
          </w:p>
        </w:tc>
      </w:tr>
      <w:tr w:rsidR="00BE6A4E" w:rsidRPr="0086400E" w:rsidTr="00316615">
        <w:trPr>
          <w:trHeight w:val="300"/>
          <w:jc w:val="center"/>
        </w:trPr>
        <w:tc>
          <w:tcPr>
            <w:tcW w:w="3402" w:type="dxa"/>
            <w:tcBorders>
              <w:top w:val="single" w:sz="4" w:space="0" w:color="auto"/>
              <w:right w:val="single" w:sz="4" w:space="0" w:color="auto"/>
            </w:tcBorders>
            <w:shd w:val="clear" w:color="auto" w:fill="auto"/>
            <w:vAlign w:val="center"/>
            <w:hideMark/>
          </w:tcPr>
          <w:p w:rsidR="00BE6A4E" w:rsidRPr="00316615" w:rsidRDefault="00BE6A4E" w:rsidP="00BE6A4E">
            <w:pPr>
              <w:pStyle w:val="Tablenc"/>
              <w:jc w:val="left"/>
              <w:rPr>
                <w:rFonts w:ascii="David" w:hAnsi="David" w:cs="David"/>
                <w:sz w:val="22"/>
                <w:szCs w:val="22"/>
                <w:rtl/>
              </w:rPr>
            </w:pPr>
            <w:proofErr w:type="spellStart"/>
            <w:r w:rsidRPr="00316615">
              <w:rPr>
                <w:rFonts w:ascii="David" w:hAnsi="David" w:cs="David"/>
                <w:sz w:val="22"/>
                <w:szCs w:val="22"/>
                <w:rtl/>
              </w:rPr>
              <w:t>התמ"ג</w:t>
            </w:r>
            <w:proofErr w:type="spellEnd"/>
          </w:p>
        </w:tc>
        <w:tc>
          <w:tcPr>
            <w:tcW w:w="1077" w:type="dxa"/>
            <w:tcBorders>
              <w:top w:val="single" w:sz="4" w:space="0" w:color="auto"/>
              <w:left w:val="single" w:sz="4" w:space="0" w:color="auto"/>
            </w:tcBorders>
            <w:shd w:val="clear" w:color="auto" w:fill="D9D9D9" w:themeFill="background1" w:themeFillShade="D9"/>
            <w:noWrap/>
            <w:vAlign w:val="center"/>
            <w:hideMark/>
          </w:tcPr>
          <w:p w:rsidR="00BE6A4E" w:rsidRPr="0086400E" w:rsidRDefault="00BE6A4E" w:rsidP="00BE6A4E">
            <w:pPr>
              <w:pStyle w:val="Tablenc"/>
              <w:bidi w:val="0"/>
              <w:ind w:right="340"/>
              <w:jc w:val="right"/>
              <w:rPr>
                <w:rFonts w:ascii="David" w:hAnsi="David" w:cs="David"/>
                <w:sz w:val="22"/>
                <w:szCs w:val="22"/>
              </w:rPr>
            </w:pPr>
            <w:r>
              <w:rPr>
                <w:rFonts w:ascii="David" w:hAnsi="David" w:cs="David"/>
                <w:color w:val="000000"/>
              </w:rPr>
              <w:t>3.4</w:t>
            </w:r>
          </w:p>
        </w:tc>
        <w:tc>
          <w:tcPr>
            <w:tcW w:w="1077" w:type="dxa"/>
            <w:tcBorders>
              <w:top w:val="single" w:sz="4" w:space="0" w:color="auto"/>
              <w:left w:val="single" w:sz="4" w:space="0" w:color="auto"/>
            </w:tcBorders>
            <w:shd w:val="clear" w:color="auto" w:fill="auto"/>
            <w:noWrap/>
            <w:vAlign w:val="center"/>
            <w:hideMark/>
          </w:tcPr>
          <w:p w:rsidR="00BE6A4E" w:rsidRPr="0086400E" w:rsidRDefault="00BE6A4E" w:rsidP="00BE6A4E">
            <w:pPr>
              <w:pStyle w:val="Tablenc"/>
              <w:bidi w:val="0"/>
              <w:ind w:right="340"/>
              <w:jc w:val="right"/>
              <w:rPr>
                <w:rFonts w:ascii="David" w:hAnsi="David" w:cs="David"/>
                <w:sz w:val="22"/>
                <w:szCs w:val="22"/>
                <w:highlight w:val="yellow"/>
              </w:rPr>
            </w:pPr>
            <w:r>
              <w:rPr>
                <w:rFonts w:ascii="David" w:hAnsi="David" w:cs="David"/>
                <w:color w:val="000000"/>
              </w:rPr>
              <w:t>-6.0</w:t>
            </w:r>
          </w:p>
        </w:tc>
        <w:tc>
          <w:tcPr>
            <w:tcW w:w="1078" w:type="dxa"/>
            <w:tcBorders>
              <w:top w:val="single" w:sz="4" w:space="0" w:color="auto"/>
              <w:right w:val="single" w:sz="4" w:space="0" w:color="auto"/>
            </w:tcBorders>
            <w:shd w:val="clear" w:color="auto" w:fill="auto"/>
            <w:noWrap/>
            <w:vAlign w:val="center"/>
            <w:hideMark/>
          </w:tcPr>
          <w:p w:rsidR="00BE6A4E" w:rsidRPr="0086400E" w:rsidRDefault="00BE6A4E" w:rsidP="00BE6A4E">
            <w:pPr>
              <w:pStyle w:val="Tablenc"/>
              <w:bidi w:val="0"/>
              <w:ind w:right="340"/>
              <w:jc w:val="right"/>
              <w:rPr>
                <w:rFonts w:ascii="David" w:hAnsi="David" w:cs="David"/>
                <w:color w:val="4F81BD" w:themeColor="accent1"/>
                <w:sz w:val="22"/>
                <w:szCs w:val="22"/>
              </w:rPr>
            </w:pPr>
            <w:r>
              <w:rPr>
                <w:rFonts w:ascii="David" w:hAnsi="David" w:cs="David"/>
                <w:color w:val="333399"/>
              </w:rPr>
              <w:t>-1.5</w:t>
            </w:r>
          </w:p>
        </w:tc>
        <w:tc>
          <w:tcPr>
            <w:tcW w:w="1078" w:type="dxa"/>
            <w:tcBorders>
              <w:top w:val="single" w:sz="4" w:space="0" w:color="auto"/>
              <w:left w:val="single" w:sz="4" w:space="0" w:color="auto"/>
            </w:tcBorders>
            <w:vAlign w:val="center"/>
          </w:tcPr>
          <w:p w:rsidR="00BE6A4E" w:rsidRPr="0086400E" w:rsidRDefault="00BE6A4E" w:rsidP="00BE6A4E">
            <w:pPr>
              <w:pStyle w:val="Tablenc"/>
              <w:bidi w:val="0"/>
              <w:ind w:right="340"/>
              <w:jc w:val="right"/>
              <w:rPr>
                <w:rFonts w:ascii="David" w:hAnsi="David" w:cs="David"/>
                <w:sz w:val="22"/>
                <w:szCs w:val="22"/>
              </w:rPr>
            </w:pPr>
            <w:r>
              <w:rPr>
                <w:rFonts w:ascii="David" w:hAnsi="David" w:cs="David"/>
                <w:color w:val="000000"/>
              </w:rPr>
              <w:t>7.5</w:t>
            </w:r>
          </w:p>
        </w:tc>
        <w:tc>
          <w:tcPr>
            <w:tcW w:w="1078" w:type="dxa"/>
            <w:tcBorders>
              <w:top w:val="single" w:sz="4" w:space="0" w:color="auto"/>
              <w:left w:val="single" w:sz="4" w:space="0" w:color="auto"/>
              <w:right w:val="single" w:sz="4" w:space="0" w:color="auto"/>
            </w:tcBorders>
            <w:vAlign w:val="center"/>
          </w:tcPr>
          <w:p w:rsidR="00BE6A4E" w:rsidRDefault="00BE6A4E" w:rsidP="009464D2">
            <w:pPr>
              <w:pStyle w:val="Tablenc"/>
              <w:bidi w:val="0"/>
              <w:ind w:right="340"/>
              <w:jc w:val="right"/>
              <w:rPr>
                <w:rFonts w:ascii="David" w:hAnsi="David" w:cs="David"/>
                <w:color w:val="000000"/>
              </w:rPr>
            </w:pPr>
            <w:r>
              <w:rPr>
                <w:rFonts w:ascii="David" w:hAnsi="David" w:cs="David"/>
                <w:color w:val="333399"/>
              </w:rPr>
              <w:t>0.</w:t>
            </w:r>
            <w:r w:rsidR="009464D2">
              <w:rPr>
                <w:rFonts w:ascii="David" w:hAnsi="David" w:cs="David"/>
                <w:color w:val="333399"/>
              </w:rPr>
              <w:t>7</w:t>
            </w:r>
          </w:p>
        </w:tc>
      </w:tr>
      <w:tr w:rsidR="00BE6A4E" w:rsidRPr="0086400E" w:rsidTr="00316615">
        <w:trPr>
          <w:trHeight w:val="285"/>
          <w:jc w:val="center"/>
        </w:trPr>
        <w:tc>
          <w:tcPr>
            <w:tcW w:w="3402" w:type="dxa"/>
            <w:tcBorders>
              <w:right w:val="single" w:sz="4" w:space="0" w:color="auto"/>
            </w:tcBorders>
            <w:shd w:val="clear" w:color="auto" w:fill="auto"/>
            <w:vAlign w:val="center"/>
            <w:hideMark/>
          </w:tcPr>
          <w:p w:rsidR="00BE6A4E" w:rsidRPr="00316615" w:rsidRDefault="00BE6A4E" w:rsidP="00BE6A4E">
            <w:pPr>
              <w:pStyle w:val="Tablenc"/>
              <w:jc w:val="left"/>
              <w:rPr>
                <w:rFonts w:ascii="David" w:hAnsi="David" w:cs="David"/>
                <w:sz w:val="22"/>
                <w:szCs w:val="22"/>
                <w:rtl/>
              </w:rPr>
            </w:pPr>
            <w:r w:rsidRPr="00316615">
              <w:rPr>
                <w:rFonts w:ascii="David" w:hAnsi="David" w:cs="David"/>
                <w:sz w:val="22"/>
                <w:szCs w:val="22"/>
                <w:rtl/>
              </w:rPr>
              <w:t>הצריכה הפרטית</w:t>
            </w:r>
          </w:p>
        </w:tc>
        <w:tc>
          <w:tcPr>
            <w:tcW w:w="1077" w:type="dxa"/>
            <w:tcBorders>
              <w:left w:val="single" w:sz="4" w:space="0" w:color="auto"/>
            </w:tcBorders>
            <w:shd w:val="clear" w:color="auto" w:fill="D9D9D9" w:themeFill="background1" w:themeFillShade="D9"/>
            <w:noWrap/>
            <w:vAlign w:val="center"/>
            <w:hideMark/>
          </w:tcPr>
          <w:p w:rsidR="00BE6A4E" w:rsidRPr="0086400E" w:rsidRDefault="00BE6A4E" w:rsidP="00BE6A4E">
            <w:pPr>
              <w:pStyle w:val="Tablenc"/>
              <w:bidi w:val="0"/>
              <w:ind w:right="340"/>
              <w:jc w:val="right"/>
              <w:rPr>
                <w:rFonts w:ascii="David" w:hAnsi="David" w:cs="David"/>
                <w:sz w:val="22"/>
                <w:szCs w:val="22"/>
              </w:rPr>
            </w:pPr>
            <w:r>
              <w:rPr>
                <w:rFonts w:ascii="David" w:hAnsi="David" w:cs="David"/>
                <w:color w:val="000000"/>
              </w:rPr>
              <w:t>3.8</w:t>
            </w:r>
          </w:p>
        </w:tc>
        <w:tc>
          <w:tcPr>
            <w:tcW w:w="1077" w:type="dxa"/>
            <w:tcBorders>
              <w:left w:val="single" w:sz="4" w:space="0" w:color="auto"/>
            </w:tcBorders>
            <w:shd w:val="clear" w:color="auto" w:fill="auto"/>
            <w:noWrap/>
            <w:vAlign w:val="center"/>
            <w:hideMark/>
          </w:tcPr>
          <w:p w:rsidR="00BE6A4E" w:rsidRPr="0086400E" w:rsidRDefault="00BE6A4E" w:rsidP="00BE6A4E">
            <w:pPr>
              <w:pStyle w:val="Tablenc"/>
              <w:bidi w:val="0"/>
              <w:ind w:right="340"/>
              <w:jc w:val="right"/>
              <w:rPr>
                <w:rFonts w:ascii="David" w:hAnsi="David" w:cs="David"/>
                <w:sz w:val="22"/>
                <w:szCs w:val="22"/>
                <w:rtl/>
              </w:rPr>
            </w:pPr>
            <w:r>
              <w:rPr>
                <w:rFonts w:ascii="David" w:hAnsi="David" w:cs="David"/>
                <w:color w:val="000000"/>
              </w:rPr>
              <w:t>-6.5</w:t>
            </w:r>
          </w:p>
        </w:tc>
        <w:tc>
          <w:tcPr>
            <w:tcW w:w="1078" w:type="dxa"/>
            <w:tcBorders>
              <w:right w:val="single" w:sz="4" w:space="0" w:color="auto"/>
            </w:tcBorders>
            <w:shd w:val="clear" w:color="auto" w:fill="auto"/>
            <w:noWrap/>
            <w:vAlign w:val="center"/>
            <w:hideMark/>
          </w:tcPr>
          <w:p w:rsidR="00BE6A4E" w:rsidRPr="0086400E" w:rsidRDefault="00BE6A4E" w:rsidP="00BE6A4E">
            <w:pPr>
              <w:pStyle w:val="Tablenc"/>
              <w:bidi w:val="0"/>
              <w:ind w:right="340"/>
              <w:jc w:val="right"/>
              <w:rPr>
                <w:rFonts w:ascii="David" w:hAnsi="David" w:cs="David"/>
                <w:color w:val="4F81BD" w:themeColor="accent1"/>
                <w:sz w:val="22"/>
                <w:szCs w:val="22"/>
                <w:rtl/>
              </w:rPr>
            </w:pPr>
            <w:r>
              <w:rPr>
                <w:rFonts w:ascii="David" w:hAnsi="David" w:cs="David"/>
                <w:color w:val="333399"/>
              </w:rPr>
              <w:t>-2.0</w:t>
            </w:r>
          </w:p>
        </w:tc>
        <w:tc>
          <w:tcPr>
            <w:tcW w:w="1078" w:type="dxa"/>
            <w:tcBorders>
              <w:left w:val="single" w:sz="4" w:space="0" w:color="auto"/>
            </w:tcBorders>
            <w:vAlign w:val="center"/>
          </w:tcPr>
          <w:p w:rsidR="00BE6A4E" w:rsidRPr="0086400E" w:rsidRDefault="00BE6A4E" w:rsidP="00BE6A4E">
            <w:pPr>
              <w:pStyle w:val="Tablenc"/>
              <w:bidi w:val="0"/>
              <w:ind w:right="340"/>
              <w:jc w:val="right"/>
              <w:rPr>
                <w:rFonts w:ascii="David" w:hAnsi="David" w:cs="David"/>
                <w:sz w:val="22"/>
                <w:szCs w:val="22"/>
                <w:rtl/>
              </w:rPr>
            </w:pPr>
            <w:r>
              <w:rPr>
                <w:rFonts w:ascii="David" w:hAnsi="David" w:cs="David"/>
                <w:color w:val="000000"/>
              </w:rPr>
              <w:t>8.5</w:t>
            </w:r>
          </w:p>
        </w:tc>
        <w:tc>
          <w:tcPr>
            <w:tcW w:w="1078" w:type="dxa"/>
            <w:tcBorders>
              <w:left w:val="single" w:sz="4" w:space="0" w:color="auto"/>
              <w:right w:val="single" w:sz="4" w:space="0" w:color="auto"/>
            </w:tcBorders>
            <w:vAlign w:val="center"/>
          </w:tcPr>
          <w:p w:rsidR="00BE6A4E" w:rsidRDefault="00BE6A4E" w:rsidP="00BE6A4E">
            <w:pPr>
              <w:pStyle w:val="Tablenc"/>
              <w:bidi w:val="0"/>
              <w:ind w:right="340"/>
              <w:jc w:val="right"/>
              <w:rPr>
                <w:rFonts w:ascii="David" w:hAnsi="David" w:cs="David"/>
                <w:color w:val="000000"/>
              </w:rPr>
            </w:pPr>
            <w:r>
              <w:rPr>
                <w:rFonts w:ascii="David" w:hAnsi="David" w:cs="David"/>
                <w:color w:val="333399"/>
              </w:rPr>
              <w:t>1.0</w:t>
            </w:r>
          </w:p>
        </w:tc>
      </w:tr>
      <w:tr w:rsidR="00BE6A4E" w:rsidRPr="0086400E" w:rsidTr="00316615">
        <w:trPr>
          <w:trHeight w:val="285"/>
          <w:jc w:val="center"/>
        </w:trPr>
        <w:tc>
          <w:tcPr>
            <w:tcW w:w="3402" w:type="dxa"/>
            <w:tcBorders>
              <w:right w:val="single" w:sz="4" w:space="0" w:color="auto"/>
            </w:tcBorders>
            <w:shd w:val="clear" w:color="auto" w:fill="auto"/>
            <w:vAlign w:val="center"/>
            <w:hideMark/>
          </w:tcPr>
          <w:p w:rsidR="00BE6A4E" w:rsidRPr="0086400E" w:rsidRDefault="00BE6A4E" w:rsidP="00BE6A4E">
            <w:pPr>
              <w:pStyle w:val="Tablenc"/>
              <w:jc w:val="left"/>
              <w:rPr>
                <w:rFonts w:ascii="David" w:hAnsi="David" w:cs="David"/>
                <w:sz w:val="22"/>
                <w:szCs w:val="22"/>
                <w:rtl/>
              </w:rPr>
            </w:pPr>
            <w:r w:rsidRPr="0086400E">
              <w:rPr>
                <w:rFonts w:ascii="David" w:hAnsi="David" w:cs="David"/>
                <w:sz w:val="22"/>
                <w:szCs w:val="22"/>
                <w:rtl/>
              </w:rPr>
              <w:t xml:space="preserve">ההשקעה בנכסים קבועים (ללא </w:t>
            </w:r>
            <w:proofErr w:type="spellStart"/>
            <w:r w:rsidRPr="0086400E">
              <w:rPr>
                <w:rFonts w:ascii="David" w:hAnsi="David" w:cs="David"/>
                <w:sz w:val="22"/>
                <w:szCs w:val="22"/>
                <w:rtl/>
              </w:rPr>
              <w:t>אוניות</w:t>
            </w:r>
            <w:proofErr w:type="spellEnd"/>
            <w:r w:rsidRPr="0086400E">
              <w:rPr>
                <w:rFonts w:ascii="David" w:hAnsi="David" w:cs="David"/>
                <w:sz w:val="22"/>
                <w:szCs w:val="22"/>
                <w:rtl/>
              </w:rPr>
              <w:t xml:space="preserve"> ומטוסים)</w:t>
            </w:r>
          </w:p>
        </w:tc>
        <w:tc>
          <w:tcPr>
            <w:tcW w:w="1077" w:type="dxa"/>
            <w:tcBorders>
              <w:left w:val="single" w:sz="4" w:space="0" w:color="auto"/>
            </w:tcBorders>
            <w:shd w:val="clear" w:color="auto" w:fill="D9D9D9" w:themeFill="background1" w:themeFillShade="D9"/>
            <w:noWrap/>
            <w:vAlign w:val="center"/>
            <w:hideMark/>
          </w:tcPr>
          <w:p w:rsidR="00BE6A4E" w:rsidRPr="00437165" w:rsidRDefault="00BE6A4E" w:rsidP="00BE6A4E">
            <w:pPr>
              <w:pStyle w:val="Tablenc"/>
              <w:bidi w:val="0"/>
              <w:ind w:right="340"/>
              <w:jc w:val="right"/>
              <w:rPr>
                <w:rFonts w:ascii="David" w:hAnsi="David" w:cs="David"/>
                <w:sz w:val="22"/>
                <w:szCs w:val="22"/>
              </w:rPr>
            </w:pPr>
            <w:r>
              <w:rPr>
                <w:rFonts w:ascii="David" w:hAnsi="David" w:cs="David"/>
                <w:color w:val="000000"/>
              </w:rPr>
              <w:t>0.9</w:t>
            </w:r>
          </w:p>
        </w:tc>
        <w:tc>
          <w:tcPr>
            <w:tcW w:w="1077" w:type="dxa"/>
            <w:tcBorders>
              <w:left w:val="single" w:sz="4" w:space="0" w:color="auto"/>
            </w:tcBorders>
            <w:shd w:val="clear" w:color="auto" w:fill="auto"/>
            <w:noWrap/>
            <w:vAlign w:val="center"/>
            <w:hideMark/>
          </w:tcPr>
          <w:p w:rsidR="00BE6A4E" w:rsidRPr="0086400E" w:rsidRDefault="00BE6A4E" w:rsidP="00BE6A4E">
            <w:pPr>
              <w:pStyle w:val="Tablenc"/>
              <w:bidi w:val="0"/>
              <w:ind w:right="340"/>
              <w:jc w:val="right"/>
              <w:rPr>
                <w:rFonts w:ascii="David" w:hAnsi="David" w:cs="David"/>
                <w:sz w:val="22"/>
                <w:szCs w:val="22"/>
              </w:rPr>
            </w:pPr>
            <w:r>
              <w:rPr>
                <w:rFonts w:ascii="David" w:hAnsi="David" w:cs="David"/>
                <w:color w:val="000000"/>
              </w:rPr>
              <w:t>-13.5</w:t>
            </w:r>
          </w:p>
        </w:tc>
        <w:tc>
          <w:tcPr>
            <w:tcW w:w="1078" w:type="dxa"/>
            <w:tcBorders>
              <w:right w:val="single" w:sz="4" w:space="0" w:color="auto"/>
            </w:tcBorders>
            <w:shd w:val="clear" w:color="auto" w:fill="auto"/>
            <w:noWrap/>
            <w:vAlign w:val="center"/>
            <w:hideMark/>
          </w:tcPr>
          <w:p w:rsidR="00BE6A4E" w:rsidRPr="0086400E" w:rsidRDefault="00BE6A4E" w:rsidP="00BE6A4E">
            <w:pPr>
              <w:pStyle w:val="Tablenc"/>
              <w:bidi w:val="0"/>
              <w:ind w:right="340"/>
              <w:jc w:val="right"/>
              <w:rPr>
                <w:rFonts w:ascii="David" w:hAnsi="David" w:cs="David"/>
                <w:color w:val="4F81BD" w:themeColor="accent1"/>
                <w:sz w:val="22"/>
                <w:szCs w:val="22"/>
              </w:rPr>
            </w:pPr>
            <w:r>
              <w:rPr>
                <w:rFonts w:ascii="David" w:hAnsi="David" w:cs="David"/>
                <w:color w:val="333399"/>
              </w:rPr>
              <w:t>-1.0</w:t>
            </w:r>
          </w:p>
        </w:tc>
        <w:tc>
          <w:tcPr>
            <w:tcW w:w="1078" w:type="dxa"/>
            <w:tcBorders>
              <w:left w:val="single" w:sz="4" w:space="0" w:color="auto"/>
            </w:tcBorders>
            <w:vAlign w:val="center"/>
          </w:tcPr>
          <w:p w:rsidR="00BE6A4E" w:rsidRPr="0086400E" w:rsidRDefault="00BE6A4E" w:rsidP="00BE6A4E">
            <w:pPr>
              <w:pStyle w:val="Tablenc"/>
              <w:bidi w:val="0"/>
              <w:ind w:right="340"/>
              <w:jc w:val="right"/>
              <w:rPr>
                <w:rFonts w:ascii="David" w:hAnsi="David" w:cs="David"/>
                <w:sz w:val="22"/>
                <w:szCs w:val="22"/>
                <w:rtl/>
              </w:rPr>
            </w:pPr>
            <w:r>
              <w:rPr>
                <w:rFonts w:ascii="David" w:hAnsi="David" w:cs="David"/>
                <w:color w:val="000000"/>
              </w:rPr>
              <w:t>5.5</w:t>
            </w:r>
          </w:p>
        </w:tc>
        <w:tc>
          <w:tcPr>
            <w:tcW w:w="1078" w:type="dxa"/>
            <w:tcBorders>
              <w:left w:val="single" w:sz="4" w:space="0" w:color="auto"/>
              <w:right w:val="single" w:sz="4" w:space="0" w:color="auto"/>
            </w:tcBorders>
            <w:vAlign w:val="center"/>
          </w:tcPr>
          <w:p w:rsidR="00BE6A4E" w:rsidRDefault="00BE6A4E" w:rsidP="00BE6A4E">
            <w:pPr>
              <w:pStyle w:val="Tablenc"/>
              <w:bidi w:val="0"/>
              <w:ind w:right="340"/>
              <w:jc w:val="right"/>
              <w:rPr>
                <w:rFonts w:ascii="David" w:hAnsi="David" w:cs="David"/>
                <w:color w:val="000000"/>
              </w:rPr>
            </w:pPr>
            <w:r>
              <w:rPr>
                <w:rFonts w:ascii="David" w:hAnsi="David" w:cs="David"/>
                <w:color w:val="333399"/>
              </w:rPr>
              <w:t>-1.5</w:t>
            </w:r>
          </w:p>
        </w:tc>
      </w:tr>
      <w:tr w:rsidR="00BE6A4E" w:rsidRPr="0086400E" w:rsidTr="00316615">
        <w:trPr>
          <w:trHeight w:val="300"/>
          <w:jc w:val="center"/>
        </w:trPr>
        <w:tc>
          <w:tcPr>
            <w:tcW w:w="3402" w:type="dxa"/>
            <w:tcBorders>
              <w:right w:val="single" w:sz="4" w:space="0" w:color="auto"/>
            </w:tcBorders>
            <w:shd w:val="clear" w:color="auto" w:fill="auto"/>
            <w:vAlign w:val="center"/>
            <w:hideMark/>
          </w:tcPr>
          <w:p w:rsidR="00BE6A4E" w:rsidRPr="0086400E" w:rsidRDefault="00BE6A4E" w:rsidP="00BE6A4E">
            <w:pPr>
              <w:pStyle w:val="Tablenc"/>
              <w:jc w:val="left"/>
              <w:rPr>
                <w:rFonts w:ascii="David" w:hAnsi="David" w:cs="David"/>
                <w:sz w:val="22"/>
                <w:szCs w:val="22"/>
                <w:rtl/>
              </w:rPr>
            </w:pPr>
            <w:r w:rsidRPr="0086400E">
              <w:rPr>
                <w:rFonts w:ascii="David" w:hAnsi="David" w:cs="David"/>
                <w:sz w:val="22"/>
                <w:szCs w:val="22"/>
                <w:rtl/>
              </w:rPr>
              <w:t>הצריכה הציבורית (ללא יבוא ביטחוני)</w:t>
            </w:r>
          </w:p>
        </w:tc>
        <w:tc>
          <w:tcPr>
            <w:tcW w:w="1077" w:type="dxa"/>
            <w:tcBorders>
              <w:left w:val="single" w:sz="4" w:space="0" w:color="auto"/>
            </w:tcBorders>
            <w:shd w:val="clear" w:color="auto" w:fill="D9D9D9" w:themeFill="background1" w:themeFillShade="D9"/>
            <w:noWrap/>
            <w:vAlign w:val="center"/>
            <w:hideMark/>
          </w:tcPr>
          <w:p w:rsidR="00BE6A4E" w:rsidRPr="00437165" w:rsidRDefault="00BE6A4E" w:rsidP="00BE6A4E">
            <w:pPr>
              <w:pStyle w:val="Tablenc"/>
              <w:bidi w:val="0"/>
              <w:ind w:right="340"/>
              <w:jc w:val="right"/>
              <w:rPr>
                <w:rFonts w:ascii="David" w:hAnsi="David" w:cs="David"/>
                <w:sz w:val="22"/>
                <w:szCs w:val="22"/>
              </w:rPr>
            </w:pPr>
            <w:r>
              <w:rPr>
                <w:rFonts w:ascii="David" w:hAnsi="David" w:cs="David"/>
                <w:color w:val="000000"/>
              </w:rPr>
              <w:t>3.4</w:t>
            </w:r>
          </w:p>
        </w:tc>
        <w:tc>
          <w:tcPr>
            <w:tcW w:w="1077" w:type="dxa"/>
            <w:tcBorders>
              <w:left w:val="single" w:sz="4" w:space="0" w:color="auto"/>
            </w:tcBorders>
            <w:shd w:val="clear" w:color="auto" w:fill="auto"/>
            <w:noWrap/>
            <w:vAlign w:val="center"/>
            <w:hideMark/>
          </w:tcPr>
          <w:p w:rsidR="00BE6A4E" w:rsidRPr="0086400E" w:rsidRDefault="00BE6A4E" w:rsidP="00BE6A4E">
            <w:pPr>
              <w:pStyle w:val="Tablenc"/>
              <w:bidi w:val="0"/>
              <w:ind w:right="340"/>
              <w:jc w:val="right"/>
              <w:rPr>
                <w:rFonts w:ascii="David" w:hAnsi="David" w:cs="David"/>
                <w:sz w:val="22"/>
                <w:szCs w:val="22"/>
              </w:rPr>
            </w:pPr>
            <w:r>
              <w:rPr>
                <w:rFonts w:ascii="David" w:hAnsi="David" w:cs="David"/>
                <w:color w:val="000000"/>
              </w:rPr>
              <w:t>4.5</w:t>
            </w:r>
          </w:p>
        </w:tc>
        <w:tc>
          <w:tcPr>
            <w:tcW w:w="1078" w:type="dxa"/>
            <w:tcBorders>
              <w:right w:val="single" w:sz="4" w:space="0" w:color="auto"/>
            </w:tcBorders>
            <w:shd w:val="clear" w:color="auto" w:fill="auto"/>
            <w:noWrap/>
            <w:vAlign w:val="center"/>
            <w:hideMark/>
          </w:tcPr>
          <w:p w:rsidR="00BE6A4E" w:rsidRPr="0086400E" w:rsidRDefault="00BE6A4E" w:rsidP="00BE6A4E">
            <w:pPr>
              <w:pStyle w:val="Tablenc"/>
              <w:bidi w:val="0"/>
              <w:ind w:right="340"/>
              <w:jc w:val="right"/>
              <w:rPr>
                <w:rFonts w:ascii="David" w:hAnsi="David" w:cs="David"/>
                <w:color w:val="4F81BD" w:themeColor="accent1"/>
                <w:sz w:val="22"/>
                <w:szCs w:val="22"/>
              </w:rPr>
            </w:pPr>
            <w:r>
              <w:rPr>
                <w:rFonts w:ascii="David" w:hAnsi="David" w:cs="David"/>
                <w:color w:val="333399"/>
              </w:rPr>
              <w:t>-2.5</w:t>
            </w:r>
          </w:p>
        </w:tc>
        <w:tc>
          <w:tcPr>
            <w:tcW w:w="1078" w:type="dxa"/>
            <w:tcBorders>
              <w:left w:val="single" w:sz="4" w:space="0" w:color="auto"/>
            </w:tcBorders>
            <w:vAlign w:val="center"/>
          </w:tcPr>
          <w:p w:rsidR="00BE6A4E" w:rsidRPr="0086400E" w:rsidRDefault="00BE6A4E" w:rsidP="00BE6A4E">
            <w:pPr>
              <w:pStyle w:val="Tablenc"/>
              <w:bidi w:val="0"/>
              <w:ind w:right="340"/>
              <w:jc w:val="right"/>
              <w:rPr>
                <w:rFonts w:ascii="David" w:hAnsi="David" w:cs="David"/>
                <w:sz w:val="22"/>
                <w:szCs w:val="22"/>
              </w:rPr>
            </w:pPr>
            <w:r>
              <w:rPr>
                <w:rFonts w:ascii="David" w:hAnsi="David" w:cs="David"/>
                <w:color w:val="000000"/>
              </w:rPr>
              <w:t>2.5</w:t>
            </w:r>
          </w:p>
        </w:tc>
        <w:tc>
          <w:tcPr>
            <w:tcW w:w="1078" w:type="dxa"/>
            <w:tcBorders>
              <w:left w:val="single" w:sz="4" w:space="0" w:color="auto"/>
              <w:right w:val="single" w:sz="4" w:space="0" w:color="auto"/>
            </w:tcBorders>
            <w:vAlign w:val="center"/>
          </w:tcPr>
          <w:p w:rsidR="00BE6A4E" w:rsidRDefault="00BE6A4E" w:rsidP="00BE6A4E">
            <w:pPr>
              <w:pStyle w:val="Tablenc"/>
              <w:bidi w:val="0"/>
              <w:ind w:right="340"/>
              <w:jc w:val="right"/>
              <w:rPr>
                <w:rFonts w:ascii="David" w:hAnsi="David" w:cs="David"/>
                <w:color w:val="000000"/>
              </w:rPr>
            </w:pPr>
            <w:r>
              <w:rPr>
                <w:rFonts w:ascii="David" w:hAnsi="David" w:cs="David"/>
                <w:color w:val="333399"/>
              </w:rPr>
              <w:t>4.0</w:t>
            </w:r>
          </w:p>
        </w:tc>
      </w:tr>
      <w:tr w:rsidR="00BE6A4E" w:rsidRPr="0086400E" w:rsidTr="00316615">
        <w:trPr>
          <w:trHeight w:val="300"/>
          <w:jc w:val="center"/>
        </w:trPr>
        <w:tc>
          <w:tcPr>
            <w:tcW w:w="3402" w:type="dxa"/>
            <w:tcBorders>
              <w:right w:val="single" w:sz="4" w:space="0" w:color="auto"/>
            </w:tcBorders>
            <w:shd w:val="clear" w:color="auto" w:fill="auto"/>
            <w:vAlign w:val="center"/>
            <w:hideMark/>
          </w:tcPr>
          <w:p w:rsidR="00BE6A4E" w:rsidRPr="0086400E" w:rsidRDefault="00BE6A4E" w:rsidP="00BE6A4E">
            <w:pPr>
              <w:pStyle w:val="Tablenc"/>
              <w:jc w:val="left"/>
              <w:rPr>
                <w:rFonts w:ascii="David" w:hAnsi="David" w:cs="David"/>
                <w:sz w:val="22"/>
                <w:szCs w:val="22"/>
                <w:rtl/>
              </w:rPr>
            </w:pPr>
            <w:r w:rsidRPr="0086400E">
              <w:rPr>
                <w:rFonts w:ascii="David" w:hAnsi="David" w:cs="David"/>
                <w:sz w:val="22"/>
                <w:szCs w:val="22"/>
                <w:rtl/>
              </w:rPr>
              <w:t>היצוא (ללא יהלומים והזנק)</w:t>
            </w:r>
          </w:p>
        </w:tc>
        <w:tc>
          <w:tcPr>
            <w:tcW w:w="1077" w:type="dxa"/>
            <w:tcBorders>
              <w:left w:val="single" w:sz="4" w:space="0" w:color="auto"/>
            </w:tcBorders>
            <w:shd w:val="clear" w:color="auto" w:fill="D9D9D9" w:themeFill="background1" w:themeFillShade="D9"/>
            <w:noWrap/>
            <w:vAlign w:val="center"/>
            <w:hideMark/>
          </w:tcPr>
          <w:p w:rsidR="00BE6A4E" w:rsidRPr="00437165" w:rsidRDefault="00BE6A4E" w:rsidP="00BE6A4E">
            <w:pPr>
              <w:pStyle w:val="Tablenc"/>
              <w:bidi w:val="0"/>
              <w:ind w:right="340"/>
              <w:jc w:val="right"/>
              <w:rPr>
                <w:rFonts w:ascii="David" w:hAnsi="David" w:cs="David"/>
                <w:sz w:val="22"/>
                <w:szCs w:val="22"/>
              </w:rPr>
            </w:pPr>
            <w:r>
              <w:rPr>
                <w:rFonts w:ascii="David" w:hAnsi="David" w:cs="David"/>
                <w:color w:val="000000"/>
              </w:rPr>
              <w:t>5.0</w:t>
            </w:r>
          </w:p>
        </w:tc>
        <w:tc>
          <w:tcPr>
            <w:tcW w:w="1077" w:type="dxa"/>
            <w:tcBorders>
              <w:left w:val="single" w:sz="4" w:space="0" w:color="auto"/>
            </w:tcBorders>
            <w:shd w:val="clear" w:color="auto" w:fill="auto"/>
            <w:noWrap/>
            <w:vAlign w:val="center"/>
            <w:hideMark/>
          </w:tcPr>
          <w:p w:rsidR="00BE6A4E" w:rsidRPr="0086400E" w:rsidRDefault="00BE6A4E" w:rsidP="00BE6A4E">
            <w:pPr>
              <w:pStyle w:val="Tablenc"/>
              <w:bidi w:val="0"/>
              <w:ind w:right="340"/>
              <w:jc w:val="right"/>
              <w:rPr>
                <w:rFonts w:ascii="David" w:hAnsi="David" w:cs="David"/>
                <w:sz w:val="22"/>
                <w:szCs w:val="22"/>
              </w:rPr>
            </w:pPr>
            <w:r>
              <w:rPr>
                <w:rFonts w:ascii="David" w:hAnsi="David" w:cs="David"/>
                <w:color w:val="000000"/>
              </w:rPr>
              <w:t>-13.0</w:t>
            </w:r>
          </w:p>
        </w:tc>
        <w:tc>
          <w:tcPr>
            <w:tcW w:w="1078" w:type="dxa"/>
            <w:tcBorders>
              <w:right w:val="single" w:sz="4" w:space="0" w:color="auto"/>
            </w:tcBorders>
            <w:shd w:val="clear" w:color="auto" w:fill="auto"/>
            <w:noWrap/>
            <w:vAlign w:val="center"/>
          </w:tcPr>
          <w:p w:rsidR="00BE6A4E" w:rsidRPr="0086400E" w:rsidRDefault="00BE6A4E" w:rsidP="00BE6A4E">
            <w:pPr>
              <w:pStyle w:val="Tablenc"/>
              <w:bidi w:val="0"/>
              <w:ind w:right="340"/>
              <w:jc w:val="right"/>
              <w:rPr>
                <w:rFonts w:ascii="David" w:hAnsi="David" w:cs="David"/>
                <w:color w:val="4F81BD" w:themeColor="accent1"/>
                <w:sz w:val="22"/>
                <w:szCs w:val="22"/>
              </w:rPr>
            </w:pPr>
            <w:r>
              <w:rPr>
                <w:rFonts w:ascii="David" w:hAnsi="David" w:cs="David"/>
                <w:color w:val="333399"/>
              </w:rPr>
              <w:t>-2.0</w:t>
            </w:r>
          </w:p>
        </w:tc>
        <w:tc>
          <w:tcPr>
            <w:tcW w:w="1078" w:type="dxa"/>
            <w:tcBorders>
              <w:left w:val="single" w:sz="4" w:space="0" w:color="auto"/>
            </w:tcBorders>
            <w:vAlign w:val="center"/>
          </w:tcPr>
          <w:p w:rsidR="00BE6A4E" w:rsidRPr="0086400E" w:rsidRDefault="00BE6A4E" w:rsidP="00BE6A4E">
            <w:pPr>
              <w:pStyle w:val="Tablenc"/>
              <w:bidi w:val="0"/>
              <w:ind w:right="340"/>
              <w:jc w:val="right"/>
              <w:rPr>
                <w:rFonts w:ascii="David" w:hAnsi="David" w:cs="David"/>
                <w:sz w:val="22"/>
                <w:szCs w:val="22"/>
              </w:rPr>
            </w:pPr>
            <w:r>
              <w:rPr>
                <w:rFonts w:ascii="David" w:hAnsi="David" w:cs="David"/>
                <w:color w:val="000000"/>
              </w:rPr>
              <w:t>7.5</w:t>
            </w:r>
          </w:p>
        </w:tc>
        <w:tc>
          <w:tcPr>
            <w:tcW w:w="1078" w:type="dxa"/>
            <w:tcBorders>
              <w:left w:val="single" w:sz="4" w:space="0" w:color="auto"/>
              <w:right w:val="single" w:sz="4" w:space="0" w:color="auto"/>
            </w:tcBorders>
            <w:vAlign w:val="center"/>
          </w:tcPr>
          <w:p w:rsidR="00BE6A4E" w:rsidRDefault="00BE6A4E" w:rsidP="00BE6A4E">
            <w:pPr>
              <w:pStyle w:val="Tablenc"/>
              <w:bidi w:val="0"/>
              <w:ind w:right="340"/>
              <w:jc w:val="right"/>
              <w:rPr>
                <w:rFonts w:ascii="David" w:hAnsi="David" w:cs="David"/>
                <w:color w:val="000000"/>
              </w:rPr>
            </w:pPr>
            <w:r>
              <w:rPr>
                <w:rFonts w:ascii="David" w:hAnsi="David" w:cs="David"/>
                <w:color w:val="333399"/>
              </w:rPr>
              <w:t>0.5</w:t>
            </w:r>
          </w:p>
        </w:tc>
      </w:tr>
      <w:tr w:rsidR="00BE6A4E" w:rsidRPr="0086400E" w:rsidTr="00316615">
        <w:trPr>
          <w:trHeight w:val="300"/>
          <w:jc w:val="center"/>
        </w:trPr>
        <w:tc>
          <w:tcPr>
            <w:tcW w:w="3402" w:type="dxa"/>
            <w:tcBorders>
              <w:bottom w:val="single" w:sz="4" w:space="0" w:color="auto"/>
              <w:right w:val="single" w:sz="4" w:space="0" w:color="auto"/>
            </w:tcBorders>
            <w:shd w:val="clear" w:color="auto" w:fill="auto"/>
            <w:vAlign w:val="center"/>
            <w:hideMark/>
          </w:tcPr>
          <w:p w:rsidR="00BE6A4E" w:rsidRPr="0086400E" w:rsidRDefault="00BE6A4E" w:rsidP="00BE6A4E">
            <w:pPr>
              <w:pStyle w:val="Tablenc"/>
              <w:jc w:val="left"/>
              <w:rPr>
                <w:rFonts w:ascii="David" w:hAnsi="David" w:cs="David"/>
                <w:sz w:val="22"/>
                <w:szCs w:val="22"/>
                <w:rtl/>
              </w:rPr>
            </w:pPr>
            <w:r w:rsidRPr="0086400E">
              <w:rPr>
                <w:rFonts w:ascii="David" w:hAnsi="David" w:cs="David"/>
                <w:sz w:val="22"/>
                <w:szCs w:val="22"/>
                <w:rtl/>
              </w:rPr>
              <w:t xml:space="preserve">היבוא האזרחי (ללא יהלומים, </w:t>
            </w:r>
            <w:proofErr w:type="spellStart"/>
            <w:r w:rsidRPr="0086400E">
              <w:rPr>
                <w:rFonts w:ascii="David" w:hAnsi="David" w:cs="David"/>
                <w:sz w:val="22"/>
                <w:szCs w:val="22"/>
                <w:rtl/>
              </w:rPr>
              <w:t>אוניות</w:t>
            </w:r>
            <w:proofErr w:type="spellEnd"/>
            <w:r w:rsidRPr="0086400E">
              <w:rPr>
                <w:rFonts w:ascii="David" w:hAnsi="David" w:cs="David"/>
                <w:sz w:val="22"/>
                <w:szCs w:val="22"/>
                <w:rtl/>
              </w:rPr>
              <w:t xml:space="preserve"> ומטוסים)</w:t>
            </w:r>
          </w:p>
        </w:tc>
        <w:tc>
          <w:tcPr>
            <w:tcW w:w="1077" w:type="dxa"/>
            <w:tcBorders>
              <w:left w:val="single" w:sz="4" w:space="0" w:color="auto"/>
              <w:bottom w:val="single" w:sz="4" w:space="0" w:color="auto"/>
            </w:tcBorders>
            <w:shd w:val="clear" w:color="auto" w:fill="D9D9D9" w:themeFill="background1" w:themeFillShade="D9"/>
            <w:noWrap/>
            <w:vAlign w:val="center"/>
            <w:hideMark/>
          </w:tcPr>
          <w:p w:rsidR="00BE6A4E" w:rsidRPr="00437165" w:rsidRDefault="00BE6A4E" w:rsidP="00BE6A4E">
            <w:pPr>
              <w:pStyle w:val="Tablenc"/>
              <w:bidi w:val="0"/>
              <w:ind w:right="340"/>
              <w:jc w:val="right"/>
              <w:rPr>
                <w:rFonts w:ascii="David" w:hAnsi="David" w:cs="David"/>
                <w:sz w:val="22"/>
                <w:szCs w:val="22"/>
              </w:rPr>
            </w:pPr>
            <w:r>
              <w:rPr>
                <w:rFonts w:ascii="David" w:hAnsi="David" w:cs="David"/>
                <w:color w:val="000000"/>
              </w:rPr>
              <w:t>4.3</w:t>
            </w:r>
          </w:p>
        </w:tc>
        <w:tc>
          <w:tcPr>
            <w:tcW w:w="1077" w:type="dxa"/>
            <w:tcBorders>
              <w:left w:val="single" w:sz="4" w:space="0" w:color="auto"/>
              <w:bottom w:val="single" w:sz="4" w:space="0" w:color="auto"/>
            </w:tcBorders>
            <w:shd w:val="clear" w:color="auto" w:fill="auto"/>
            <w:noWrap/>
            <w:vAlign w:val="center"/>
            <w:hideMark/>
          </w:tcPr>
          <w:p w:rsidR="00BE6A4E" w:rsidRPr="0086400E" w:rsidRDefault="00BE6A4E" w:rsidP="00BE6A4E">
            <w:pPr>
              <w:pStyle w:val="Tablenc"/>
              <w:bidi w:val="0"/>
              <w:ind w:right="340"/>
              <w:jc w:val="right"/>
              <w:rPr>
                <w:rFonts w:ascii="David" w:hAnsi="David" w:cs="David"/>
                <w:sz w:val="22"/>
                <w:szCs w:val="22"/>
                <w:highlight w:val="yellow"/>
              </w:rPr>
            </w:pPr>
            <w:r>
              <w:rPr>
                <w:rFonts w:ascii="David" w:hAnsi="David" w:cs="David"/>
                <w:color w:val="000000"/>
              </w:rPr>
              <w:t>-14.0</w:t>
            </w:r>
          </w:p>
        </w:tc>
        <w:tc>
          <w:tcPr>
            <w:tcW w:w="1078" w:type="dxa"/>
            <w:tcBorders>
              <w:bottom w:val="single" w:sz="4" w:space="0" w:color="auto"/>
              <w:right w:val="single" w:sz="4" w:space="0" w:color="auto"/>
            </w:tcBorders>
            <w:shd w:val="clear" w:color="auto" w:fill="auto"/>
            <w:noWrap/>
            <w:vAlign w:val="center"/>
            <w:hideMark/>
          </w:tcPr>
          <w:p w:rsidR="00BE6A4E" w:rsidRPr="0086400E" w:rsidRDefault="00BE6A4E" w:rsidP="00BE6A4E">
            <w:pPr>
              <w:pStyle w:val="Tablenc"/>
              <w:bidi w:val="0"/>
              <w:ind w:right="340"/>
              <w:jc w:val="right"/>
              <w:rPr>
                <w:rFonts w:ascii="David" w:hAnsi="David" w:cs="David"/>
                <w:color w:val="4F81BD" w:themeColor="accent1"/>
                <w:sz w:val="22"/>
                <w:szCs w:val="22"/>
                <w:rtl/>
              </w:rPr>
            </w:pPr>
            <w:r>
              <w:rPr>
                <w:rFonts w:ascii="David" w:hAnsi="David" w:cs="David"/>
                <w:color w:val="333399"/>
              </w:rPr>
              <w:t>-2.0</w:t>
            </w:r>
          </w:p>
        </w:tc>
        <w:tc>
          <w:tcPr>
            <w:tcW w:w="1078" w:type="dxa"/>
            <w:tcBorders>
              <w:left w:val="single" w:sz="4" w:space="0" w:color="auto"/>
              <w:bottom w:val="single" w:sz="4" w:space="0" w:color="auto"/>
            </w:tcBorders>
            <w:vAlign w:val="center"/>
          </w:tcPr>
          <w:p w:rsidR="00BE6A4E" w:rsidRPr="0086400E" w:rsidRDefault="00BE6A4E" w:rsidP="00BE6A4E">
            <w:pPr>
              <w:pStyle w:val="Tablenc"/>
              <w:bidi w:val="0"/>
              <w:ind w:right="340"/>
              <w:jc w:val="right"/>
              <w:rPr>
                <w:rFonts w:ascii="David" w:hAnsi="David" w:cs="David"/>
                <w:sz w:val="22"/>
                <w:szCs w:val="22"/>
                <w:rtl/>
              </w:rPr>
            </w:pPr>
            <w:r>
              <w:rPr>
                <w:rFonts w:ascii="David" w:hAnsi="David" w:cs="David"/>
                <w:color w:val="000000"/>
              </w:rPr>
              <w:t>6.5</w:t>
            </w:r>
          </w:p>
        </w:tc>
        <w:tc>
          <w:tcPr>
            <w:tcW w:w="1078" w:type="dxa"/>
            <w:tcBorders>
              <w:left w:val="single" w:sz="4" w:space="0" w:color="auto"/>
              <w:bottom w:val="single" w:sz="4" w:space="0" w:color="auto"/>
              <w:right w:val="single" w:sz="4" w:space="0" w:color="auto"/>
            </w:tcBorders>
            <w:vAlign w:val="center"/>
          </w:tcPr>
          <w:p w:rsidR="00BE6A4E" w:rsidRDefault="00BE6A4E" w:rsidP="00BE6A4E">
            <w:pPr>
              <w:pStyle w:val="Tablenc"/>
              <w:bidi w:val="0"/>
              <w:ind w:right="340"/>
              <w:jc w:val="right"/>
              <w:rPr>
                <w:rFonts w:ascii="David" w:hAnsi="David" w:cs="David"/>
                <w:color w:val="000000"/>
              </w:rPr>
            </w:pPr>
            <w:r>
              <w:rPr>
                <w:rFonts w:ascii="David" w:hAnsi="David" w:cs="David"/>
                <w:color w:val="333399"/>
              </w:rPr>
              <w:t>2.5</w:t>
            </w:r>
          </w:p>
        </w:tc>
      </w:tr>
      <w:tr w:rsidR="00BE6A4E" w:rsidRPr="0086400E" w:rsidTr="00316615">
        <w:trPr>
          <w:trHeight w:val="315"/>
          <w:jc w:val="center"/>
        </w:trPr>
        <w:tc>
          <w:tcPr>
            <w:tcW w:w="3402" w:type="dxa"/>
            <w:tcBorders>
              <w:top w:val="single" w:sz="4" w:space="0" w:color="auto"/>
              <w:bottom w:val="single" w:sz="4" w:space="0" w:color="auto"/>
              <w:right w:val="single" w:sz="4" w:space="0" w:color="auto"/>
            </w:tcBorders>
            <w:shd w:val="clear" w:color="auto" w:fill="auto"/>
            <w:vAlign w:val="center"/>
            <w:hideMark/>
          </w:tcPr>
          <w:p w:rsidR="00BE6A4E" w:rsidRPr="0086400E" w:rsidRDefault="00BE6A4E" w:rsidP="00BE6A4E">
            <w:pPr>
              <w:pStyle w:val="Tablenc"/>
              <w:jc w:val="left"/>
              <w:rPr>
                <w:rFonts w:ascii="David" w:hAnsi="David" w:cs="David"/>
                <w:sz w:val="22"/>
                <w:szCs w:val="22"/>
                <w:rtl/>
              </w:rPr>
            </w:pPr>
            <w:r w:rsidRPr="0086400E">
              <w:rPr>
                <w:rFonts w:ascii="David" w:hAnsi="David" w:cs="David"/>
                <w:sz w:val="22"/>
                <w:szCs w:val="22"/>
                <w:rtl/>
              </w:rPr>
              <w:t>האבטלה (שיעור)</w:t>
            </w:r>
            <w:r w:rsidRPr="0086400E">
              <w:rPr>
                <w:rFonts w:ascii="David" w:hAnsi="David" w:cs="David"/>
                <w:sz w:val="22"/>
                <w:szCs w:val="22"/>
                <w:vertAlign w:val="superscript"/>
                <w:rtl/>
              </w:rPr>
              <w:t>2</w:t>
            </w:r>
          </w:p>
        </w:tc>
        <w:tc>
          <w:tcPr>
            <w:tcW w:w="1077" w:type="dxa"/>
            <w:tcBorders>
              <w:top w:val="single" w:sz="4" w:space="0" w:color="auto"/>
              <w:left w:val="single" w:sz="4" w:space="0" w:color="auto"/>
              <w:bottom w:val="single" w:sz="4" w:space="0" w:color="auto"/>
            </w:tcBorders>
            <w:shd w:val="clear" w:color="auto" w:fill="D9D9D9" w:themeFill="background1" w:themeFillShade="D9"/>
            <w:noWrap/>
            <w:vAlign w:val="center"/>
            <w:hideMark/>
          </w:tcPr>
          <w:p w:rsidR="00BE6A4E" w:rsidRPr="0086400E" w:rsidRDefault="00BE6A4E" w:rsidP="00BE6A4E">
            <w:pPr>
              <w:pStyle w:val="Tablenc"/>
              <w:bidi w:val="0"/>
              <w:ind w:right="340"/>
              <w:jc w:val="right"/>
              <w:rPr>
                <w:rFonts w:ascii="David" w:hAnsi="David" w:cs="David"/>
                <w:sz w:val="22"/>
                <w:szCs w:val="22"/>
                <w:rtl/>
              </w:rPr>
            </w:pPr>
            <w:r>
              <w:rPr>
                <w:rFonts w:ascii="David" w:hAnsi="David" w:cs="David"/>
                <w:color w:val="000000"/>
              </w:rPr>
              <w:t>3.3</w:t>
            </w:r>
          </w:p>
        </w:tc>
        <w:tc>
          <w:tcPr>
            <w:tcW w:w="1077" w:type="dxa"/>
            <w:tcBorders>
              <w:top w:val="single" w:sz="4" w:space="0" w:color="auto"/>
              <w:left w:val="single" w:sz="4" w:space="0" w:color="auto"/>
              <w:bottom w:val="single" w:sz="4" w:space="0" w:color="auto"/>
            </w:tcBorders>
            <w:shd w:val="clear" w:color="auto" w:fill="auto"/>
            <w:noWrap/>
            <w:vAlign w:val="center"/>
            <w:hideMark/>
          </w:tcPr>
          <w:p w:rsidR="00BE6A4E" w:rsidRPr="0086400E" w:rsidRDefault="00BE6A4E" w:rsidP="00BE6A4E">
            <w:pPr>
              <w:pStyle w:val="Tablenc"/>
              <w:bidi w:val="0"/>
              <w:ind w:right="340"/>
              <w:jc w:val="right"/>
              <w:rPr>
                <w:rFonts w:ascii="David" w:hAnsi="David" w:cs="David"/>
                <w:sz w:val="22"/>
                <w:szCs w:val="22"/>
              </w:rPr>
            </w:pPr>
            <w:r>
              <w:rPr>
                <w:rFonts w:ascii="David" w:hAnsi="David" w:cs="David"/>
                <w:color w:val="000000"/>
              </w:rPr>
              <w:t>6.</w:t>
            </w:r>
            <w:r>
              <w:rPr>
                <w:rFonts w:ascii="David" w:hAnsi="David" w:cs="David" w:hint="cs"/>
                <w:color w:val="000000"/>
                <w:rtl/>
              </w:rPr>
              <w:t>2</w:t>
            </w:r>
          </w:p>
        </w:tc>
        <w:tc>
          <w:tcPr>
            <w:tcW w:w="1078" w:type="dxa"/>
            <w:tcBorders>
              <w:top w:val="single" w:sz="4" w:space="0" w:color="auto"/>
              <w:bottom w:val="single" w:sz="4" w:space="0" w:color="auto"/>
              <w:right w:val="single" w:sz="4" w:space="0" w:color="auto"/>
            </w:tcBorders>
            <w:shd w:val="clear" w:color="auto" w:fill="auto"/>
            <w:noWrap/>
            <w:vAlign w:val="center"/>
            <w:hideMark/>
          </w:tcPr>
          <w:p w:rsidR="00BE6A4E" w:rsidRPr="0086400E" w:rsidRDefault="00BE6A4E" w:rsidP="00BE6A4E">
            <w:pPr>
              <w:pStyle w:val="Tablenc"/>
              <w:bidi w:val="0"/>
              <w:ind w:right="340"/>
              <w:jc w:val="right"/>
              <w:rPr>
                <w:rFonts w:ascii="David" w:hAnsi="David" w:cs="David"/>
                <w:color w:val="4F81BD" w:themeColor="accent1"/>
                <w:sz w:val="22"/>
                <w:szCs w:val="22"/>
              </w:rPr>
            </w:pPr>
            <w:r>
              <w:rPr>
                <w:rFonts w:ascii="David" w:hAnsi="David" w:cs="David"/>
                <w:color w:val="333399"/>
              </w:rPr>
              <w:t>-0.2</w:t>
            </w:r>
          </w:p>
        </w:tc>
        <w:tc>
          <w:tcPr>
            <w:tcW w:w="1078" w:type="dxa"/>
            <w:tcBorders>
              <w:top w:val="single" w:sz="4" w:space="0" w:color="auto"/>
              <w:left w:val="single" w:sz="4" w:space="0" w:color="auto"/>
              <w:bottom w:val="single" w:sz="4" w:space="0" w:color="auto"/>
            </w:tcBorders>
            <w:vAlign w:val="center"/>
          </w:tcPr>
          <w:p w:rsidR="00BE6A4E" w:rsidRPr="0086400E" w:rsidRDefault="00BE6A4E" w:rsidP="00BE6A4E">
            <w:pPr>
              <w:pStyle w:val="Tablenc"/>
              <w:bidi w:val="0"/>
              <w:ind w:right="340"/>
              <w:jc w:val="right"/>
              <w:rPr>
                <w:rFonts w:ascii="David" w:hAnsi="David" w:cs="David"/>
                <w:sz w:val="22"/>
                <w:szCs w:val="22"/>
                <w:rtl/>
              </w:rPr>
            </w:pPr>
            <w:r>
              <w:rPr>
                <w:rFonts w:ascii="David" w:hAnsi="David" w:cs="David"/>
                <w:color w:val="000000"/>
              </w:rPr>
              <w:t>7.4</w:t>
            </w:r>
          </w:p>
        </w:tc>
        <w:tc>
          <w:tcPr>
            <w:tcW w:w="1078" w:type="dxa"/>
            <w:tcBorders>
              <w:top w:val="single" w:sz="4" w:space="0" w:color="auto"/>
              <w:left w:val="single" w:sz="4" w:space="0" w:color="auto"/>
              <w:bottom w:val="single" w:sz="4" w:space="0" w:color="auto"/>
              <w:right w:val="single" w:sz="4" w:space="0" w:color="auto"/>
            </w:tcBorders>
            <w:vAlign w:val="center"/>
          </w:tcPr>
          <w:p w:rsidR="00BE6A4E" w:rsidRDefault="00BE6A4E" w:rsidP="00BE6A4E">
            <w:pPr>
              <w:pStyle w:val="Tablenc"/>
              <w:bidi w:val="0"/>
              <w:ind w:right="340"/>
              <w:jc w:val="right"/>
              <w:rPr>
                <w:rFonts w:ascii="David" w:hAnsi="David" w:cs="David"/>
                <w:color w:val="000000"/>
              </w:rPr>
            </w:pPr>
            <w:r>
              <w:rPr>
                <w:rFonts w:ascii="David" w:hAnsi="David" w:cs="David"/>
                <w:color w:val="333399"/>
              </w:rPr>
              <w:t>0.6</w:t>
            </w:r>
          </w:p>
        </w:tc>
      </w:tr>
      <w:tr w:rsidR="00BE6A4E" w:rsidRPr="0086400E" w:rsidTr="00316615">
        <w:trPr>
          <w:trHeight w:val="315"/>
          <w:jc w:val="center"/>
        </w:trPr>
        <w:tc>
          <w:tcPr>
            <w:tcW w:w="3402" w:type="dxa"/>
            <w:tcBorders>
              <w:bottom w:val="single" w:sz="4" w:space="0" w:color="auto"/>
              <w:right w:val="single" w:sz="4" w:space="0" w:color="auto"/>
            </w:tcBorders>
            <w:shd w:val="clear" w:color="auto" w:fill="auto"/>
            <w:vAlign w:val="center"/>
          </w:tcPr>
          <w:p w:rsidR="00BE6A4E" w:rsidRPr="0086400E" w:rsidRDefault="00BE6A4E" w:rsidP="00BE6A4E">
            <w:pPr>
              <w:pStyle w:val="Tablenc"/>
              <w:rPr>
                <w:rFonts w:ascii="David" w:hAnsi="David" w:cs="David"/>
                <w:sz w:val="22"/>
                <w:szCs w:val="22"/>
                <w:rtl/>
              </w:rPr>
            </w:pPr>
            <w:r w:rsidRPr="0086400E">
              <w:rPr>
                <w:rFonts w:ascii="David" w:hAnsi="David" w:cs="David"/>
                <w:sz w:val="22"/>
                <w:szCs w:val="22"/>
                <w:rtl/>
              </w:rPr>
              <w:t>האינפלציה</w:t>
            </w:r>
            <w:r w:rsidRPr="0086400E">
              <w:rPr>
                <w:rFonts w:ascii="David" w:hAnsi="David" w:cs="David"/>
                <w:sz w:val="22"/>
                <w:szCs w:val="22"/>
                <w:vertAlign w:val="superscript"/>
                <w:rtl/>
              </w:rPr>
              <w:t>3</w:t>
            </w:r>
          </w:p>
        </w:tc>
        <w:tc>
          <w:tcPr>
            <w:tcW w:w="1077" w:type="dxa"/>
            <w:tcBorders>
              <w:top w:val="single" w:sz="4" w:space="0" w:color="auto"/>
              <w:left w:val="single" w:sz="4" w:space="0" w:color="auto"/>
              <w:bottom w:val="single" w:sz="4" w:space="0" w:color="auto"/>
            </w:tcBorders>
            <w:shd w:val="clear" w:color="auto" w:fill="D9D9D9" w:themeFill="background1" w:themeFillShade="D9"/>
            <w:noWrap/>
            <w:vAlign w:val="center"/>
          </w:tcPr>
          <w:p w:rsidR="00BE6A4E" w:rsidRPr="0086400E" w:rsidRDefault="00BE6A4E" w:rsidP="00BE6A4E">
            <w:pPr>
              <w:pStyle w:val="Tablenc"/>
              <w:bidi w:val="0"/>
              <w:ind w:right="340"/>
              <w:jc w:val="right"/>
              <w:rPr>
                <w:rFonts w:ascii="David" w:hAnsi="David" w:cs="David"/>
                <w:sz w:val="22"/>
                <w:szCs w:val="22"/>
              </w:rPr>
            </w:pPr>
            <w:r>
              <w:rPr>
                <w:rFonts w:ascii="David" w:hAnsi="David" w:cs="David"/>
                <w:color w:val="000000"/>
              </w:rPr>
              <w:t>0.4</w:t>
            </w:r>
          </w:p>
        </w:tc>
        <w:tc>
          <w:tcPr>
            <w:tcW w:w="1077" w:type="dxa"/>
            <w:tcBorders>
              <w:top w:val="single" w:sz="4" w:space="0" w:color="auto"/>
              <w:left w:val="single" w:sz="4" w:space="0" w:color="auto"/>
              <w:bottom w:val="single" w:sz="4" w:space="0" w:color="auto"/>
            </w:tcBorders>
            <w:shd w:val="clear" w:color="auto" w:fill="auto"/>
            <w:noWrap/>
            <w:vAlign w:val="center"/>
          </w:tcPr>
          <w:p w:rsidR="00BE6A4E" w:rsidRPr="0086400E" w:rsidRDefault="00BE6A4E" w:rsidP="00BE6A4E">
            <w:pPr>
              <w:pStyle w:val="Tablenc"/>
              <w:bidi w:val="0"/>
              <w:ind w:right="340"/>
              <w:jc w:val="right"/>
              <w:rPr>
                <w:rFonts w:ascii="David" w:hAnsi="David" w:cs="David"/>
                <w:sz w:val="22"/>
                <w:szCs w:val="22"/>
                <w:rtl/>
              </w:rPr>
            </w:pPr>
            <w:r>
              <w:rPr>
                <w:rFonts w:ascii="David" w:hAnsi="David" w:cs="David"/>
                <w:color w:val="000000"/>
              </w:rPr>
              <w:t>-1.</w:t>
            </w:r>
            <w:r>
              <w:rPr>
                <w:rFonts w:ascii="David" w:hAnsi="David" w:cs="David" w:hint="cs"/>
                <w:color w:val="000000"/>
                <w:rtl/>
              </w:rPr>
              <w:t>1</w:t>
            </w:r>
          </w:p>
        </w:tc>
        <w:tc>
          <w:tcPr>
            <w:tcW w:w="1078" w:type="dxa"/>
            <w:tcBorders>
              <w:top w:val="single" w:sz="4" w:space="0" w:color="auto"/>
              <w:bottom w:val="single" w:sz="4" w:space="0" w:color="auto"/>
              <w:right w:val="single" w:sz="4" w:space="0" w:color="auto"/>
            </w:tcBorders>
            <w:shd w:val="clear" w:color="auto" w:fill="auto"/>
            <w:noWrap/>
            <w:vAlign w:val="center"/>
          </w:tcPr>
          <w:p w:rsidR="00BE6A4E" w:rsidRPr="0086400E" w:rsidRDefault="00BE6A4E" w:rsidP="00BE6A4E">
            <w:pPr>
              <w:pStyle w:val="Tablenc"/>
              <w:bidi w:val="0"/>
              <w:ind w:right="340"/>
              <w:jc w:val="right"/>
              <w:rPr>
                <w:rFonts w:ascii="David" w:hAnsi="David" w:cs="David"/>
                <w:color w:val="4F81BD" w:themeColor="accent1"/>
                <w:sz w:val="22"/>
                <w:szCs w:val="22"/>
              </w:rPr>
            </w:pPr>
            <w:r>
              <w:rPr>
                <w:rFonts w:ascii="David" w:hAnsi="David" w:cs="David"/>
                <w:color w:val="333399"/>
              </w:rPr>
              <w:t>-0.7</w:t>
            </w:r>
          </w:p>
        </w:tc>
        <w:tc>
          <w:tcPr>
            <w:tcW w:w="1078" w:type="dxa"/>
            <w:tcBorders>
              <w:top w:val="single" w:sz="4" w:space="0" w:color="auto"/>
              <w:left w:val="single" w:sz="4" w:space="0" w:color="auto"/>
              <w:bottom w:val="single" w:sz="4" w:space="0" w:color="auto"/>
            </w:tcBorders>
            <w:vAlign w:val="center"/>
          </w:tcPr>
          <w:p w:rsidR="00BE6A4E" w:rsidRPr="0086400E" w:rsidRDefault="00BE6A4E" w:rsidP="00BE6A4E">
            <w:pPr>
              <w:pStyle w:val="Tablenc"/>
              <w:bidi w:val="0"/>
              <w:ind w:right="340"/>
              <w:jc w:val="right"/>
              <w:rPr>
                <w:rFonts w:ascii="David" w:hAnsi="David" w:cs="David"/>
                <w:sz w:val="22"/>
                <w:szCs w:val="22"/>
                <w:rtl/>
              </w:rPr>
            </w:pPr>
            <w:r>
              <w:rPr>
                <w:rFonts w:ascii="David" w:hAnsi="David" w:cs="David"/>
                <w:color w:val="000000"/>
              </w:rPr>
              <w:t>0.7</w:t>
            </w:r>
          </w:p>
        </w:tc>
        <w:tc>
          <w:tcPr>
            <w:tcW w:w="1078" w:type="dxa"/>
            <w:tcBorders>
              <w:top w:val="single" w:sz="4" w:space="0" w:color="auto"/>
              <w:left w:val="single" w:sz="4" w:space="0" w:color="auto"/>
              <w:bottom w:val="single" w:sz="4" w:space="0" w:color="auto"/>
              <w:right w:val="single" w:sz="4" w:space="0" w:color="auto"/>
            </w:tcBorders>
            <w:vAlign w:val="center"/>
          </w:tcPr>
          <w:p w:rsidR="00BE6A4E" w:rsidRDefault="00BE6A4E" w:rsidP="00BE6A4E">
            <w:pPr>
              <w:pStyle w:val="Tablenc"/>
              <w:bidi w:val="0"/>
              <w:ind w:right="340"/>
              <w:jc w:val="right"/>
              <w:rPr>
                <w:rFonts w:ascii="David" w:hAnsi="David" w:cs="David"/>
                <w:color w:val="000000"/>
              </w:rPr>
            </w:pPr>
            <w:r>
              <w:rPr>
                <w:rFonts w:ascii="David" w:hAnsi="David" w:cs="David"/>
                <w:color w:val="333399"/>
              </w:rPr>
              <w:t>--</w:t>
            </w:r>
          </w:p>
        </w:tc>
      </w:tr>
    </w:tbl>
    <w:p w:rsidR="00316615" w:rsidRPr="00905BD1" w:rsidRDefault="00316615" w:rsidP="00316615">
      <w:pPr>
        <w:numPr>
          <w:ilvl w:val="0"/>
          <w:numId w:val="2"/>
        </w:numPr>
        <w:ind w:left="1105"/>
        <w:contextualSpacing/>
        <w:rPr>
          <w:rFonts w:ascii="David" w:hAnsi="David" w:cs="David"/>
          <w:sz w:val="18"/>
          <w:szCs w:val="18"/>
        </w:rPr>
      </w:pPr>
      <w:r>
        <w:rPr>
          <w:rFonts w:ascii="David" w:hAnsi="David" w:cs="David" w:hint="cs"/>
          <w:sz w:val="18"/>
          <w:szCs w:val="18"/>
          <w:rtl/>
        </w:rPr>
        <w:lastRenderedPageBreak/>
        <w:t>עפ"י אומד</w:t>
      </w:r>
      <w:r>
        <w:rPr>
          <w:rFonts w:ascii="David" w:hAnsi="David" w:cs="David" w:hint="eastAsia"/>
          <w:sz w:val="18"/>
          <w:szCs w:val="18"/>
          <w:rtl/>
        </w:rPr>
        <w:t>ן</w:t>
      </w:r>
      <w:r>
        <w:rPr>
          <w:rFonts w:ascii="David" w:hAnsi="David" w:cs="David" w:hint="cs"/>
          <w:sz w:val="18"/>
          <w:szCs w:val="18"/>
          <w:rtl/>
        </w:rPr>
        <w:t xml:space="preserve"> </w:t>
      </w:r>
      <w:proofErr w:type="spellStart"/>
      <w:r w:rsidRPr="00905BD1">
        <w:rPr>
          <w:rFonts w:ascii="David" w:hAnsi="David" w:cs="David" w:hint="cs"/>
          <w:sz w:val="18"/>
          <w:szCs w:val="18"/>
          <w:rtl/>
        </w:rPr>
        <w:t>הלמ"ס</w:t>
      </w:r>
      <w:proofErr w:type="spellEnd"/>
      <w:r w:rsidRPr="00905BD1">
        <w:rPr>
          <w:rFonts w:ascii="David" w:hAnsi="David" w:cs="David" w:hint="cs"/>
          <w:sz w:val="18"/>
          <w:szCs w:val="18"/>
          <w:rtl/>
        </w:rPr>
        <w:t>, נכון ל-</w:t>
      </w:r>
      <w:r>
        <w:rPr>
          <w:rFonts w:ascii="David" w:hAnsi="David" w:cs="David" w:hint="cs"/>
          <w:sz w:val="18"/>
          <w:szCs w:val="18"/>
          <w:rtl/>
        </w:rPr>
        <w:t>16</w:t>
      </w:r>
      <w:r w:rsidRPr="00905BD1">
        <w:rPr>
          <w:rFonts w:ascii="David" w:hAnsi="David" w:cs="David" w:hint="cs"/>
          <w:sz w:val="18"/>
          <w:szCs w:val="18"/>
          <w:rtl/>
        </w:rPr>
        <w:t xml:space="preserve"> </w:t>
      </w:r>
      <w:r>
        <w:rPr>
          <w:rFonts w:ascii="David" w:hAnsi="David" w:cs="David" w:hint="cs"/>
          <w:sz w:val="18"/>
          <w:szCs w:val="18"/>
          <w:rtl/>
        </w:rPr>
        <w:t>ביוני</w:t>
      </w:r>
      <w:r w:rsidRPr="00905BD1">
        <w:rPr>
          <w:rFonts w:ascii="David" w:hAnsi="David" w:cs="David" w:hint="cs"/>
          <w:sz w:val="18"/>
          <w:szCs w:val="18"/>
          <w:rtl/>
        </w:rPr>
        <w:t xml:space="preserve"> 2020.</w:t>
      </w:r>
    </w:p>
    <w:p w:rsidR="00316615" w:rsidRPr="00905BD1" w:rsidRDefault="00316615" w:rsidP="00316615">
      <w:pPr>
        <w:numPr>
          <w:ilvl w:val="0"/>
          <w:numId w:val="2"/>
        </w:numPr>
        <w:ind w:left="1105"/>
        <w:contextualSpacing/>
        <w:rPr>
          <w:rFonts w:ascii="David" w:hAnsi="David" w:cs="David"/>
          <w:sz w:val="18"/>
          <w:szCs w:val="18"/>
        </w:rPr>
      </w:pPr>
      <w:r w:rsidRPr="00905BD1">
        <w:rPr>
          <w:rFonts w:ascii="David" w:hAnsi="David" w:cs="David"/>
          <w:sz w:val="18"/>
          <w:szCs w:val="18"/>
          <w:rtl/>
        </w:rPr>
        <w:t>הממוצע השנתי של האבטלה בגילי העבודה העיקריים (25–64).</w:t>
      </w:r>
    </w:p>
    <w:p w:rsidR="00316615" w:rsidRPr="00905BD1" w:rsidRDefault="00316615" w:rsidP="00316615">
      <w:pPr>
        <w:numPr>
          <w:ilvl w:val="0"/>
          <w:numId w:val="2"/>
        </w:numPr>
        <w:ind w:left="1105"/>
        <w:contextualSpacing/>
        <w:rPr>
          <w:rFonts w:ascii="David" w:hAnsi="David" w:cs="David"/>
          <w:sz w:val="18"/>
          <w:szCs w:val="18"/>
        </w:rPr>
      </w:pPr>
      <w:r w:rsidRPr="00905BD1">
        <w:rPr>
          <w:rFonts w:ascii="David" w:hAnsi="David" w:cs="David"/>
          <w:sz w:val="18"/>
          <w:szCs w:val="18"/>
          <w:rtl/>
        </w:rPr>
        <w:t>הממוצע של מדד המחירים לצרכן ברבעון האחרון בשנה לעומת הממוצע ברבעון האחרון בשנה הקודמת.</w:t>
      </w:r>
    </w:p>
    <w:p w:rsidR="00917C6D" w:rsidRPr="0086400E" w:rsidRDefault="00917C6D" w:rsidP="00917C6D">
      <w:pPr>
        <w:pStyle w:val="2"/>
        <w:ind w:left="113"/>
        <w:rPr>
          <w:rFonts w:ascii="David" w:hAnsi="David" w:cs="David"/>
        </w:rPr>
      </w:pPr>
      <w:r w:rsidRPr="0086400E">
        <w:rPr>
          <w:rFonts w:ascii="David" w:hAnsi="David" w:cs="David"/>
          <w:rtl/>
        </w:rPr>
        <w:t>האינפלציה והריבית</w:t>
      </w:r>
    </w:p>
    <w:p w:rsidR="00316615" w:rsidRPr="00166515" w:rsidRDefault="00316615" w:rsidP="0053680E">
      <w:pPr>
        <w:spacing w:before="120" w:after="120"/>
        <w:ind w:left="113"/>
        <w:rPr>
          <w:rFonts w:ascii="David" w:hAnsi="David" w:cs="David"/>
          <w:rtl/>
        </w:rPr>
      </w:pPr>
      <w:r w:rsidRPr="00166515">
        <w:rPr>
          <w:rFonts w:ascii="David" w:hAnsi="David" w:cs="David"/>
          <w:rtl/>
        </w:rPr>
        <w:t>להערכתנו,</w:t>
      </w:r>
      <w:r w:rsidRPr="00166515">
        <w:rPr>
          <w:rFonts w:ascii="David" w:hAnsi="David" w:cs="David"/>
          <w:b/>
          <w:bCs/>
          <w:rtl/>
        </w:rPr>
        <w:t xml:space="preserve"> </w:t>
      </w:r>
      <w:r w:rsidRPr="00166515">
        <w:rPr>
          <w:rFonts w:ascii="David" w:hAnsi="David" w:cs="David" w:hint="cs"/>
          <w:b/>
          <w:bCs/>
          <w:rtl/>
        </w:rPr>
        <w:t xml:space="preserve">שיעור </w:t>
      </w:r>
      <w:r w:rsidRPr="00166515">
        <w:rPr>
          <w:rFonts w:ascii="David" w:hAnsi="David" w:cs="David"/>
          <w:b/>
          <w:bCs/>
          <w:rtl/>
        </w:rPr>
        <w:t xml:space="preserve">האינפלציה בארבעת הרבעונים הקרובים </w:t>
      </w:r>
      <w:r w:rsidRPr="00166515">
        <w:rPr>
          <w:rFonts w:ascii="David" w:hAnsi="David" w:cs="David" w:hint="cs"/>
          <w:b/>
          <w:bCs/>
          <w:rtl/>
        </w:rPr>
        <w:t>י</w:t>
      </w:r>
      <w:r w:rsidRPr="00166515">
        <w:rPr>
          <w:rFonts w:ascii="David" w:hAnsi="David" w:cs="David"/>
          <w:b/>
          <w:bCs/>
          <w:rtl/>
        </w:rPr>
        <w:t xml:space="preserve">עמוד על </w:t>
      </w:r>
      <w:r>
        <w:rPr>
          <w:rFonts w:ascii="David" w:hAnsi="David" w:cs="David"/>
          <w:b/>
          <w:bCs/>
        </w:rPr>
        <w:t>-0.1%</w:t>
      </w:r>
      <w:r>
        <w:rPr>
          <w:rFonts w:ascii="David" w:hAnsi="David" w:cs="David" w:hint="cs"/>
          <w:b/>
          <w:bCs/>
          <w:rtl/>
        </w:rPr>
        <w:t xml:space="preserve"> (לוח 2)</w:t>
      </w:r>
      <w:r w:rsidRPr="00166515">
        <w:rPr>
          <w:rFonts w:ascii="David" w:hAnsi="David" w:cs="David" w:hint="cs"/>
          <w:b/>
          <w:bCs/>
          <w:rtl/>
        </w:rPr>
        <w:t>, ו</w:t>
      </w:r>
      <w:r w:rsidRPr="00166515">
        <w:rPr>
          <w:rFonts w:ascii="David" w:hAnsi="David" w:cs="David"/>
          <w:b/>
          <w:bCs/>
          <w:rtl/>
        </w:rPr>
        <w:t xml:space="preserve">בסוף 2021 </w:t>
      </w:r>
      <w:r>
        <w:rPr>
          <w:rFonts w:ascii="David" w:hAnsi="David" w:cs="David" w:hint="cs"/>
          <w:b/>
          <w:bCs/>
          <w:rtl/>
        </w:rPr>
        <w:t>היא ת</w:t>
      </w:r>
      <w:r w:rsidRPr="00166515">
        <w:rPr>
          <w:rFonts w:ascii="David" w:hAnsi="David" w:cs="David" w:hint="cs"/>
          <w:b/>
          <w:bCs/>
          <w:rtl/>
        </w:rPr>
        <w:t>סתכם</w:t>
      </w:r>
      <w:r w:rsidRPr="00166515">
        <w:rPr>
          <w:rFonts w:ascii="David" w:hAnsi="David" w:cs="David"/>
          <w:b/>
          <w:bCs/>
          <w:rtl/>
        </w:rPr>
        <w:t xml:space="preserve"> ב-</w:t>
      </w:r>
      <w:r>
        <w:rPr>
          <w:rFonts w:ascii="David" w:hAnsi="David" w:cs="David"/>
          <w:b/>
          <w:bCs/>
        </w:rPr>
        <w:t>0.7%</w:t>
      </w:r>
      <w:r w:rsidRPr="00166515">
        <w:rPr>
          <w:rFonts w:ascii="David" w:hAnsi="David" w:cs="David"/>
          <w:b/>
          <w:bCs/>
          <w:rtl/>
        </w:rPr>
        <w:t>.</w:t>
      </w:r>
      <w:r w:rsidRPr="00166515">
        <w:rPr>
          <w:rFonts w:ascii="David" w:hAnsi="David" w:cs="David"/>
          <w:rtl/>
        </w:rPr>
        <w:t xml:space="preserve"> </w:t>
      </w:r>
      <w:r>
        <w:rPr>
          <w:rFonts w:ascii="David" w:hAnsi="David" w:cs="David" w:hint="cs"/>
          <w:rtl/>
        </w:rPr>
        <w:t xml:space="preserve">תחזית האינפלציה לארבעת הרביעים הקרובים הופחתה בעיקר כתוצאה ממדד מאי, שהיה נמוך ביחס לתחזיות עבורו, וכתוצאה מעדכון כלפי מטה בתחזיות קצרות הטווח לחודשים הקרובים. קצב האינפלציה צפוי להתאושש מרמתו הנוכחית הנמוכה, אולם בסוף תקופת התחזית קצב האינפלציה עדיין נמוך מהגבול התחתון של היעד. ההתאוששות בקצב האינפלציה הצפויה מוסברת בעלייה של </w:t>
      </w:r>
      <w:proofErr w:type="spellStart"/>
      <w:r>
        <w:rPr>
          <w:rFonts w:ascii="David" w:hAnsi="David" w:cs="David" w:hint="cs"/>
          <w:rtl/>
        </w:rPr>
        <w:t>הביקושים</w:t>
      </w:r>
      <w:proofErr w:type="spellEnd"/>
      <w:r>
        <w:rPr>
          <w:rFonts w:ascii="David" w:hAnsi="David" w:cs="David" w:hint="cs"/>
          <w:rtl/>
        </w:rPr>
        <w:t xml:space="preserve"> תוך התאוששות של הצריכה הפרטית והתרחבות של הצריכה הציבורית, החל מהרבעון השלישי, לאחר רמת הצריכה הפרטית הנמוכה שאפיינה את הרבעון השני. קצב האינפלציה הצפוי בתום אופק התחזית נמוך</w:t>
      </w:r>
      <w:r w:rsidR="00F906E1">
        <w:rPr>
          <w:rFonts w:ascii="David" w:hAnsi="David" w:cs="David" w:hint="cs"/>
          <w:rtl/>
        </w:rPr>
        <w:t>,</w:t>
      </w:r>
      <w:r>
        <w:rPr>
          <w:rFonts w:ascii="David" w:hAnsi="David" w:cs="David" w:hint="cs"/>
          <w:rtl/>
        </w:rPr>
        <w:t xml:space="preserve"> ומוסבר הן בקצב האינפלציה הנמוך ששרר לפני פרוץ המשבר והן ברמת ביקושים שלמרות התאוששותה עדיין נמוכה ביחס להתפתחות קו המגמה טרם המשבר, על רקע הירידה בתעסוקה ובשכר.</w:t>
      </w:r>
    </w:p>
    <w:p w:rsidR="00316615" w:rsidRDefault="00316615" w:rsidP="0053680E">
      <w:pPr>
        <w:spacing w:after="120"/>
        <w:ind w:left="113"/>
        <w:rPr>
          <w:rFonts w:ascii="David" w:hAnsi="David" w:cs="David"/>
          <w:highlight w:val="yellow"/>
          <w:rtl/>
        </w:rPr>
      </w:pPr>
      <w:r w:rsidRPr="00166515">
        <w:rPr>
          <w:rFonts w:ascii="David" w:hAnsi="David" w:cs="David"/>
          <w:rtl/>
        </w:rPr>
        <w:t>אנו מעריכים כי</w:t>
      </w:r>
      <w:r w:rsidRPr="00166515">
        <w:rPr>
          <w:rFonts w:ascii="David" w:hAnsi="David" w:cs="David"/>
          <w:b/>
          <w:bCs/>
          <w:rtl/>
        </w:rPr>
        <w:t xml:space="preserve"> </w:t>
      </w:r>
      <w:r w:rsidRPr="00166515">
        <w:rPr>
          <w:rFonts w:ascii="David" w:hAnsi="David" w:cs="David" w:hint="cs"/>
          <w:rtl/>
        </w:rPr>
        <w:t xml:space="preserve">בעוד שנה </w:t>
      </w:r>
      <w:r w:rsidRPr="00166515">
        <w:rPr>
          <w:rFonts w:ascii="David" w:hAnsi="David" w:cs="David"/>
          <w:b/>
          <w:bCs/>
          <w:rtl/>
        </w:rPr>
        <w:t xml:space="preserve">ריבית </w:t>
      </w:r>
      <w:r w:rsidRPr="00166515">
        <w:rPr>
          <w:rFonts w:ascii="David" w:hAnsi="David" w:cs="David" w:hint="cs"/>
          <w:b/>
          <w:bCs/>
          <w:rtl/>
        </w:rPr>
        <w:t xml:space="preserve">בנק ישראל </w:t>
      </w:r>
      <w:r>
        <w:rPr>
          <w:rFonts w:ascii="David" w:hAnsi="David" w:cs="David" w:hint="cs"/>
          <w:b/>
          <w:bCs/>
          <w:rtl/>
        </w:rPr>
        <w:t xml:space="preserve">תעמוד ברמה של 0-0.1% </w:t>
      </w:r>
      <w:r w:rsidRPr="00166515">
        <w:rPr>
          <w:rFonts w:ascii="David" w:hAnsi="David" w:cs="David" w:hint="cs"/>
          <w:rtl/>
        </w:rPr>
        <w:t>(לוח 2</w:t>
      </w:r>
      <w:r w:rsidRPr="00D96D56">
        <w:rPr>
          <w:rFonts w:ascii="David" w:hAnsi="David" w:cs="David" w:hint="cs"/>
          <w:rtl/>
        </w:rPr>
        <w:t>), בדומה להערכתנו בתחזית מאי</w:t>
      </w:r>
      <w:r w:rsidRPr="00166515">
        <w:rPr>
          <w:rFonts w:ascii="David" w:hAnsi="David" w:cs="David"/>
          <w:b/>
          <w:bCs/>
          <w:rtl/>
        </w:rPr>
        <w:t>.</w:t>
      </w:r>
      <w:r w:rsidRPr="00166515">
        <w:rPr>
          <w:rFonts w:ascii="David" w:hAnsi="David" w:cs="David" w:hint="cs"/>
          <w:rtl/>
        </w:rPr>
        <w:t xml:space="preserve"> נזכיר כי לצד הריבית, בנק ישראל </w:t>
      </w:r>
      <w:r>
        <w:rPr>
          <w:rFonts w:ascii="David" w:hAnsi="David" w:cs="David" w:hint="cs"/>
          <w:rtl/>
        </w:rPr>
        <w:t>ה</w:t>
      </w:r>
      <w:r w:rsidRPr="00166515">
        <w:rPr>
          <w:rFonts w:ascii="David" w:hAnsi="David" w:cs="David" w:hint="cs"/>
          <w:rtl/>
        </w:rPr>
        <w:t xml:space="preserve">פעיל כלי מדיניות נוספים, כדי לתת מענה לצרכי הנזילות של המשק </w:t>
      </w:r>
      <w:r w:rsidRPr="00166515">
        <w:rPr>
          <w:rFonts w:ascii="David" w:hAnsi="David" w:cs="David"/>
          <w:rtl/>
        </w:rPr>
        <w:t>–</w:t>
      </w:r>
      <w:r w:rsidRPr="00166515">
        <w:rPr>
          <w:rFonts w:ascii="David" w:hAnsi="David" w:cs="David" w:hint="cs"/>
          <w:rtl/>
        </w:rPr>
        <w:t xml:space="preserve"> הן במטבע מקומי והן במטבע חוץ</w:t>
      </w:r>
      <w:r>
        <w:rPr>
          <w:rFonts w:ascii="David" w:hAnsi="David" w:cs="David" w:hint="cs"/>
          <w:rtl/>
        </w:rPr>
        <w:t>, ובאפשרותו להוסיף ולפעול באמצעות כלים אלו</w:t>
      </w:r>
      <w:r w:rsidR="00F906E1">
        <w:rPr>
          <w:rFonts w:ascii="David" w:hAnsi="David" w:cs="David" w:hint="cs"/>
          <w:rtl/>
        </w:rPr>
        <w:t xml:space="preserve"> ואחרים</w:t>
      </w:r>
      <w:r>
        <w:rPr>
          <w:rFonts w:ascii="David" w:hAnsi="David" w:cs="David" w:hint="cs"/>
          <w:rtl/>
        </w:rPr>
        <w:t xml:space="preserve"> במידה ויידרש</w:t>
      </w:r>
      <w:r w:rsidRPr="00166515">
        <w:rPr>
          <w:rFonts w:ascii="David" w:hAnsi="David" w:cs="David" w:hint="cs"/>
          <w:rtl/>
        </w:rPr>
        <w:t>.</w:t>
      </w:r>
    </w:p>
    <w:p w:rsidR="00316615" w:rsidRPr="00D94D1C" w:rsidRDefault="00316615" w:rsidP="0053680E">
      <w:pPr>
        <w:spacing w:after="120"/>
        <w:ind w:left="113"/>
        <w:rPr>
          <w:rFonts w:ascii="David" w:hAnsi="David" w:cs="David"/>
          <w:rtl/>
        </w:rPr>
      </w:pPr>
      <w:r w:rsidRPr="00905BD1">
        <w:rPr>
          <w:rFonts w:ascii="David" w:hAnsi="David" w:cs="David"/>
          <w:rtl/>
        </w:rPr>
        <w:t>מ</w:t>
      </w:r>
      <w:r w:rsidRPr="00905BD1">
        <w:rPr>
          <w:rFonts w:ascii="David" w:hAnsi="David" w:cs="David" w:hint="cs"/>
          <w:rtl/>
        </w:rPr>
        <w:t xml:space="preserve">לוח 2 </w:t>
      </w:r>
      <w:r w:rsidRPr="00905BD1">
        <w:rPr>
          <w:rFonts w:ascii="David" w:hAnsi="David" w:cs="David"/>
          <w:rtl/>
        </w:rPr>
        <w:t xml:space="preserve">עולה כי </w:t>
      </w:r>
      <w:r w:rsidRPr="00905BD1">
        <w:rPr>
          <w:rFonts w:ascii="David" w:hAnsi="David" w:cs="David" w:hint="cs"/>
          <w:rtl/>
        </w:rPr>
        <w:t xml:space="preserve">תחזית האינפלציה </w:t>
      </w:r>
      <w:r>
        <w:rPr>
          <w:rFonts w:ascii="David" w:hAnsi="David" w:cs="David" w:hint="cs"/>
          <w:rtl/>
        </w:rPr>
        <w:t xml:space="preserve">במהלך השנה הקרובה </w:t>
      </w:r>
      <w:r w:rsidRPr="00905BD1">
        <w:rPr>
          <w:rFonts w:ascii="David" w:hAnsi="David" w:cs="David" w:hint="cs"/>
          <w:rtl/>
        </w:rPr>
        <w:t>של חטיבת המחקר נמוכה משמעותית מזו של החזאים הפרטיים,</w:t>
      </w:r>
      <w:r>
        <w:rPr>
          <w:rFonts w:ascii="David" w:hAnsi="David" w:cs="David" w:hint="cs"/>
          <w:rtl/>
        </w:rPr>
        <w:t xml:space="preserve"> ונמוכה במעט מהציפיות בשוק</w:t>
      </w:r>
      <w:r w:rsidRPr="00D94D1C">
        <w:rPr>
          <w:rFonts w:ascii="David" w:hAnsi="David" w:cs="David"/>
          <w:rtl/>
        </w:rPr>
        <w:t xml:space="preserve"> </w:t>
      </w:r>
      <w:r>
        <w:rPr>
          <w:rFonts w:ascii="David" w:hAnsi="David" w:cs="David" w:hint="cs"/>
          <w:rtl/>
        </w:rPr>
        <w:t>ההון. אי ה</w:t>
      </w:r>
      <w:r w:rsidR="00E11CC8">
        <w:rPr>
          <w:rFonts w:ascii="David" w:hAnsi="David" w:cs="David" w:hint="cs"/>
          <w:rtl/>
        </w:rPr>
        <w:t>ו</w:t>
      </w:r>
      <w:r>
        <w:rPr>
          <w:rFonts w:ascii="David" w:hAnsi="David" w:cs="David" w:hint="cs"/>
          <w:rtl/>
        </w:rPr>
        <w:t xml:space="preserve">ודאות לגבי האינפלציה באה לידי ביטוי בתנודתיות הגבוהה של הציפיות בשוק ההון ובמידה מסוימת גם מטווח רחב יחסית של תחזיות החזאים. באשר לריבית, </w:t>
      </w:r>
      <w:r w:rsidRPr="00D94D1C">
        <w:rPr>
          <w:rFonts w:ascii="David" w:hAnsi="David" w:cs="David" w:hint="cs"/>
          <w:rtl/>
        </w:rPr>
        <w:t xml:space="preserve">הן </w:t>
      </w:r>
      <w:r w:rsidRPr="00D94D1C">
        <w:rPr>
          <w:rFonts w:ascii="David" w:hAnsi="David" w:cs="David"/>
          <w:rtl/>
        </w:rPr>
        <w:t>תחזי</w:t>
      </w:r>
      <w:r w:rsidRPr="00D94D1C">
        <w:rPr>
          <w:rFonts w:ascii="David" w:hAnsi="David" w:cs="David" w:hint="cs"/>
          <w:rtl/>
        </w:rPr>
        <w:t xml:space="preserve">ות </w:t>
      </w:r>
      <w:r w:rsidRPr="00D94D1C">
        <w:rPr>
          <w:rFonts w:ascii="David" w:hAnsi="David" w:cs="David"/>
          <w:rtl/>
        </w:rPr>
        <w:t>החזאים ו</w:t>
      </w:r>
      <w:r>
        <w:rPr>
          <w:rFonts w:ascii="David" w:hAnsi="David" w:cs="David" w:hint="cs"/>
          <w:rtl/>
        </w:rPr>
        <w:t>הן ה</w:t>
      </w:r>
      <w:r w:rsidRPr="00D94D1C">
        <w:rPr>
          <w:rFonts w:ascii="David" w:hAnsi="David" w:cs="David"/>
          <w:rtl/>
        </w:rPr>
        <w:t>ציפיות הנגזרות משוק ההון</w:t>
      </w:r>
      <w:r>
        <w:rPr>
          <w:rFonts w:ascii="David" w:hAnsi="David" w:cs="David" w:hint="cs"/>
          <w:rtl/>
        </w:rPr>
        <w:t xml:space="preserve"> נמצאות בטווח </w:t>
      </w:r>
      <w:r w:rsidRPr="00D94D1C">
        <w:rPr>
          <w:rFonts w:ascii="David" w:hAnsi="David" w:cs="David"/>
          <w:rtl/>
        </w:rPr>
        <w:t>תחזית הריבית של החטיבה.</w:t>
      </w:r>
    </w:p>
    <w:tbl>
      <w:tblPr>
        <w:tblStyle w:val="2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לוח 2"/>
        <w:tblDescription w:val="השוואת התחזיות לאינפלציה ולריבית לשנה הקרובה"/>
      </w:tblPr>
      <w:tblGrid>
        <w:gridCol w:w="2777"/>
        <w:gridCol w:w="1984"/>
        <w:gridCol w:w="1984"/>
        <w:gridCol w:w="1984"/>
      </w:tblGrid>
      <w:tr w:rsidR="00917C6D" w:rsidRPr="0086400E" w:rsidTr="00316615">
        <w:trPr>
          <w:cantSplit/>
          <w:trHeight w:val="283"/>
          <w:tblHeader/>
          <w:jc w:val="center"/>
        </w:trPr>
        <w:tc>
          <w:tcPr>
            <w:tcW w:w="8729" w:type="dxa"/>
            <w:gridSpan w:val="4"/>
            <w:vAlign w:val="center"/>
          </w:tcPr>
          <w:p w:rsidR="00917C6D" w:rsidRPr="0086400E" w:rsidRDefault="00917C6D" w:rsidP="000D1589">
            <w:pPr>
              <w:pStyle w:val="aa"/>
              <w:ind w:left="113"/>
              <w:rPr>
                <w:rFonts w:ascii="David" w:eastAsiaTheme="minorHAnsi" w:hAnsi="David" w:cs="David"/>
                <w:rtl/>
              </w:rPr>
            </w:pPr>
            <w:bookmarkStart w:id="2" w:name="_Ref503164928"/>
            <w:r w:rsidRPr="0086400E">
              <w:rPr>
                <w:rFonts w:ascii="David" w:eastAsiaTheme="minorHAnsi" w:hAnsi="David" w:cs="David"/>
                <w:rtl/>
              </w:rPr>
              <w:t xml:space="preserve">לוח </w:t>
            </w:r>
            <w:r w:rsidRPr="0086400E">
              <w:rPr>
                <w:rFonts w:ascii="David" w:hAnsi="David" w:cs="David"/>
                <w:rtl/>
              </w:rPr>
              <w:fldChar w:fldCharType="begin"/>
            </w:r>
            <w:r w:rsidRPr="0086400E">
              <w:rPr>
                <w:rFonts w:ascii="David" w:eastAsiaTheme="minorHAnsi" w:hAnsi="David" w:cs="David"/>
                <w:rtl/>
              </w:rPr>
              <w:instrText xml:space="preserve"> </w:instrText>
            </w:r>
            <w:r w:rsidRPr="0086400E">
              <w:rPr>
                <w:rFonts w:ascii="David" w:eastAsiaTheme="minorHAnsi" w:hAnsi="David" w:cs="David"/>
              </w:rPr>
              <w:instrText>SEQ</w:instrText>
            </w:r>
            <w:r w:rsidRPr="0086400E">
              <w:rPr>
                <w:rFonts w:ascii="David" w:eastAsiaTheme="minorHAnsi" w:hAnsi="David" w:cs="David"/>
                <w:rtl/>
              </w:rPr>
              <w:instrText xml:space="preserve"> לוח \* </w:instrText>
            </w:r>
            <w:r w:rsidRPr="0086400E">
              <w:rPr>
                <w:rFonts w:ascii="David" w:eastAsiaTheme="minorHAnsi" w:hAnsi="David" w:cs="David"/>
              </w:rPr>
              <w:instrText>ARABIC</w:instrText>
            </w:r>
            <w:r w:rsidRPr="0086400E">
              <w:rPr>
                <w:rFonts w:ascii="David" w:eastAsiaTheme="minorHAnsi" w:hAnsi="David" w:cs="David"/>
                <w:rtl/>
              </w:rPr>
              <w:instrText xml:space="preserve"> </w:instrText>
            </w:r>
            <w:r w:rsidRPr="0086400E">
              <w:rPr>
                <w:rFonts w:ascii="David" w:hAnsi="David" w:cs="David"/>
                <w:rtl/>
              </w:rPr>
              <w:fldChar w:fldCharType="separate"/>
            </w:r>
            <w:r w:rsidR="00A24FAA">
              <w:rPr>
                <w:rFonts w:ascii="David" w:eastAsiaTheme="minorHAnsi" w:hAnsi="David" w:cs="David"/>
                <w:noProof/>
                <w:rtl/>
              </w:rPr>
              <w:t>2</w:t>
            </w:r>
            <w:r w:rsidRPr="0086400E">
              <w:rPr>
                <w:rFonts w:ascii="David" w:hAnsi="David" w:cs="David"/>
                <w:rtl/>
              </w:rPr>
              <w:fldChar w:fldCharType="end"/>
            </w:r>
            <w:bookmarkEnd w:id="2"/>
          </w:p>
          <w:p w:rsidR="00917C6D" w:rsidRPr="0086400E" w:rsidRDefault="00917C6D" w:rsidP="00EA1778">
            <w:pPr>
              <w:pStyle w:val="aa"/>
              <w:ind w:left="113"/>
              <w:rPr>
                <w:rFonts w:ascii="David" w:eastAsiaTheme="minorHAnsi" w:hAnsi="David" w:cs="David"/>
                <w:b w:val="0"/>
                <w:bCs w:val="0"/>
                <w:rtl/>
              </w:rPr>
            </w:pPr>
            <w:r w:rsidRPr="0086400E">
              <w:rPr>
                <w:rFonts w:ascii="David" w:eastAsiaTheme="minorHAnsi" w:hAnsi="David" w:cs="David"/>
                <w:rtl/>
              </w:rPr>
              <w:t>התחזיות לגבי האינפלציה במהלך השנה הקרובה ולגבי הריבית בעוד שנה</w:t>
            </w:r>
          </w:p>
          <w:p w:rsidR="00917C6D" w:rsidRPr="0086400E" w:rsidRDefault="00917C6D" w:rsidP="000D1589">
            <w:pPr>
              <w:pStyle w:val="aa"/>
              <w:ind w:left="113"/>
              <w:rPr>
                <w:rFonts w:ascii="David" w:hAnsi="David" w:cs="David"/>
                <w:b w:val="0"/>
                <w:bCs w:val="0"/>
                <w:highlight w:val="yellow"/>
                <w:rtl/>
              </w:rPr>
            </w:pPr>
            <w:r w:rsidRPr="0086400E">
              <w:rPr>
                <w:rFonts w:ascii="David" w:eastAsiaTheme="minorHAnsi" w:hAnsi="David" w:cs="David"/>
                <w:b w:val="0"/>
                <w:bCs w:val="0"/>
                <w:rtl/>
              </w:rPr>
              <w:t>(אחוזים)</w:t>
            </w:r>
          </w:p>
        </w:tc>
      </w:tr>
      <w:tr w:rsidR="00917C6D" w:rsidRPr="00316615" w:rsidTr="000D1589">
        <w:trPr>
          <w:cantSplit/>
          <w:trHeight w:val="283"/>
          <w:tblHeader/>
          <w:jc w:val="center"/>
        </w:trPr>
        <w:tc>
          <w:tcPr>
            <w:tcW w:w="0" w:type="auto"/>
            <w:tcBorders>
              <w:bottom w:val="single" w:sz="4" w:space="0" w:color="auto"/>
            </w:tcBorders>
            <w:vAlign w:val="center"/>
          </w:tcPr>
          <w:p w:rsidR="00917C6D" w:rsidRPr="00316615" w:rsidRDefault="00917C6D" w:rsidP="000D1589">
            <w:pPr>
              <w:pStyle w:val="Tablenc"/>
              <w:jc w:val="center"/>
              <w:rPr>
                <w:rFonts w:ascii="David" w:hAnsi="David" w:cs="David"/>
                <w:sz w:val="24"/>
                <w:szCs w:val="24"/>
                <w:rtl/>
              </w:rPr>
            </w:pPr>
          </w:p>
        </w:tc>
        <w:tc>
          <w:tcPr>
            <w:tcW w:w="1984" w:type="dxa"/>
            <w:tcBorders>
              <w:bottom w:val="single" w:sz="4" w:space="0" w:color="auto"/>
            </w:tcBorders>
            <w:shd w:val="clear" w:color="auto" w:fill="auto"/>
            <w:vAlign w:val="center"/>
          </w:tcPr>
          <w:p w:rsidR="00917C6D" w:rsidRPr="00316615" w:rsidRDefault="00917C6D" w:rsidP="000D1589">
            <w:pPr>
              <w:pStyle w:val="Tablenc"/>
              <w:jc w:val="center"/>
              <w:rPr>
                <w:rFonts w:ascii="David" w:hAnsi="David" w:cs="David"/>
                <w:sz w:val="24"/>
                <w:szCs w:val="24"/>
                <w:rtl/>
              </w:rPr>
            </w:pPr>
            <w:r w:rsidRPr="00316615">
              <w:rPr>
                <w:rFonts w:ascii="David" w:hAnsi="David" w:cs="David"/>
                <w:sz w:val="24"/>
                <w:szCs w:val="24"/>
                <w:rtl/>
              </w:rPr>
              <w:t>חטיבת המחקר של בנק ישראל</w:t>
            </w:r>
          </w:p>
        </w:tc>
        <w:tc>
          <w:tcPr>
            <w:tcW w:w="1984" w:type="dxa"/>
            <w:tcBorders>
              <w:bottom w:val="single" w:sz="4" w:space="0" w:color="auto"/>
            </w:tcBorders>
            <w:shd w:val="clear" w:color="auto" w:fill="auto"/>
            <w:vAlign w:val="center"/>
          </w:tcPr>
          <w:p w:rsidR="00917C6D" w:rsidRPr="00316615" w:rsidRDefault="00917C6D" w:rsidP="000D1589">
            <w:pPr>
              <w:pStyle w:val="Tablenc"/>
              <w:jc w:val="center"/>
              <w:rPr>
                <w:rFonts w:ascii="David" w:hAnsi="David" w:cs="David"/>
                <w:sz w:val="24"/>
                <w:szCs w:val="24"/>
                <w:rtl/>
              </w:rPr>
            </w:pPr>
            <w:r w:rsidRPr="00316615">
              <w:rPr>
                <w:rFonts w:ascii="David" w:hAnsi="David" w:cs="David"/>
                <w:sz w:val="24"/>
                <w:szCs w:val="24"/>
                <w:rtl/>
              </w:rPr>
              <w:t>שוק ההון</w:t>
            </w:r>
            <w:r w:rsidRPr="00316615">
              <w:rPr>
                <w:rFonts w:ascii="David" w:hAnsi="David" w:cs="David"/>
                <w:sz w:val="24"/>
                <w:szCs w:val="24"/>
                <w:vertAlign w:val="superscript"/>
                <w:rtl/>
              </w:rPr>
              <w:t>1</w:t>
            </w:r>
          </w:p>
        </w:tc>
        <w:tc>
          <w:tcPr>
            <w:tcW w:w="1984" w:type="dxa"/>
            <w:tcBorders>
              <w:bottom w:val="single" w:sz="4" w:space="0" w:color="auto"/>
            </w:tcBorders>
            <w:shd w:val="clear" w:color="auto" w:fill="auto"/>
            <w:vAlign w:val="center"/>
          </w:tcPr>
          <w:p w:rsidR="00917C6D" w:rsidRPr="00316615" w:rsidRDefault="00917C6D" w:rsidP="000D1589">
            <w:pPr>
              <w:pStyle w:val="Tablenc"/>
              <w:jc w:val="center"/>
              <w:rPr>
                <w:rFonts w:ascii="David" w:hAnsi="David" w:cs="David"/>
                <w:sz w:val="24"/>
                <w:szCs w:val="24"/>
                <w:rtl/>
              </w:rPr>
            </w:pPr>
            <w:r w:rsidRPr="00316615">
              <w:rPr>
                <w:rFonts w:ascii="David" w:hAnsi="David" w:cs="David"/>
                <w:sz w:val="24"/>
                <w:szCs w:val="24"/>
                <w:rtl/>
              </w:rPr>
              <w:t>החזאים הפרטיים</w:t>
            </w:r>
            <w:r w:rsidRPr="00316615">
              <w:rPr>
                <w:rFonts w:ascii="David" w:hAnsi="David" w:cs="David"/>
                <w:sz w:val="24"/>
                <w:szCs w:val="24"/>
                <w:vertAlign w:val="superscript"/>
                <w:rtl/>
              </w:rPr>
              <w:t>2</w:t>
            </w:r>
          </w:p>
        </w:tc>
      </w:tr>
      <w:tr w:rsidR="00316615" w:rsidRPr="00316615" w:rsidTr="00044546">
        <w:trPr>
          <w:cantSplit/>
          <w:trHeight w:val="283"/>
          <w:jc w:val="center"/>
        </w:trPr>
        <w:tc>
          <w:tcPr>
            <w:tcW w:w="0" w:type="auto"/>
            <w:tcBorders>
              <w:top w:val="single" w:sz="4" w:space="0" w:color="auto"/>
              <w:bottom w:val="single" w:sz="4" w:space="0" w:color="auto"/>
            </w:tcBorders>
            <w:vAlign w:val="center"/>
          </w:tcPr>
          <w:p w:rsidR="00316615" w:rsidRPr="00316615" w:rsidRDefault="00316615" w:rsidP="00316615">
            <w:pPr>
              <w:pStyle w:val="Tablenc"/>
              <w:jc w:val="left"/>
              <w:rPr>
                <w:rFonts w:ascii="David" w:hAnsi="David" w:cs="David"/>
                <w:sz w:val="24"/>
                <w:szCs w:val="24"/>
                <w:rtl/>
              </w:rPr>
            </w:pPr>
            <w:r w:rsidRPr="00316615">
              <w:rPr>
                <w:rFonts w:ascii="David" w:hAnsi="David" w:cs="David"/>
                <w:sz w:val="24"/>
                <w:szCs w:val="24"/>
                <w:rtl/>
              </w:rPr>
              <w:t>האינפלציה</w:t>
            </w:r>
            <w:r w:rsidRPr="00316615">
              <w:rPr>
                <w:rFonts w:ascii="David" w:hAnsi="David" w:cs="David"/>
                <w:sz w:val="24"/>
                <w:szCs w:val="24"/>
                <w:vertAlign w:val="superscript"/>
                <w:rtl/>
              </w:rPr>
              <w:t>3</w:t>
            </w:r>
            <w:r w:rsidRPr="00316615">
              <w:rPr>
                <w:rFonts w:ascii="David" w:hAnsi="David" w:cs="David"/>
                <w:sz w:val="24"/>
                <w:szCs w:val="24"/>
                <w:rtl/>
              </w:rPr>
              <w:t xml:space="preserve"> (טווח התחזיות)</w:t>
            </w:r>
          </w:p>
        </w:tc>
        <w:tc>
          <w:tcPr>
            <w:tcW w:w="1984" w:type="dxa"/>
            <w:tcBorders>
              <w:top w:val="single" w:sz="4" w:space="0" w:color="auto"/>
              <w:bottom w:val="single" w:sz="4" w:space="0" w:color="auto"/>
            </w:tcBorders>
            <w:shd w:val="clear" w:color="auto" w:fill="auto"/>
          </w:tcPr>
          <w:p w:rsidR="00316615" w:rsidRPr="00316615" w:rsidRDefault="00316615" w:rsidP="00316615">
            <w:pPr>
              <w:pStyle w:val="Tablenc"/>
              <w:bidi w:val="0"/>
              <w:jc w:val="center"/>
              <w:rPr>
                <w:rFonts w:ascii="David" w:hAnsi="David" w:cs="David"/>
                <w:sz w:val="24"/>
                <w:szCs w:val="24"/>
                <w:rtl/>
              </w:rPr>
            </w:pPr>
            <w:r w:rsidRPr="00D96D56">
              <w:rPr>
                <w:rFonts w:ascii="David" w:hAnsi="David" w:cs="David"/>
                <w:color w:val="000000"/>
                <w:sz w:val="24"/>
                <w:szCs w:val="24"/>
              </w:rPr>
              <w:t>-0.1</w:t>
            </w:r>
          </w:p>
        </w:tc>
        <w:tc>
          <w:tcPr>
            <w:tcW w:w="1984" w:type="dxa"/>
            <w:tcBorders>
              <w:top w:val="single" w:sz="4" w:space="0" w:color="auto"/>
              <w:bottom w:val="single" w:sz="4" w:space="0" w:color="auto"/>
            </w:tcBorders>
            <w:shd w:val="clear" w:color="auto" w:fill="auto"/>
          </w:tcPr>
          <w:p w:rsidR="00316615" w:rsidRPr="00316615" w:rsidRDefault="00316615" w:rsidP="00316615">
            <w:pPr>
              <w:pStyle w:val="Tablenc"/>
              <w:bidi w:val="0"/>
              <w:jc w:val="center"/>
              <w:rPr>
                <w:rFonts w:ascii="David" w:hAnsi="David" w:cs="David"/>
                <w:sz w:val="24"/>
                <w:szCs w:val="24"/>
                <w:rtl/>
              </w:rPr>
            </w:pPr>
            <w:r w:rsidRPr="00D96D56">
              <w:rPr>
                <w:rFonts w:ascii="David" w:hAnsi="David" w:cs="David"/>
                <w:color w:val="000000"/>
                <w:sz w:val="24"/>
                <w:szCs w:val="24"/>
              </w:rPr>
              <w:t>0.</w:t>
            </w:r>
            <w:r>
              <w:rPr>
                <w:rFonts w:ascii="David" w:hAnsi="David" w:cs="David"/>
                <w:color w:val="000000"/>
                <w:sz w:val="24"/>
                <w:szCs w:val="24"/>
              </w:rPr>
              <w:t>1</w:t>
            </w:r>
          </w:p>
        </w:tc>
        <w:tc>
          <w:tcPr>
            <w:tcW w:w="1984" w:type="dxa"/>
            <w:tcBorders>
              <w:top w:val="single" w:sz="4" w:space="0" w:color="auto"/>
              <w:bottom w:val="single" w:sz="4" w:space="0" w:color="auto"/>
            </w:tcBorders>
            <w:shd w:val="clear" w:color="auto" w:fill="auto"/>
          </w:tcPr>
          <w:p w:rsidR="00316615" w:rsidRPr="00316615" w:rsidRDefault="00316615" w:rsidP="00316615">
            <w:pPr>
              <w:pStyle w:val="Tablenc"/>
              <w:bidi w:val="0"/>
              <w:jc w:val="center"/>
              <w:rPr>
                <w:rFonts w:ascii="David" w:hAnsi="David" w:cs="David"/>
                <w:sz w:val="24"/>
                <w:szCs w:val="24"/>
                <w:rtl/>
              </w:rPr>
            </w:pPr>
            <w:r w:rsidRPr="00D96D56">
              <w:rPr>
                <w:rFonts w:ascii="David" w:hAnsi="David" w:cs="David"/>
                <w:color w:val="000000"/>
                <w:sz w:val="24"/>
                <w:szCs w:val="24"/>
              </w:rPr>
              <w:t>0.</w:t>
            </w:r>
            <w:r>
              <w:rPr>
                <w:rFonts w:ascii="David" w:hAnsi="David" w:cs="David" w:hint="cs"/>
                <w:color w:val="000000"/>
                <w:sz w:val="24"/>
                <w:szCs w:val="24"/>
                <w:rtl/>
              </w:rPr>
              <w:t>5</w:t>
            </w:r>
            <w:r w:rsidRPr="00D96D56">
              <w:rPr>
                <w:rFonts w:ascii="David" w:hAnsi="David" w:cs="David"/>
                <w:color w:val="000000"/>
                <w:sz w:val="24"/>
                <w:szCs w:val="24"/>
              </w:rPr>
              <w:t xml:space="preserve"> (</w:t>
            </w:r>
            <w:r>
              <w:rPr>
                <w:rFonts w:ascii="David" w:hAnsi="David" w:cs="David"/>
                <w:color w:val="000000"/>
                <w:sz w:val="24"/>
                <w:szCs w:val="24"/>
              </w:rPr>
              <w:t>-0.4–</w:t>
            </w:r>
            <w:r w:rsidRPr="00D96D56">
              <w:rPr>
                <w:rFonts w:ascii="David" w:hAnsi="David" w:cs="David"/>
                <w:color w:val="000000"/>
                <w:sz w:val="24"/>
                <w:szCs w:val="24"/>
              </w:rPr>
              <w:t>1.1)</w:t>
            </w:r>
          </w:p>
        </w:tc>
      </w:tr>
      <w:tr w:rsidR="00316615" w:rsidRPr="00316615" w:rsidTr="00044546">
        <w:trPr>
          <w:cantSplit/>
          <w:trHeight w:val="283"/>
          <w:jc w:val="center"/>
        </w:trPr>
        <w:tc>
          <w:tcPr>
            <w:tcW w:w="0" w:type="auto"/>
            <w:tcBorders>
              <w:top w:val="single" w:sz="4" w:space="0" w:color="auto"/>
              <w:bottom w:val="single" w:sz="4" w:space="0" w:color="auto"/>
            </w:tcBorders>
            <w:shd w:val="clear" w:color="auto" w:fill="auto"/>
            <w:vAlign w:val="center"/>
          </w:tcPr>
          <w:p w:rsidR="00316615" w:rsidRPr="00316615" w:rsidRDefault="00316615" w:rsidP="00316615">
            <w:pPr>
              <w:pStyle w:val="Tablenc"/>
              <w:jc w:val="left"/>
              <w:rPr>
                <w:rFonts w:ascii="David" w:hAnsi="David" w:cs="David"/>
                <w:sz w:val="24"/>
                <w:szCs w:val="24"/>
                <w:rtl/>
              </w:rPr>
            </w:pPr>
            <w:r w:rsidRPr="00316615">
              <w:rPr>
                <w:rFonts w:ascii="David" w:hAnsi="David" w:cs="David"/>
                <w:sz w:val="24"/>
                <w:szCs w:val="24"/>
                <w:rtl/>
              </w:rPr>
              <w:t>הריבית</w:t>
            </w:r>
            <w:r w:rsidRPr="00316615">
              <w:rPr>
                <w:rFonts w:ascii="David" w:hAnsi="David" w:cs="David"/>
                <w:sz w:val="24"/>
                <w:szCs w:val="24"/>
                <w:vertAlign w:val="superscript"/>
                <w:rtl/>
              </w:rPr>
              <w:t xml:space="preserve">4 </w:t>
            </w:r>
            <w:r w:rsidRPr="00316615">
              <w:rPr>
                <w:rFonts w:ascii="David" w:hAnsi="David" w:cs="David"/>
                <w:sz w:val="24"/>
                <w:szCs w:val="24"/>
                <w:rtl/>
              </w:rPr>
              <w:t>(טווח התחזיות)</w:t>
            </w:r>
          </w:p>
        </w:tc>
        <w:tc>
          <w:tcPr>
            <w:tcW w:w="1984" w:type="dxa"/>
            <w:tcBorders>
              <w:top w:val="single" w:sz="4" w:space="0" w:color="auto"/>
              <w:bottom w:val="single" w:sz="4" w:space="0" w:color="auto"/>
            </w:tcBorders>
            <w:shd w:val="clear" w:color="auto" w:fill="auto"/>
          </w:tcPr>
          <w:p w:rsidR="00316615" w:rsidRPr="00316615" w:rsidRDefault="00316615" w:rsidP="00316615">
            <w:pPr>
              <w:pStyle w:val="Tablenc"/>
              <w:bidi w:val="0"/>
              <w:jc w:val="center"/>
              <w:rPr>
                <w:rFonts w:ascii="David" w:hAnsi="David" w:cs="David"/>
                <w:sz w:val="24"/>
                <w:szCs w:val="24"/>
                <w:rtl/>
              </w:rPr>
            </w:pPr>
            <w:r>
              <w:rPr>
                <w:rFonts w:ascii="David" w:hAnsi="David" w:cs="David"/>
                <w:color w:val="000000"/>
                <w:sz w:val="24"/>
                <w:szCs w:val="24"/>
              </w:rPr>
              <w:t>0 – 0.1</w:t>
            </w:r>
          </w:p>
        </w:tc>
        <w:tc>
          <w:tcPr>
            <w:tcW w:w="1984" w:type="dxa"/>
            <w:tcBorders>
              <w:top w:val="single" w:sz="4" w:space="0" w:color="auto"/>
              <w:bottom w:val="single" w:sz="4" w:space="0" w:color="auto"/>
            </w:tcBorders>
            <w:shd w:val="clear" w:color="auto" w:fill="auto"/>
          </w:tcPr>
          <w:p w:rsidR="00316615" w:rsidRPr="00316615" w:rsidRDefault="00316615" w:rsidP="00316615">
            <w:pPr>
              <w:pStyle w:val="Tablenc"/>
              <w:bidi w:val="0"/>
              <w:jc w:val="center"/>
              <w:rPr>
                <w:rFonts w:ascii="David" w:hAnsi="David" w:cs="David"/>
                <w:sz w:val="24"/>
                <w:szCs w:val="24"/>
              </w:rPr>
            </w:pPr>
            <w:r>
              <w:rPr>
                <w:rFonts w:ascii="David" w:hAnsi="David" w:cs="David" w:hint="cs"/>
                <w:color w:val="000000"/>
                <w:sz w:val="24"/>
                <w:szCs w:val="24"/>
                <w:rtl/>
              </w:rPr>
              <w:t>0.0</w:t>
            </w:r>
          </w:p>
        </w:tc>
        <w:tc>
          <w:tcPr>
            <w:tcW w:w="1984" w:type="dxa"/>
            <w:tcBorders>
              <w:top w:val="single" w:sz="4" w:space="0" w:color="auto"/>
              <w:bottom w:val="single" w:sz="4" w:space="0" w:color="auto"/>
            </w:tcBorders>
            <w:shd w:val="clear" w:color="auto" w:fill="auto"/>
          </w:tcPr>
          <w:p w:rsidR="00316615" w:rsidRPr="00316615" w:rsidRDefault="00316615" w:rsidP="00316615">
            <w:pPr>
              <w:pStyle w:val="Tablenc"/>
              <w:bidi w:val="0"/>
              <w:jc w:val="center"/>
              <w:rPr>
                <w:rFonts w:ascii="David" w:hAnsi="David" w:cs="David"/>
                <w:sz w:val="24"/>
                <w:szCs w:val="24"/>
                <w:rtl/>
              </w:rPr>
            </w:pPr>
            <w:r>
              <w:rPr>
                <w:rFonts w:ascii="David" w:hAnsi="David" w:cs="David" w:hint="cs"/>
                <w:color w:val="000000"/>
                <w:sz w:val="24"/>
                <w:szCs w:val="24"/>
                <w:rtl/>
              </w:rPr>
              <w:t>0.0</w:t>
            </w:r>
            <w:r w:rsidRPr="00D96D56">
              <w:rPr>
                <w:rFonts w:ascii="David" w:hAnsi="David" w:cs="David"/>
                <w:color w:val="000000"/>
                <w:sz w:val="24"/>
                <w:szCs w:val="24"/>
              </w:rPr>
              <w:t xml:space="preserve"> (</w:t>
            </w:r>
            <w:r>
              <w:rPr>
                <w:rFonts w:ascii="David" w:hAnsi="David" w:cs="David"/>
                <w:color w:val="000000"/>
                <w:sz w:val="24"/>
                <w:szCs w:val="24"/>
              </w:rPr>
              <w:t>-0.4–</w:t>
            </w:r>
            <w:r w:rsidRPr="00D96D56">
              <w:rPr>
                <w:rFonts w:ascii="David" w:hAnsi="David" w:cs="David"/>
                <w:color w:val="000000"/>
                <w:sz w:val="24"/>
                <w:szCs w:val="24"/>
              </w:rPr>
              <w:t>0.</w:t>
            </w:r>
            <w:r>
              <w:rPr>
                <w:rFonts w:ascii="David" w:hAnsi="David" w:cs="David" w:hint="cs"/>
                <w:color w:val="000000"/>
                <w:sz w:val="24"/>
                <w:szCs w:val="24"/>
                <w:rtl/>
              </w:rPr>
              <w:t>1</w:t>
            </w:r>
            <w:r w:rsidRPr="00D96D56">
              <w:rPr>
                <w:rFonts w:ascii="David" w:hAnsi="David" w:cs="David"/>
                <w:color w:val="000000"/>
                <w:sz w:val="24"/>
                <w:szCs w:val="24"/>
              </w:rPr>
              <w:t>)</w:t>
            </w:r>
          </w:p>
        </w:tc>
      </w:tr>
      <w:tr w:rsidR="00917C6D" w:rsidRPr="0086400E" w:rsidTr="00316615">
        <w:trPr>
          <w:cantSplit/>
          <w:trHeight w:val="283"/>
          <w:jc w:val="center"/>
        </w:trPr>
        <w:tc>
          <w:tcPr>
            <w:tcW w:w="8729" w:type="dxa"/>
            <w:gridSpan w:val="4"/>
            <w:tcBorders>
              <w:top w:val="single" w:sz="4" w:space="0" w:color="auto"/>
            </w:tcBorders>
            <w:vAlign w:val="center"/>
          </w:tcPr>
          <w:p w:rsidR="00316615" w:rsidRPr="008A4862" w:rsidRDefault="00316615" w:rsidP="00316615">
            <w:pPr>
              <w:numPr>
                <w:ilvl w:val="0"/>
                <w:numId w:val="1"/>
              </w:numPr>
              <w:spacing w:before="60" w:line="240" w:lineRule="auto"/>
              <w:rPr>
                <w:rFonts w:ascii="David" w:hAnsi="David" w:cs="David"/>
                <w:sz w:val="18"/>
                <w:szCs w:val="18"/>
              </w:rPr>
            </w:pPr>
            <w:r w:rsidRPr="008A4862">
              <w:rPr>
                <w:rFonts w:ascii="David" w:hAnsi="David" w:cs="David"/>
                <w:sz w:val="18"/>
                <w:szCs w:val="18"/>
                <w:rtl/>
              </w:rPr>
              <w:t xml:space="preserve">ממוצע </w:t>
            </w:r>
            <w:r>
              <w:rPr>
                <w:rFonts w:ascii="David" w:hAnsi="David" w:cs="David" w:hint="cs"/>
                <w:sz w:val="18"/>
                <w:szCs w:val="18"/>
                <w:rtl/>
              </w:rPr>
              <w:t xml:space="preserve">הציפיות </w:t>
            </w:r>
            <w:r w:rsidRPr="00005763">
              <w:rPr>
                <w:rFonts w:ascii="David" w:hAnsi="David" w:cs="David"/>
                <w:sz w:val="18"/>
                <w:szCs w:val="18"/>
                <w:rtl/>
              </w:rPr>
              <w:t>בשבוע האחרון של</w:t>
            </w:r>
            <w:r>
              <w:rPr>
                <w:rFonts w:ascii="David" w:hAnsi="David" w:cs="David"/>
                <w:sz w:val="18"/>
                <w:szCs w:val="18"/>
              </w:rPr>
              <w:t xml:space="preserve"> </w:t>
            </w:r>
            <w:r w:rsidRPr="008A4862">
              <w:rPr>
                <w:rFonts w:ascii="David" w:hAnsi="David" w:cs="David"/>
                <w:sz w:val="18"/>
                <w:szCs w:val="18"/>
                <w:rtl/>
              </w:rPr>
              <w:t xml:space="preserve">חודש </w:t>
            </w:r>
            <w:r>
              <w:rPr>
                <w:rFonts w:ascii="David" w:hAnsi="David" w:cs="David" w:hint="cs"/>
                <w:sz w:val="18"/>
                <w:szCs w:val="18"/>
                <w:rtl/>
              </w:rPr>
              <w:t>יוני</w:t>
            </w:r>
            <w:r w:rsidRPr="008A4862">
              <w:rPr>
                <w:rFonts w:ascii="David" w:hAnsi="David" w:cs="David"/>
                <w:sz w:val="18"/>
                <w:szCs w:val="18"/>
                <w:rtl/>
              </w:rPr>
              <w:t>. ציפיות האינפלציה מנוכות עונתיות.</w:t>
            </w:r>
          </w:p>
          <w:p w:rsidR="00316615" w:rsidRPr="008A4862" w:rsidRDefault="00316615" w:rsidP="00316615">
            <w:pPr>
              <w:numPr>
                <w:ilvl w:val="0"/>
                <w:numId w:val="1"/>
              </w:numPr>
              <w:spacing w:before="60" w:line="240" w:lineRule="auto"/>
              <w:rPr>
                <w:rFonts w:ascii="David" w:hAnsi="David" w:cs="David"/>
                <w:sz w:val="18"/>
                <w:szCs w:val="18"/>
              </w:rPr>
            </w:pPr>
            <w:r w:rsidRPr="008A4862">
              <w:rPr>
                <w:rFonts w:ascii="David" w:hAnsi="David" w:cs="David"/>
                <w:sz w:val="18"/>
                <w:szCs w:val="18"/>
                <w:rtl/>
              </w:rPr>
              <w:t xml:space="preserve">התחזיות שפורסמו </w:t>
            </w:r>
            <w:r w:rsidRPr="00005763">
              <w:rPr>
                <w:rFonts w:ascii="David" w:hAnsi="David" w:cs="David"/>
                <w:sz w:val="18"/>
                <w:szCs w:val="18"/>
                <w:rtl/>
              </w:rPr>
              <w:t>בשבוע האחרון של</w:t>
            </w:r>
            <w:r>
              <w:rPr>
                <w:rFonts w:ascii="David" w:hAnsi="David" w:cs="David"/>
                <w:sz w:val="18"/>
                <w:szCs w:val="18"/>
              </w:rPr>
              <w:t xml:space="preserve"> </w:t>
            </w:r>
            <w:r w:rsidRPr="008A4862">
              <w:rPr>
                <w:rFonts w:ascii="David" w:hAnsi="David" w:cs="David"/>
                <w:sz w:val="18"/>
                <w:szCs w:val="18"/>
                <w:rtl/>
              </w:rPr>
              <w:t xml:space="preserve">חודש </w:t>
            </w:r>
            <w:r>
              <w:rPr>
                <w:rFonts w:ascii="David" w:hAnsi="David" w:cs="David" w:hint="cs"/>
                <w:sz w:val="18"/>
                <w:szCs w:val="18"/>
                <w:rtl/>
              </w:rPr>
              <w:t>יוני</w:t>
            </w:r>
            <w:r w:rsidRPr="008A4862">
              <w:rPr>
                <w:rFonts w:ascii="David" w:hAnsi="David" w:cs="David"/>
                <w:sz w:val="18"/>
                <w:szCs w:val="18"/>
                <w:rtl/>
              </w:rPr>
              <w:t>.</w:t>
            </w:r>
          </w:p>
          <w:p w:rsidR="00316615" w:rsidRPr="008A4862" w:rsidRDefault="00316615" w:rsidP="00316615">
            <w:pPr>
              <w:numPr>
                <w:ilvl w:val="0"/>
                <w:numId w:val="1"/>
              </w:numPr>
              <w:spacing w:before="60" w:line="240" w:lineRule="auto"/>
              <w:rPr>
                <w:rFonts w:ascii="David" w:hAnsi="David" w:cs="David"/>
                <w:sz w:val="18"/>
                <w:szCs w:val="18"/>
              </w:rPr>
            </w:pPr>
            <w:r w:rsidRPr="008A4862">
              <w:rPr>
                <w:rFonts w:ascii="David" w:hAnsi="David" w:cs="David"/>
                <w:sz w:val="18"/>
                <w:szCs w:val="18"/>
                <w:rtl/>
              </w:rPr>
              <w:t xml:space="preserve">האינפלציה בשנה הקרובה (חטיבת המחקר – בארבעת הרבעונים המסתיימים ברבעון </w:t>
            </w:r>
            <w:r>
              <w:rPr>
                <w:rFonts w:ascii="David" w:hAnsi="David" w:cs="David" w:hint="cs"/>
                <w:sz w:val="18"/>
                <w:szCs w:val="18"/>
                <w:rtl/>
              </w:rPr>
              <w:t>השני</w:t>
            </w:r>
            <w:r w:rsidRPr="008A4862">
              <w:rPr>
                <w:rFonts w:ascii="David" w:hAnsi="David" w:cs="David"/>
                <w:sz w:val="18"/>
                <w:szCs w:val="18"/>
                <w:rtl/>
              </w:rPr>
              <w:t xml:space="preserve"> של 202</w:t>
            </w:r>
            <w:r>
              <w:rPr>
                <w:rFonts w:ascii="David" w:hAnsi="David" w:cs="David" w:hint="cs"/>
                <w:sz w:val="18"/>
                <w:szCs w:val="18"/>
                <w:rtl/>
              </w:rPr>
              <w:t>1</w:t>
            </w:r>
            <w:r w:rsidRPr="008A4862">
              <w:rPr>
                <w:rFonts w:ascii="David" w:hAnsi="David" w:cs="David"/>
                <w:sz w:val="18"/>
                <w:szCs w:val="18"/>
                <w:rtl/>
              </w:rPr>
              <w:t>).</w:t>
            </w:r>
          </w:p>
          <w:p w:rsidR="00316615" w:rsidRPr="008A4862" w:rsidRDefault="00316615" w:rsidP="00316615">
            <w:pPr>
              <w:numPr>
                <w:ilvl w:val="0"/>
                <w:numId w:val="1"/>
              </w:numPr>
              <w:spacing w:before="60" w:line="240" w:lineRule="auto"/>
              <w:rPr>
                <w:rFonts w:ascii="David" w:hAnsi="David" w:cs="David"/>
                <w:sz w:val="18"/>
                <w:szCs w:val="18"/>
              </w:rPr>
            </w:pPr>
            <w:r w:rsidRPr="008A4862">
              <w:rPr>
                <w:rFonts w:ascii="David" w:hAnsi="David" w:cs="David"/>
                <w:sz w:val="18"/>
                <w:szCs w:val="18"/>
                <w:rtl/>
              </w:rPr>
              <w:t xml:space="preserve">הריבית בעוד שנה (חטיבת המחקר – ברבעון </w:t>
            </w:r>
            <w:r>
              <w:rPr>
                <w:rFonts w:ascii="David" w:hAnsi="David" w:cs="David" w:hint="cs"/>
                <w:sz w:val="18"/>
                <w:szCs w:val="18"/>
                <w:rtl/>
              </w:rPr>
              <w:t>השני</w:t>
            </w:r>
            <w:r w:rsidRPr="008A4862">
              <w:rPr>
                <w:rFonts w:ascii="David" w:hAnsi="David" w:cs="David"/>
                <w:sz w:val="18"/>
                <w:szCs w:val="18"/>
                <w:rtl/>
              </w:rPr>
              <w:t xml:space="preserve"> של 202</w:t>
            </w:r>
            <w:r>
              <w:rPr>
                <w:rFonts w:ascii="David" w:hAnsi="David" w:cs="David" w:hint="cs"/>
                <w:sz w:val="18"/>
                <w:szCs w:val="18"/>
                <w:rtl/>
              </w:rPr>
              <w:t>1</w:t>
            </w:r>
            <w:r w:rsidRPr="008A4862">
              <w:rPr>
                <w:rFonts w:ascii="David" w:hAnsi="David" w:cs="David"/>
                <w:sz w:val="18"/>
                <w:szCs w:val="18"/>
                <w:rtl/>
              </w:rPr>
              <w:t xml:space="preserve">). הציפיות משוק ההון מבוססות על שוק </w:t>
            </w:r>
            <w:proofErr w:type="spellStart"/>
            <w:r w:rsidRPr="008A4862">
              <w:rPr>
                <w:rFonts w:ascii="David" w:hAnsi="David" w:cs="David"/>
                <w:sz w:val="18"/>
                <w:szCs w:val="18"/>
                <w:rtl/>
              </w:rPr>
              <w:t>התלבור</w:t>
            </w:r>
            <w:proofErr w:type="spellEnd"/>
            <w:r w:rsidRPr="008A4862">
              <w:rPr>
                <w:rFonts w:ascii="David" w:hAnsi="David" w:cs="David"/>
                <w:sz w:val="18"/>
                <w:szCs w:val="18"/>
                <w:rtl/>
              </w:rPr>
              <w:t>.</w:t>
            </w:r>
          </w:p>
          <w:p w:rsidR="00917C6D" w:rsidRPr="0086400E" w:rsidRDefault="00917C6D" w:rsidP="00316615">
            <w:pPr>
              <w:spacing w:before="60"/>
              <w:ind w:left="0"/>
              <w:jc w:val="left"/>
              <w:rPr>
                <w:rFonts w:ascii="David" w:hAnsi="David" w:cs="David"/>
                <w:sz w:val="18"/>
                <w:szCs w:val="18"/>
                <w:rtl/>
              </w:rPr>
            </w:pPr>
            <w:r w:rsidRPr="008A4862">
              <w:rPr>
                <w:rFonts w:ascii="David" w:hAnsi="David" w:cs="David"/>
                <w:sz w:val="18"/>
                <w:szCs w:val="18"/>
                <w:rtl/>
              </w:rPr>
              <w:t>המקור: בנק ישראל.</w:t>
            </w:r>
          </w:p>
        </w:tc>
      </w:tr>
    </w:tbl>
    <w:p w:rsidR="00917C6D" w:rsidRPr="0086400E" w:rsidRDefault="00917C6D" w:rsidP="00917C6D">
      <w:pPr>
        <w:pStyle w:val="2"/>
        <w:ind w:left="113" w:hanging="357"/>
        <w:rPr>
          <w:rFonts w:ascii="David" w:hAnsi="David" w:cs="David"/>
          <w:rtl/>
        </w:rPr>
      </w:pPr>
      <w:r w:rsidRPr="0086400E">
        <w:rPr>
          <w:rFonts w:ascii="David" w:hAnsi="David" w:cs="David"/>
          <w:rtl/>
        </w:rPr>
        <w:t>הסיכונים העיקריים לתחזית</w:t>
      </w:r>
      <w:r w:rsidR="00CC6C87" w:rsidRPr="00166515">
        <w:rPr>
          <w:rFonts w:ascii="David" w:hAnsi="David" w:cs="David"/>
          <w:vertAlign w:val="superscript"/>
          <w:rtl/>
        </w:rPr>
        <w:footnoteReference w:id="3"/>
      </w:r>
    </w:p>
    <w:p w:rsidR="00316615" w:rsidRDefault="00316615" w:rsidP="00F906E1">
      <w:pPr>
        <w:spacing w:before="120" w:after="120"/>
        <w:ind w:left="113"/>
        <w:rPr>
          <w:rFonts w:ascii="David" w:hAnsi="David" w:cs="David"/>
          <w:rtl/>
        </w:rPr>
      </w:pPr>
      <w:r>
        <w:rPr>
          <w:rFonts w:ascii="David" w:hAnsi="David" w:cs="David" w:hint="cs"/>
          <w:rtl/>
        </w:rPr>
        <w:t>המקורות לסי</w:t>
      </w:r>
      <w:r w:rsidRPr="00D3424E">
        <w:rPr>
          <w:rFonts w:ascii="David" w:hAnsi="David" w:cs="David" w:hint="cs"/>
          <w:rtl/>
        </w:rPr>
        <w:t>כונים לתחזית</w:t>
      </w:r>
      <w:r>
        <w:rPr>
          <w:rFonts w:ascii="David" w:hAnsi="David" w:cs="David" w:hint="cs"/>
          <w:rtl/>
        </w:rPr>
        <w:t xml:space="preserve"> של הפעילות מגוונים, ורובם נוטים כלפי מטה. </w:t>
      </w:r>
      <w:r w:rsidR="00F906E1">
        <w:rPr>
          <w:rFonts w:ascii="David" w:hAnsi="David" w:cs="David" w:hint="cs"/>
          <w:rtl/>
        </w:rPr>
        <w:t>ל</w:t>
      </w:r>
      <w:r w:rsidR="005B0CF9">
        <w:rPr>
          <w:rFonts w:ascii="David" w:hAnsi="David" w:cs="David" w:hint="cs"/>
          <w:rtl/>
        </w:rPr>
        <w:t xml:space="preserve">נסיגה בקצב התאוששות הפעילות הכלכלית על רקע </w:t>
      </w:r>
      <w:r>
        <w:rPr>
          <w:rFonts w:ascii="David" w:hAnsi="David" w:cs="David" w:hint="cs"/>
          <w:rtl/>
        </w:rPr>
        <w:t>גל תחלואה שני או התארכות המשבר</w:t>
      </w:r>
      <w:r w:rsidR="00F906E1">
        <w:rPr>
          <w:rFonts w:ascii="David" w:hAnsi="David" w:cs="David" w:hint="cs"/>
          <w:rtl/>
        </w:rPr>
        <w:t xml:space="preserve"> הרפואי</w:t>
      </w:r>
      <w:r>
        <w:rPr>
          <w:rFonts w:ascii="David" w:hAnsi="David" w:cs="David" w:hint="cs"/>
          <w:rtl/>
        </w:rPr>
        <w:t xml:space="preserve"> עשויה להיות השפעה משמעותית על התחזית. סיכונים שמקורם כלכלי הם החמרת המשבר בחו"ל, אשר </w:t>
      </w:r>
      <w:r w:rsidR="00E60FDD">
        <w:rPr>
          <w:rFonts w:ascii="David" w:hAnsi="David" w:cs="David" w:hint="cs"/>
          <w:rtl/>
        </w:rPr>
        <w:t>עלולה</w:t>
      </w:r>
      <w:r w:rsidR="000B607A">
        <w:rPr>
          <w:rFonts w:ascii="David" w:hAnsi="David" w:cs="David" w:hint="cs"/>
          <w:rtl/>
        </w:rPr>
        <w:t xml:space="preserve"> </w:t>
      </w:r>
      <w:r>
        <w:rPr>
          <w:rFonts w:ascii="David" w:hAnsi="David" w:cs="David" w:hint="cs"/>
          <w:rtl/>
        </w:rPr>
        <w:t xml:space="preserve">לפגוע הן בצמיחה והן באינפלציה, </w:t>
      </w:r>
      <w:r w:rsidR="000B607A">
        <w:rPr>
          <w:rFonts w:ascii="David" w:hAnsi="David" w:cs="David" w:hint="cs"/>
          <w:rtl/>
        </w:rPr>
        <w:t>ו</w:t>
      </w:r>
      <w:r w:rsidRPr="00E60FDD">
        <w:rPr>
          <w:rFonts w:ascii="David" w:hAnsi="David" w:cs="David" w:hint="cs"/>
          <w:rtl/>
        </w:rPr>
        <w:t xml:space="preserve">היחלשות </w:t>
      </w:r>
      <w:proofErr w:type="spellStart"/>
      <w:r w:rsidRPr="00E60FDD">
        <w:rPr>
          <w:rFonts w:ascii="David" w:hAnsi="David" w:cs="David" w:hint="cs"/>
          <w:rtl/>
        </w:rPr>
        <w:t>בביקושים</w:t>
      </w:r>
      <w:proofErr w:type="spellEnd"/>
      <w:r w:rsidR="00E60FDD">
        <w:rPr>
          <w:rFonts w:ascii="David" w:hAnsi="David" w:cs="David" w:hint="cs"/>
          <w:rtl/>
        </w:rPr>
        <w:t>,</w:t>
      </w:r>
      <w:r w:rsidRPr="00E60FDD">
        <w:rPr>
          <w:rFonts w:ascii="David" w:hAnsi="David" w:cs="David" w:hint="cs"/>
          <w:rtl/>
        </w:rPr>
        <w:t xml:space="preserve"> מעבר להערכתנו בתחזית</w:t>
      </w:r>
      <w:r w:rsidR="00E60FDD">
        <w:rPr>
          <w:rFonts w:ascii="David" w:hAnsi="David" w:cs="David" w:hint="cs"/>
          <w:rtl/>
        </w:rPr>
        <w:t>,</w:t>
      </w:r>
      <w:r w:rsidRPr="00E60FDD">
        <w:rPr>
          <w:rFonts w:ascii="David" w:hAnsi="David" w:cs="David" w:hint="cs"/>
          <w:rtl/>
        </w:rPr>
        <w:t xml:space="preserve"> כתוצאה מעלייה באי ה</w:t>
      </w:r>
      <w:r w:rsidR="00E11CC8">
        <w:rPr>
          <w:rFonts w:ascii="David" w:hAnsi="David" w:cs="David" w:hint="cs"/>
          <w:rtl/>
        </w:rPr>
        <w:t>ו</w:t>
      </w:r>
      <w:r w:rsidRPr="00E60FDD">
        <w:rPr>
          <w:rFonts w:ascii="David" w:hAnsi="David" w:cs="David" w:hint="cs"/>
          <w:rtl/>
        </w:rPr>
        <w:t xml:space="preserve">ודאות או </w:t>
      </w:r>
      <w:r w:rsidR="00E60FDD">
        <w:rPr>
          <w:rFonts w:ascii="David" w:hAnsi="David" w:cs="David" w:hint="cs"/>
          <w:rtl/>
        </w:rPr>
        <w:t>רגישות גבוהה</w:t>
      </w:r>
      <w:r w:rsidRPr="00E60FDD">
        <w:rPr>
          <w:rFonts w:ascii="David" w:hAnsi="David" w:cs="David" w:hint="cs"/>
          <w:rtl/>
        </w:rPr>
        <w:t xml:space="preserve"> </w:t>
      </w:r>
      <w:r w:rsidR="00E60FDD" w:rsidRPr="00E60FDD">
        <w:rPr>
          <w:rFonts w:ascii="David" w:hAnsi="David" w:cs="David" w:hint="cs"/>
          <w:rtl/>
        </w:rPr>
        <w:t>יותר</w:t>
      </w:r>
      <w:r w:rsidR="00E60FDD">
        <w:rPr>
          <w:rFonts w:ascii="David" w:hAnsi="David" w:cs="David" w:hint="cs"/>
          <w:rtl/>
        </w:rPr>
        <w:t xml:space="preserve"> של </w:t>
      </w:r>
      <w:proofErr w:type="spellStart"/>
      <w:r w:rsidR="00E60FDD">
        <w:rPr>
          <w:rFonts w:ascii="David" w:hAnsi="David" w:cs="David" w:hint="cs"/>
          <w:rtl/>
        </w:rPr>
        <w:t>הביקושים</w:t>
      </w:r>
      <w:proofErr w:type="spellEnd"/>
      <w:r w:rsidR="00E60FDD">
        <w:rPr>
          <w:rFonts w:ascii="David" w:hAnsi="David" w:cs="David" w:hint="cs"/>
          <w:rtl/>
        </w:rPr>
        <w:t xml:space="preserve"> </w:t>
      </w:r>
      <w:r w:rsidRPr="00E60FDD">
        <w:rPr>
          <w:rFonts w:ascii="David" w:hAnsi="David" w:cs="David" w:hint="cs"/>
          <w:rtl/>
        </w:rPr>
        <w:t xml:space="preserve">לאי </w:t>
      </w:r>
      <w:r w:rsidRPr="00E60FDD">
        <w:rPr>
          <w:rFonts w:ascii="David" w:hAnsi="David" w:cs="David" w:hint="cs"/>
          <w:rtl/>
        </w:rPr>
        <w:lastRenderedPageBreak/>
        <w:t>הו</w:t>
      </w:r>
      <w:r w:rsidR="00E11CC8">
        <w:rPr>
          <w:rFonts w:ascii="David" w:hAnsi="David" w:cs="David" w:hint="cs"/>
          <w:rtl/>
        </w:rPr>
        <w:t>ו</w:t>
      </w:r>
      <w:r w:rsidRPr="00E60FDD">
        <w:rPr>
          <w:rFonts w:ascii="David" w:hAnsi="David" w:cs="David" w:hint="cs"/>
          <w:rtl/>
        </w:rPr>
        <w:t>דאות.</w:t>
      </w:r>
      <w:r>
        <w:rPr>
          <w:rFonts w:ascii="David" w:hAnsi="David" w:cs="David" w:hint="cs"/>
          <w:rtl/>
        </w:rPr>
        <w:t xml:space="preserve"> מצד המדיניות, קושי בניהול התפתחות התחלואה או במימוש החלטות ובקבלת החלטות, עלולים אף הם להביא לידי פגיעה בפעילות הכלכלית. מעבר לאלו יש לציין את אי ה</w:t>
      </w:r>
      <w:r w:rsidR="00E11CC8">
        <w:rPr>
          <w:rFonts w:ascii="David" w:hAnsi="David" w:cs="David" w:hint="cs"/>
          <w:rtl/>
        </w:rPr>
        <w:t>ו</w:t>
      </w:r>
      <w:r>
        <w:rPr>
          <w:rFonts w:ascii="David" w:hAnsi="David" w:cs="David" w:hint="cs"/>
          <w:rtl/>
        </w:rPr>
        <w:t>ודאות הגבוהה במצב המשק ובחלק מהנתונים, היות המשבר חסר תקדים באופיו ובהיקפו ובתנודות החדות שהוא מייצר בגורמים בסיסיים, כל אלו מהווים סיכון עודף לתחזית ביחס למצבי שיגרה.</w:t>
      </w:r>
      <w:r w:rsidRPr="00166515">
        <w:rPr>
          <w:rFonts w:ascii="David" w:hAnsi="David" w:cs="David" w:hint="cs"/>
          <w:rtl/>
        </w:rPr>
        <w:t xml:space="preserve"> </w:t>
      </w:r>
    </w:p>
    <w:p w:rsidR="00316615" w:rsidRPr="00166515" w:rsidRDefault="00316615" w:rsidP="006D00F2">
      <w:pPr>
        <w:spacing w:after="120"/>
        <w:ind w:left="113"/>
        <w:rPr>
          <w:rFonts w:ascii="David" w:hAnsi="David" w:cs="David"/>
          <w:rtl/>
        </w:rPr>
      </w:pPr>
      <w:r>
        <w:rPr>
          <w:rFonts w:ascii="David" w:hAnsi="David" w:cs="David" w:hint="cs"/>
          <w:rtl/>
        </w:rPr>
        <w:t xml:space="preserve">בתרחיש של </w:t>
      </w:r>
      <w:r w:rsidR="00F906E1">
        <w:rPr>
          <w:rFonts w:ascii="David" w:hAnsi="David" w:cs="David" w:hint="cs"/>
          <w:rtl/>
        </w:rPr>
        <w:t>הטלת סגר נוסף ברבעון האחרון של השנה כתוצאה מהחמרה במצב הרפואי</w:t>
      </w:r>
      <w:r w:rsidR="00874F44">
        <w:rPr>
          <w:rFonts w:ascii="David" w:hAnsi="David" w:cs="David" w:hint="cs"/>
          <w:rtl/>
        </w:rPr>
        <w:t xml:space="preserve"> תוך השבתה משמעותית בפעילות של המשק</w:t>
      </w:r>
      <w:r>
        <w:rPr>
          <w:rFonts w:ascii="David" w:hAnsi="David" w:cs="David" w:hint="cs"/>
          <w:rtl/>
        </w:rPr>
        <w:t>, צפויה פגיעה נוספת בפעילות הכלכלית. במקרה כזה, אנו מעריכים שבשנת 2020 התוצר צפוי להתכווץ בשיעור חד יותר, של כ-9% והאבטלה צפויה להיות גבוהה יותר ולעלות ברבעון הרביעי ל-11.5% (כ-7% בממוצע שנתי).</w:t>
      </w:r>
    </w:p>
    <w:sectPr w:rsidR="00316615" w:rsidRPr="00166515" w:rsidSect="003D17B1">
      <w:footerReference w:type="default" r:id="rId9"/>
      <w:pgSz w:w="11906" w:h="16838"/>
      <w:pgMar w:top="1440" w:right="1077" w:bottom="1440" w:left="1077" w:header="709" w:footer="39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D38" w:rsidRDefault="008E0D38" w:rsidP="00917C6D">
      <w:pPr>
        <w:spacing w:line="240" w:lineRule="auto"/>
      </w:pPr>
      <w:r>
        <w:separator/>
      </w:r>
    </w:p>
  </w:endnote>
  <w:endnote w:type="continuationSeparator" w:id="0">
    <w:p w:rsidR="008E0D38" w:rsidRDefault="008E0D38" w:rsidP="00917C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44386792"/>
      <w:docPartObj>
        <w:docPartGallery w:val="Page Numbers (Bottom of Page)"/>
        <w:docPartUnique/>
      </w:docPartObj>
    </w:sdtPr>
    <w:sdtEndPr>
      <w:rPr>
        <w:cs/>
      </w:rPr>
    </w:sdtEndPr>
    <w:sdtContent>
      <w:p w:rsidR="008152A5" w:rsidRDefault="008152A5">
        <w:pPr>
          <w:pStyle w:val="af4"/>
          <w:jc w:val="center"/>
          <w:rPr>
            <w:rtl/>
            <w:cs/>
          </w:rPr>
        </w:pPr>
        <w:r w:rsidRPr="008152A5">
          <w:rPr>
            <w:rFonts w:ascii="David" w:hAnsi="David" w:cs="David"/>
          </w:rPr>
          <w:fldChar w:fldCharType="begin"/>
        </w:r>
        <w:r w:rsidRPr="008152A5">
          <w:rPr>
            <w:rFonts w:ascii="David" w:hAnsi="David" w:cs="David"/>
            <w:rtl/>
            <w:cs/>
          </w:rPr>
          <w:instrText>PAGE   \* MERGEFORMAT</w:instrText>
        </w:r>
        <w:r w:rsidRPr="008152A5">
          <w:rPr>
            <w:rFonts w:ascii="David" w:hAnsi="David" w:cs="David"/>
          </w:rPr>
          <w:fldChar w:fldCharType="separate"/>
        </w:r>
        <w:r w:rsidR="006F36FD" w:rsidRPr="006F36FD">
          <w:rPr>
            <w:rFonts w:ascii="David" w:hAnsi="David" w:cs="David"/>
            <w:noProof/>
            <w:rtl/>
            <w:lang w:val="he-IL"/>
          </w:rPr>
          <w:t>4</w:t>
        </w:r>
        <w:r w:rsidRPr="008152A5">
          <w:rPr>
            <w:rFonts w:ascii="David" w:hAnsi="David" w:cs="David"/>
          </w:rPr>
          <w:fldChar w:fldCharType="end"/>
        </w:r>
      </w:p>
    </w:sdtContent>
  </w:sdt>
  <w:p w:rsidR="000850E0" w:rsidRDefault="008E0D38" w:rsidP="007103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D38" w:rsidRDefault="008E0D38" w:rsidP="00917C6D">
      <w:pPr>
        <w:spacing w:line="240" w:lineRule="auto"/>
      </w:pPr>
      <w:r>
        <w:separator/>
      </w:r>
    </w:p>
  </w:footnote>
  <w:footnote w:type="continuationSeparator" w:id="0">
    <w:p w:rsidR="008E0D38" w:rsidRDefault="008E0D38" w:rsidP="00917C6D">
      <w:pPr>
        <w:spacing w:line="240" w:lineRule="auto"/>
      </w:pPr>
      <w:r>
        <w:continuationSeparator/>
      </w:r>
    </w:p>
  </w:footnote>
  <w:footnote w:id="1">
    <w:p w:rsidR="009E4927" w:rsidRPr="008A4862" w:rsidRDefault="009E4927" w:rsidP="005B0CF9">
      <w:pPr>
        <w:pStyle w:val="a3"/>
        <w:ind w:left="113"/>
        <w:rPr>
          <w:rFonts w:ascii="David" w:hAnsi="David" w:cs="David"/>
          <w:sz w:val="18"/>
          <w:szCs w:val="18"/>
          <w:rtl/>
        </w:rPr>
      </w:pPr>
      <w:r w:rsidRPr="008A4862">
        <w:rPr>
          <w:rStyle w:val="a5"/>
          <w:rFonts w:ascii="David" w:hAnsi="David" w:cs="David"/>
          <w:sz w:val="18"/>
          <w:szCs w:val="18"/>
        </w:rPr>
        <w:footnoteRef/>
      </w:r>
      <w:r w:rsidRPr="008A4862">
        <w:rPr>
          <w:rFonts w:ascii="David" w:hAnsi="David" w:cs="David"/>
          <w:sz w:val="18"/>
          <w:szCs w:val="18"/>
          <w:rtl/>
        </w:rPr>
        <w:t xml:space="preserve"> התחזית הוצגה לוועדה המוניטרית ב-</w:t>
      </w:r>
      <w:r w:rsidR="005B0CF9">
        <w:rPr>
          <w:rFonts w:ascii="David" w:hAnsi="David" w:cs="David" w:hint="cs"/>
          <w:sz w:val="18"/>
          <w:szCs w:val="18"/>
          <w:rtl/>
        </w:rPr>
        <w:t>5/7/2020</w:t>
      </w:r>
      <w:r w:rsidRPr="008A4862">
        <w:rPr>
          <w:rFonts w:ascii="David" w:hAnsi="David" w:cs="David"/>
          <w:sz w:val="18"/>
          <w:szCs w:val="18"/>
          <w:rtl/>
        </w:rPr>
        <w:t>, לקראת החלטת הריבית שהתקבלה ב</w:t>
      </w:r>
      <w:r>
        <w:rPr>
          <w:rFonts w:ascii="David" w:hAnsi="David" w:cs="David" w:hint="cs"/>
          <w:sz w:val="18"/>
          <w:szCs w:val="18"/>
          <w:rtl/>
        </w:rPr>
        <w:t>-6/7/2020</w:t>
      </w:r>
      <w:r w:rsidRPr="008A4862">
        <w:rPr>
          <w:rFonts w:ascii="David" w:hAnsi="David" w:cs="David"/>
          <w:sz w:val="18"/>
          <w:szCs w:val="18"/>
          <w:rtl/>
        </w:rPr>
        <w:t>.</w:t>
      </w:r>
    </w:p>
  </w:footnote>
  <w:footnote w:id="2">
    <w:p w:rsidR="003967FE" w:rsidRPr="008A4862" w:rsidRDefault="003967FE" w:rsidP="00CC6C87">
      <w:pPr>
        <w:pStyle w:val="a3"/>
        <w:spacing w:line="240" w:lineRule="auto"/>
        <w:ind w:left="113"/>
        <w:rPr>
          <w:rFonts w:ascii="David" w:hAnsi="David" w:cs="David"/>
          <w:sz w:val="18"/>
          <w:szCs w:val="18"/>
          <w:rtl/>
        </w:rPr>
      </w:pPr>
      <w:r w:rsidRPr="008A4862">
        <w:rPr>
          <w:rFonts w:ascii="David" w:hAnsi="David" w:cs="David"/>
          <w:sz w:val="18"/>
          <w:szCs w:val="18"/>
        </w:rPr>
        <w:footnoteRef/>
      </w:r>
      <w:r w:rsidRPr="008A4862">
        <w:rPr>
          <w:rFonts w:ascii="David" w:hAnsi="David" w:cs="David"/>
          <w:sz w:val="18"/>
          <w:szCs w:val="18"/>
          <w:rtl/>
        </w:rPr>
        <w:t xml:space="preserve"> </w:t>
      </w:r>
      <w:r w:rsidRPr="008A4862">
        <w:rPr>
          <w:rFonts w:ascii="David" w:hAnsi="David" w:cs="David"/>
          <w:sz w:val="18"/>
          <w:szCs w:val="18"/>
          <w:rtl/>
        </w:rPr>
        <w:t>הסבר על התחזיות המקרו-כלכליות שחטיבת המחקר מגבשת, וכן סקירה של המודלים שהן מושתתות עליהם, מופיעים בדוח האינפלציה 31 (לרבעון השני של 2010), סעיף 3ג. נייר העבודה על מודל ה-</w:t>
      </w:r>
      <w:r w:rsidRPr="008A4862">
        <w:rPr>
          <w:rFonts w:ascii="David" w:hAnsi="David" w:cs="David"/>
          <w:sz w:val="18"/>
          <w:szCs w:val="18"/>
        </w:rPr>
        <w:t>DSGE</w:t>
      </w:r>
      <w:r w:rsidRPr="008A4862">
        <w:rPr>
          <w:rFonts w:ascii="David" w:hAnsi="David" w:cs="David"/>
          <w:sz w:val="18"/>
          <w:szCs w:val="18"/>
          <w:rtl/>
        </w:rPr>
        <w:t xml:space="preserve"> זמין באתר האינטרנט של בנק ישראל. כותרתו</w:t>
      </w:r>
    </w:p>
    <w:p w:rsidR="003967FE" w:rsidRPr="008A4862" w:rsidRDefault="003967FE" w:rsidP="00CC6C87">
      <w:pPr>
        <w:pStyle w:val="a3"/>
        <w:bidi w:val="0"/>
        <w:spacing w:line="240" w:lineRule="auto"/>
        <w:ind w:left="113"/>
        <w:rPr>
          <w:rFonts w:ascii="David" w:hAnsi="David" w:cs="David"/>
        </w:rPr>
      </w:pPr>
      <w:r w:rsidRPr="008A4862">
        <w:rPr>
          <w:rFonts w:ascii="David" w:hAnsi="David" w:cs="David"/>
          <w:sz w:val="18"/>
          <w:szCs w:val="18"/>
        </w:rPr>
        <w:t>MOISE: A DSGE Model for the Israeli Economy, Discussion Paper No. 2012.06.</w:t>
      </w:r>
    </w:p>
  </w:footnote>
  <w:footnote w:id="3">
    <w:p w:rsidR="00CC6C87" w:rsidRPr="00197424" w:rsidRDefault="00CC6C87" w:rsidP="00CC6C87">
      <w:pPr>
        <w:spacing w:line="240" w:lineRule="auto"/>
        <w:ind w:left="-29"/>
        <w:rPr>
          <w:rtl/>
        </w:rPr>
      </w:pPr>
      <w:r>
        <w:rPr>
          <w:rStyle w:val="a5"/>
        </w:rPr>
        <w:footnoteRef/>
      </w:r>
      <w:r>
        <w:rPr>
          <w:rtl/>
        </w:rPr>
        <w:t xml:space="preserve"> </w:t>
      </w:r>
      <w:r w:rsidRPr="00197424">
        <w:rPr>
          <w:rFonts w:ascii="David" w:hAnsi="David" w:cs="David" w:hint="cs"/>
          <w:sz w:val="20"/>
          <w:szCs w:val="20"/>
          <w:rtl/>
        </w:rPr>
        <w:t>על רקע המאפיינים החריגים של אי-</w:t>
      </w:r>
      <w:r>
        <w:rPr>
          <w:rFonts w:ascii="David" w:hAnsi="David" w:cs="David" w:hint="cs"/>
          <w:sz w:val="20"/>
          <w:szCs w:val="20"/>
          <w:rtl/>
        </w:rPr>
        <w:t>ה</w:t>
      </w:r>
      <w:r w:rsidRPr="00197424">
        <w:rPr>
          <w:rFonts w:ascii="David" w:hAnsi="David" w:cs="David" w:hint="cs"/>
          <w:sz w:val="20"/>
          <w:szCs w:val="20"/>
          <w:rtl/>
        </w:rPr>
        <w:t>ו</w:t>
      </w:r>
      <w:r w:rsidR="00E11CC8">
        <w:rPr>
          <w:rFonts w:ascii="David" w:hAnsi="David" w:cs="David" w:hint="cs"/>
          <w:sz w:val="20"/>
          <w:szCs w:val="20"/>
          <w:rtl/>
        </w:rPr>
        <w:t>ו</w:t>
      </w:r>
      <w:r w:rsidRPr="00197424">
        <w:rPr>
          <w:rFonts w:ascii="David" w:hAnsi="David" w:cs="David" w:hint="cs"/>
          <w:sz w:val="20"/>
          <w:szCs w:val="20"/>
          <w:rtl/>
        </w:rPr>
        <w:t xml:space="preserve">דאות </w:t>
      </w:r>
      <w:r>
        <w:rPr>
          <w:rFonts w:ascii="David" w:hAnsi="David" w:cs="David" w:hint="cs"/>
          <w:sz w:val="20"/>
          <w:szCs w:val="20"/>
          <w:rtl/>
        </w:rPr>
        <w:t>המאפיינת את התחזית והתנודות החריגות במשתני הפעילות השונים,</w:t>
      </w:r>
      <w:r w:rsidRPr="00197424">
        <w:rPr>
          <w:rFonts w:ascii="David" w:hAnsi="David" w:cs="David" w:hint="cs"/>
          <w:sz w:val="20"/>
          <w:szCs w:val="20"/>
          <w:rtl/>
        </w:rPr>
        <w:t xml:space="preserve"> </w:t>
      </w:r>
      <w:r>
        <w:rPr>
          <w:rFonts w:ascii="David" w:hAnsi="David" w:cs="David" w:hint="cs"/>
          <w:sz w:val="20"/>
          <w:szCs w:val="20"/>
          <w:rtl/>
        </w:rPr>
        <w:t xml:space="preserve">התחזית </w:t>
      </w:r>
      <w:r w:rsidRPr="00197424">
        <w:rPr>
          <w:rFonts w:ascii="David" w:hAnsi="David" w:cs="David" w:hint="cs"/>
          <w:sz w:val="20"/>
          <w:szCs w:val="20"/>
          <w:rtl/>
        </w:rPr>
        <w:t>מתפרסמת ללא מניפות האינפלציה והתוצר.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2543E"/>
    <w:multiLevelType w:val="hybridMultilevel"/>
    <w:tmpl w:val="E24C07EE"/>
    <w:lvl w:ilvl="0" w:tplc="372CF8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1F0AC6"/>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EF4B4E"/>
    <w:multiLevelType w:val="hybridMultilevel"/>
    <w:tmpl w:val="0D98E67C"/>
    <w:lvl w:ilvl="0" w:tplc="A656BCE6">
      <w:start w:val="1"/>
      <w:numFmt w:val="hebrew1"/>
      <w:pStyle w:va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6D"/>
    <w:rsid w:val="00013AC1"/>
    <w:rsid w:val="00021EEE"/>
    <w:rsid w:val="00066E7E"/>
    <w:rsid w:val="0008302B"/>
    <w:rsid w:val="00092C81"/>
    <w:rsid w:val="00093363"/>
    <w:rsid w:val="000B607A"/>
    <w:rsid w:val="000C41D5"/>
    <w:rsid w:val="000C5E91"/>
    <w:rsid w:val="000D0CD3"/>
    <w:rsid w:val="000E232F"/>
    <w:rsid w:val="000E71D5"/>
    <w:rsid w:val="00122AF9"/>
    <w:rsid w:val="001262A1"/>
    <w:rsid w:val="00152A76"/>
    <w:rsid w:val="00163418"/>
    <w:rsid w:val="00170826"/>
    <w:rsid w:val="00183F46"/>
    <w:rsid w:val="001853CD"/>
    <w:rsid w:val="001A273A"/>
    <w:rsid w:val="001A5F9B"/>
    <w:rsid w:val="001A7634"/>
    <w:rsid w:val="001C1950"/>
    <w:rsid w:val="001E4FD4"/>
    <w:rsid w:val="002162B9"/>
    <w:rsid w:val="00243AAB"/>
    <w:rsid w:val="002473B8"/>
    <w:rsid w:val="00250D49"/>
    <w:rsid w:val="00261E65"/>
    <w:rsid w:val="0027193C"/>
    <w:rsid w:val="002824B8"/>
    <w:rsid w:val="00283017"/>
    <w:rsid w:val="0029114E"/>
    <w:rsid w:val="002A4FD2"/>
    <w:rsid w:val="002E645A"/>
    <w:rsid w:val="002F7F87"/>
    <w:rsid w:val="003023A0"/>
    <w:rsid w:val="00302A5B"/>
    <w:rsid w:val="00307018"/>
    <w:rsid w:val="00316615"/>
    <w:rsid w:val="00322146"/>
    <w:rsid w:val="00361D21"/>
    <w:rsid w:val="00371201"/>
    <w:rsid w:val="0039331F"/>
    <w:rsid w:val="0039367C"/>
    <w:rsid w:val="003967FE"/>
    <w:rsid w:val="003A4F27"/>
    <w:rsid w:val="003A665E"/>
    <w:rsid w:val="003F3CB3"/>
    <w:rsid w:val="004048D5"/>
    <w:rsid w:val="00416C24"/>
    <w:rsid w:val="004236EF"/>
    <w:rsid w:val="004253AA"/>
    <w:rsid w:val="00431ABE"/>
    <w:rsid w:val="00437165"/>
    <w:rsid w:val="00445378"/>
    <w:rsid w:val="00484614"/>
    <w:rsid w:val="00493D8C"/>
    <w:rsid w:val="0049500F"/>
    <w:rsid w:val="004B06BB"/>
    <w:rsid w:val="004E5A15"/>
    <w:rsid w:val="004F0DFD"/>
    <w:rsid w:val="004F2AA8"/>
    <w:rsid w:val="005037F6"/>
    <w:rsid w:val="00520C2F"/>
    <w:rsid w:val="0052339B"/>
    <w:rsid w:val="0053680E"/>
    <w:rsid w:val="005435A0"/>
    <w:rsid w:val="00550B6B"/>
    <w:rsid w:val="00553C63"/>
    <w:rsid w:val="00554BBE"/>
    <w:rsid w:val="00576C91"/>
    <w:rsid w:val="00591FA8"/>
    <w:rsid w:val="005A7C61"/>
    <w:rsid w:val="005B0CF9"/>
    <w:rsid w:val="00605897"/>
    <w:rsid w:val="0061059C"/>
    <w:rsid w:val="00613263"/>
    <w:rsid w:val="00622426"/>
    <w:rsid w:val="0062760E"/>
    <w:rsid w:val="006476FB"/>
    <w:rsid w:val="00663BC0"/>
    <w:rsid w:val="00677FE5"/>
    <w:rsid w:val="006940B6"/>
    <w:rsid w:val="006A3940"/>
    <w:rsid w:val="006D00F2"/>
    <w:rsid w:val="006F36FD"/>
    <w:rsid w:val="006F57C9"/>
    <w:rsid w:val="00705EA9"/>
    <w:rsid w:val="00736AF3"/>
    <w:rsid w:val="00743BD2"/>
    <w:rsid w:val="0076292D"/>
    <w:rsid w:val="00795FD6"/>
    <w:rsid w:val="00797BB9"/>
    <w:rsid w:val="007A423B"/>
    <w:rsid w:val="007A6D97"/>
    <w:rsid w:val="007D291A"/>
    <w:rsid w:val="007E4236"/>
    <w:rsid w:val="007F5A7F"/>
    <w:rsid w:val="007F7B86"/>
    <w:rsid w:val="00804184"/>
    <w:rsid w:val="00804285"/>
    <w:rsid w:val="0081039F"/>
    <w:rsid w:val="008152A5"/>
    <w:rsid w:val="0081538A"/>
    <w:rsid w:val="00821FA7"/>
    <w:rsid w:val="00823ADE"/>
    <w:rsid w:val="00825339"/>
    <w:rsid w:val="008255BB"/>
    <w:rsid w:val="00833B31"/>
    <w:rsid w:val="00840CED"/>
    <w:rsid w:val="00846D01"/>
    <w:rsid w:val="0085204B"/>
    <w:rsid w:val="00853748"/>
    <w:rsid w:val="008637C3"/>
    <w:rsid w:val="0086400E"/>
    <w:rsid w:val="00874F44"/>
    <w:rsid w:val="00895DDB"/>
    <w:rsid w:val="008A2B95"/>
    <w:rsid w:val="008A4862"/>
    <w:rsid w:val="008A5921"/>
    <w:rsid w:val="008B5243"/>
    <w:rsid w:val="008E0D38"/>
    <w:rsid w:val="00904232"/>
    <w:rsid w:val="00917C6D"/>
    <w:rsid w:val="00933B4B"/>
    <w:rsid w:val="009464D2"/>
    <w:rsid w:val="00947724"/>
    <w:rsid w:val="00951FC4"/>
    <w:rsid w:val="00966A4A"/>
    <w:rsid w:val="00993A7D"/>
    <w:rsid w:val="00997960"/>
    <w:rsid w:val="009C5CB4"/>
    <w:rsid w:val="009C6571"/>
    <w:rsid w:val="009E29AD"/>
    <w:rsid w:val="009E4927"/>
    <w:rsid w:val="00A22C3F"/>
    <w:rsid w:val="00A24FAA"/>
    <w:rsid w:val="00A3524E"/>
    <w:rsid w:val="00A37C4A"/>
    <w:rsid w:val="00A42606"/>
    <w:rsid w:val="00AB2FEF"/>
    <w:rsid w:val="00AB3CC1"/>
    <w:rsid w:val="00AD2FF4"/>
    <w:rsid w:val="00AD63A1"/>
    <w:rsid w:val="00AD6BF2"/>
    <w:rsid w:val="00AE0207"/>
    <w:rsid w:val="00AF09C2"/>
    <w:rsid w:val="00AF1A54"/>
    <w:rsid w:val="00AF2073"/>
    <w:rsid w:val="00B02296"/>
    <w:rsid w:val="00B11B65"/>
    <w:rsid w:val="00B21992"/>
    <w:rsid w:val="00B32B00"/>
    <w:rsid w:val="00B5522C"/>
    <w:rsid w:val="00B60259"/>
    <w:rsid w:val="00B925CD"/>
    <w:rsid w:val="00BB0489"/>
    <w:rsid w:val="00BD25D9"/>
    <w:rsid w:val="00BD438D"/>
    <w:rsid w:val="00BD6A35"/>
    <w:rsid w:val="00BE6A4E"/>
    <w:rsid w:val="00BF6881"/>
    <w:rsid w:val="00C01F4A"/>
    <w:rsid w:val="00C16959"/>
    <w:rsid w:val="00C22D9E"/>
    <w:rsid w:val="00C26B24"/>
    <w:rsid w:val="00C403E5"/>
    <w:rsid w:val="00C440A0"/>
    <w:rsid w:val="00C47799"/>
    <w:rsid w:val="00C62C87"/>
    <w:rsid w:val="00C63BAB"/>
    <w:rsid w:val="00C76452"/>
    <w:rsid w:val="00C85CCC"/>
    <w:rsid w:val="00C928BD"/>
    <w:rsid w:val="00C94845"/>
    <w:rsid w:val="00CC6C87"/>
    <w:rsid w:val="00D00102"/>
    <w:rsid w:val="00D0051E"/>
    <w:rsid w:val="00D21BF6"/>
    <w:rsid w:val="00D23441"/>
    <w:rsid w:val="00D26400"/>
    <w:rsid w:val="00D36410"/>
    <w:rsid w:val="00D40A33"/>
    <w:rsid w:val="00D513B8"/>
    <w:rsid w:val="00D55ABF"/>
    <w:rsid w:val="00D61E7C"/>
    <w:rsid w:val="00D74BE3"/>
    <w:rsid w:val="00D841CD"/>
    <w:rsid w:val="00DC2B8E"/>
    <w:rsid w:val="00DC7131"/>
    <w:rsid w:val="00DD3A08"/>
    <w:rsid w:val="00DE70E9"/>
    <w:rsid w:val="00DF169C"/>
    <w:rsid w:val="00DF2F5C"/>
    <w:rsid w:val="00E05A87"/>
    <w:rsid w:val="00E10B92"/>
    <w:rsid w:val="00E11CC8"/>
    <w:rsid w:val="00E22423"/>
    <w:rsid w:val="00E23156"/>
    <w:rsid w:val="00E32711"/>
    <w:rsid w:val="00E53AD9"/>
    <w:rsid w:val="00E60FDD"/>
    <w:rsid w:val="00E714C2"/>
    <w:rsid w:val="00E86B6C"/>
    <w:rsid w:val="00EA1778"/>
    <w:rsid w:val="00EA52EA"/>
    <w:rsid w:val="00EC3A5A"/>
    <w:rsid w:val="00EC5EF2"/>
    <w:rsid w:val="00EE4DFF"/>
    <w:rsid w:val="00EE6683"/>
    <w:rsid w:val="00EF1813"/>
    <w:rsid w:val="00EF3C13"/>
    <w:rsid w:val="00EF5519"/>
    <w:rsid w:val="00EF6380"/>
    <w:rsid w:val="00F2070B"/>
    <w:rsid w:val="00F20C88"/>
    <w:rsid w:val="00F435E1"/>
    <w:rsid w:val="00F54EB8"/>
    <w:rsid w:val="00F80D04"/>
    <w:rsid w:val="00F906E1"/>
    <w:rsid w:val="00F90FB1"/>
    <w:rsid w:val="00FB16D3"/>
    <w:rsid w:val="00FC04FE"/>
    <w:rsid w:val="00FC62A6"/>
    <w:rsid w:val="00FF3581"/>
    <w:rsid w:val="00FF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C6D"/>
    <w:pPr>
      <w:bidi/>
      <w:spacing w:after="0" w:line="360" w:lineRule="auto"/>
      <w:ind w:left="357"/>
      <w:jc w:val="both"/>
    </w:pPr>
    <w:rPr>
      <w:sz w:val="24"/>
      <w:szCs w:val="24"/>
    </w:rPr>
  </w:style>
  <w:style w:type="paragraph" w:styleId="1">
    <w:name w:val="heading 1"/>
    <w:basedOn w:val="a"/>
    <w:next w:val="a"/>
    <w:link w:val="10"/>
    <w:uiPriority w:val="9"/>
    <w:qFormat/>
    <w:rsid w:val="00917C6D"/>
    <w:pPr>
      <w:keepNext/>
      <w:keepLines/>
      <w:spacing w:before="240"/>
      <w:ind w:left="0" w:firstLine="340"/>
      <w:outlineLvl w:val="0"/>
    </w:pPr>
    <w:rPr>
      <w:rFonts w:asciiTheme="majorHAnsi" w:hAnsiTheme="majorHAnsi" w:cstheme="majorBidi"/>
      <w:b/>
      <w:bCs/>
    </w:rPr>
  </w:style>
  <w:style w:type="paragraph" w:styleId="2">
    <w:name w:val="heading 2"/>
    <w:basedOn w:val="a"/>
    <w:next w:val="a"/>
    <w:link w:val="20"/>
    <w:uiPriority w:val="9"/>
    <w:unhideWhenUsed/>
    <w:qFormat/>
    <w:rsid w:val="00917C6D"/>
    <w:pPr>
      <w:keepNext/>
      <w:keepLines/>
      <w:numPr>
        <w:numId w:val="3"/>
      </w:numPr>
      <w:spacing w:before="240"/>
      <w:outlineLvl w:val="1"/>
    </w:pPr>
    <w:rPr>
      <w:rFonts w:asciiTheme="majorHAnsi"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17C6D"/>
    <w:rPr>
      <w:rFonts w:asciiTheme="majorHAnsi" w:hAnsiTheme="majorHAnsi" w:cstheme="majorBidi"/>
      <w:b/>
      <w:bCs/>
      <w:sz w:val="24"/>
      <w:szCs w:val="24"/>
    </w:rPr>
  </w:style>
  <w:style w:type="character" w:customStyle="1" w:styleId="20">
    <w:name w:val="כותרת 2 תו"/>
    <w:basedOn w:val="a0"/>
    <w:link w:val="2"/>
    <w:uiPriority w:val="9"/>
    <w:rsid w:val="00917C6D"/>
    <w:rPr>
      <w:rFonts w:asciiTheme="majorHAnsi" w:hAnsiTheme="majorHAnsi" w:cstheme="majorBidi"/>
      <w:b/>
      <w:bCs/>
      <w:sz w:val="24"/>
      <w:szCs w:val="24"/>
    </w:rPr>
  </w:style>
  <w:style w:type="paragraph" w:styleId="a3">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
    <w:link w:val="a4"/>
    <w:uiPriority w:val="99"/>
    <w:rsid w:val="00917C6D"/>
    <w:rPr>
      <w:sz w:val="20"/>
      <w:szCs w:val="20"/>
    </w:rPr>
  </w:style>
  <w:style w:type="character" w:customStyle="1" w:styleId="a4">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0"/>
    <w:link w:val="a3"/>
    <w:uiPriority w:val="99"/>
    <w:rsid w:val="00917C6D"/>
    <w:rPr>
      <w:sz w:val="20"/>
      <w:szCs w:val="20"/>
    </w:rPr>
  </w:style>
  <w:style w:type="character" w:styleId="a5">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sid w:val="00917C6D"/>
    <w:rPr>
      <w:vertAlign w:val="superscript"/>
    </w:rPr>
  </w:style>
  <w:style w:type="paragraph" w:styleId="a6">
    <w:name w:val="Title"/>
    <w:basedOn w:val="a"/>
    <w:next w:val="a"/>
    <w:link w:val="a7"/>
    <w:uiPriority w:val="10"/>
    <w:qFormat/>
    <w:rsid w:val="00917C6D"/>
    <w:pPr>
      <w:spacing w:after="300"/>
      <w:contextualSpacing/>
      <w:jc w:val="center"/>
    </w:pPr>
    <w:rPr>
      <w:rFonts w:asciiTheme="majorHAnsi" w:hAnsiTheme="majorHAnsi" w:cstheme="majorBidi"/>
      <w:b/>
      <w:bCs/>
      <w:spacing w:val="5"/>
      <w:kern w:val="28"/>
      <w:sz w:val="28"/>
      <w:szCs w:val="28"/>
    </w:rPr>
  </w:style>
  <w:style w:type="character" w:customStyle="1" w:styleId="a7">
    <w:name w:val="כותרת טקסט תו"/>
    <w:basedOn w:val="a0"/>
    <w:link w:val="a6"/>
    <w:uiPriority w:val="10"/>
    <w:rsid w:val="00917C6D"/>
    <w:rPr>
      <w:rFonts w:asciiTheme="majorHAnsi" w:hAnsiTheme="majorHAnsi" w:cstheme="majorBidi"/>
      <w:b/>
      <w:bCs/>
      <w:spacing w:val="5"/>
      <w:kern w:val="28"/>
      <w:sz w:val="28"/>
      <w:szCs w:val="28"/>
    </w:rPr>
  </w:style>
  <w:style w:type="table" w:customStyle="1" w:styleId="21">
    <w:name w:val="טבלת רשת2"/>
    <w:basedOn w:val="a1"/>
    <w:next w:val="a8"/>
    <w:rsid w:val="00917C6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17C6D"/>
    <w:pPr>
      <w:ind w:left="0"/>
      <w:contextualSpacing/>
    </w:pPr>
    <w:rPr>
      <w:sz w:val="18"/>
      <w:szCs w:val="18"/>
    </w:rPr>
  </w:style>
  <w:style w:type="paragraph" w:styleId="aa">
    <w:name w:val="caption"/>
    <w:basedOn w:val="a"/>
    <w:next w:val="a"/>
    <w:uiPriority w:val="35"/>
    <w:unhideWhenUsed/>
    <w:qFormat/>
    <w:rsid w:val="00917C6D"/>
    <w:pPr>
      <w:keepNext/>
      <w:keepLines/>
      <w:spacing w:before="120" w:after="200" w:line="240" w:lineRule="auto"/>
      <w:ind w:left="284"/>
      <w:contextualSpacing/>
      <w:jc w:val="center"/>
    </w:pPr>
    <w:rPr>
      <w:b/>
      <w:bCs/>
      <w:color w:val="4F81BD" w:themeColor="accent1"/>
    </w:rPr>
  </w:style>
  <w:style w:type="paragraph" w:customStyle="1" w:styleId="Tablenc">
    <w:name w:val="Table_nc"/>
    <w:basedOn w:val="a"/>
    <w:link w:val="TablencChar"/>
    <w:qFormat/>
    <w:rsid w:val="00917C6D"/>
    <w:pPr>
      <w:spacing w:line="240" w:lineRule="auto"/>
      <w:ind w:left="113"/>
    </w:pPr>
    <w:rPr>
      <w:sz w:val="20"/>
      <w:szCs w:val="20"/>
    </w:rPr>
  </w:style>
  <w:style w:type="character" w:customStyle="1" w:styleId="TablencChar">
    <w:name w:val="Table_nc Char"/>
    <w:basedOn w:val="a0"/>
    <w:link w:val="Tablenc"/>
    <w:rsid w:val="00917C6D"/>
    <w:rPr>
      <w:sz w:val="20"/>
      <w:szCs w:val="20"/>
    </w:rPr>
  </w:style>
  <w:style w:type="table" w:styleId="a8">
    <w:name w:val="Table Grid"/>
    <w:basedOn w:val="a1"/>
    <w:uiPriority w:val="59"/>
    <w:rsid w:val="00917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F6FF3"/>
    <w:rPr>
      <w:sz w:val="16"/>
      <w:szCs w:val="16"/>
    </w:rPr>
  </w:style>
  <w:style w:type="paragraph" w:styleId="ac">
    <w:name w:val="annotation text"/>
    <w:basedOn w:val="a"/>
    <w:link w:val="ad"/>
    <w:uiPriority w:val="99"/>
    <w:semiHidden/>
    <w:unhideWhenUsed/>
    <w:rsid w:val="00FF6FF3"/>
    <w:pPr>
      <w:spacing w:line="240" w:lineRule="auto"/>
    </w:pPr>
    <w:rPr>
      <w:sz w:val="20"/>
      <w:szCs w:val="20"/>
    </w:rPr>
  </w:style>
  <w:style w:type="character" w:customStyle="1" w:styleId="ad">
    <w:name w:val="טקסט הערה תו"/>
    <w:basedOn w:val="a0"/>
    <w:link w:val="ac"/>
    <w:uiPriority w:val="99"/>
    <w:semiHidden/>
    <w:rsid w:val="00FF6FF3"/>
    <w:rPr>
      <w:sz w:val="20"/>
      <w:szCs w:val="20"/>
    </w:rPr>
  </w:style>
  <w:style w:type="paragraph" w:styleId="ae">
    <w:name w:val="annotation subject"/>
    <w:basedOn w:val="ac"/>
    <w:next w:val="ac"/>
    <w:link w:val="af"/>
    <w:uiPriority w:val="99"/>
    <w:semiHidden/>
    <w:unhideWhenUsed/>
    <w:rsid w:val="00FF6FF3"/>
    <w:rPr>
      <w:b/>
      <w:bCs/>
    </w:rPr>
  </w:style>
  <w:style w:type="character" w:customStyle="1" w:styleId="af">
    <w:name w:val="נושא הערה תו"/>
    <w:basedOn w:val="ad"/>
    <w:link w:val="ae"/>
    <w:uiPriority w:val="99"/>
    <w:semiHidden/>
    <w:rsid w:val="00FF6FF3"/>
    <w:rPr>
      <w:b/>
      <w:bCs/>
      <w:sz w:val="20"/>
      <w:szCs w:val="20"/>
    </w:rPr>
  </w:style>
  <w:style w:type="paragraph" w:styleId="af0">
    <w:name w:val="Balloon Text"/>
    <w:basedOn w:val="a"/>
    <w:link w:val="af1"/>
    <w:uiPriority w:val="99"/>
    <w:semiHidden/>
    <w:unhideWhenUsed/>
    <w:rsid w:val="00FF6FF3"/>
    <w:pPr>
      <w:spacing w:line="240" w:lineRule="auto"/>
    </w:pPr>
    <w:rPr>
      <w:rFonts w:ascii="Tahoma" w:hAnsi="Tahoma" w:cs="Tahoma"/>
      <w:sz w:val="18"/>
      <w:szCs w:val="18"/>
    </w:rPr>
  </w:style>
  <w:style w:type="character" w:customStyle="1" w:styleId="af1">
    <w:name w:val="טקסט בלונים תו"/>
    <w:basedOn w:val="a0"/>
    <w:link w:val="af0"/>
    <w:uiPriority w:val="99"/>
    <w:semiHidden/>
    <w:rsid w:val="00FF6FF3"/>
    <w:rPr>
      <w:rFonts w:ascii="Tahoma" w:hAnsi="Tahoma" w:cs="Tahoma"/>
      <w:sz w:val="18"/>
      <w:szCs w:val="18"/>
    </w:rPr>
  </w:style>
  <w:style w:type="paragraph" w:styleId="af2">
    <w:name w:val="header"/>
    <w:basedOn w:val="a"/>
    <w:link w:val="af3"/>
    <w:uiPriority w:val="99"/>
    <w:unhideWhenUsed/>
    <w:rsid w:val="008152A5"/>
    <w:pPr>
      <w:tabs>
        <w:tab w:val="center" w:pos="4153"/>
        <w:tab w:val="right" w:pos="8306"/>
      </w:tabs>
      <w:spacing w:line="240" w:lineRule="auto"/>
    </w:pPr>
  </w:style>
  <w:style w:type="character" w:customStyle="1" w:styleId="af3">
    <w:name w:val="כותרת עליונה תו"/>
    <w:basedOn w:val="a0"/>
    <w:link w:val="af2"/>
    <w:uiPriority w:val="99"/>
    <w:rsid w:val="008152A5"/>
    <w:rPr>
      <w:sz w:val="24"/>
      <w:szCs w:val="24"/>
    </w:rPr>
  </w:style>
  <w:style w:type="paragraph" w:styleId="af4">
    <w:name w:val="footer"/>
    <w:basedOn w:val="a"/>
    <w:link w:val="af5"/>
    <w:uiPriority w:val="99"/>
    <w:unhideWhenUsed/>
    <w:rsid w:val="008152A5"/>
    <w:pPr>
      <w:tabs>
        <w:tab w:val="center" w:pos="4153"/>
        <w:tab w:val="right" w:pos="8306"/>
      </w:tabs>
      <w:spacing w:line="240" w:lineRule="auto"/>
    </w:pPr>
  </w:style>
  <w:style w:type="character" w:customStyle="1" w:styleId="af5">
    <w:name w:val="כותרת תחתונה תו"/>
    <w:basedOn w:val="a0"/>
    <w:link w:val="af4"/>
    <w:uiPriority w:val="99"/>
    <w:rsid w:val="008152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17618">
      <w:bodyDiv w:val="1"/>
      <w:marLeft w:val="0"/>
      <w:marRight w:val="0"/>
      <w:marTop w:val="0"/>
      <w:marBottom w:val="0"/>
      <w:divBdr>
        <w:top w:val="none" w:sz="0" w:space="0" w:color="auto"/>
        <w:left w:val="none" w:sz="0" w:space="0" w:color="auto"/>
        <w:bottom w:val="none" w:sz="0" w:space="0" w:color="auto"/>
        <w:right w:val="none" w:sz="0" w:space="0" w:color="auto"/>
      </w:divBdr>
    </w:div>
    <w:div w:id="1427651618">
      <w:bodyDiv w:val="1"/>
      <w:marLeft w:val="0"/>
      <w:marRight w:val="0"/>
      <w:marTop w:val="0"/>
      <w:marBottom w:val="0"/>
      <w:divBdr>
        <w:top w:val="none" w:sz="0" w:space="0" w:color="auto"/>
        <w:left w:val="none" w:sz="0" w:space="0" w:color="auto"/>
        <w:bottom w:val="none" w:sz="0" w:space="0" w:color="auto"/>
        <w:right w:val="none" w:sz="0" w:space="0" w:color="auto"/>
      </w:divBdr>
    </w:div>
    <w:div w:id="1827739329">
      <w:bodyDiv w:val="1"/>
      <w:marLeft w:val="0"/>
      <w:marRight w:val="0"/>
      <w:marTop w:val="0"/>
      <w:marBottom w:val="0"/>
      <w:divBdr>
        <w:top w:val="none" w:sz="0" w:space="0" w:color="auto"/>
        <w:left w:val="none" w:sz="0" w:space="0" w:color="auto"/>
        <w:bottom w:val="none" w:sz="0" w:space="0" w:color="auto"/>
        <w:right w:val="none" w:sz="0" w:space="0" w:color="auto"/>
      </w:divBdr>
    </w:div>
    <w:div w:id="20691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F1FE9-B204-480B-B7EA-80ACDDB091EB}"/>
</file>

<file path=customXml/itemProps2.xml><?xml version="1.0" encoding="utf-8"?>
<ds:datastoreItem xmlns:ds="http://schemas.openxmlformats.org/officeDocument/2006/customXml" ds:itemID="{49357FD9-79F9-4306-9A72-F4ED0C894C89}"/>
</file>

<file path=customXml/itemProps3.xml><?xml version="1.0" encoding="utf-8"?>
<ds:datastoreItem xmlns:ds="http://schemas.openxmlformats.org/officeDocument/2006/customXml" ds:itemID="{4AA8364D-412D-4116-8AC8-5C387876126B}"/>
</file>

<file path=customXml/itemProps4.xml><?xml version="1.0" encoding="utf-8"?>
<ds:datastoreItem xmlns:ds="http://schemas.openxmlformats.org/officeDocument/2006/customXml" ds:itemID="{D234CD63-DD03-47BE-89AD-3ACD743BCD68}"/>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6742</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2020-07-09T08:53:00Z</dcterms:created>
  <dcterms:modified xsi:type="dcterms:W3CDTF">2020-07-09T08:53:00Z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