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FB5E" w14:textId="77777777" w:rsidR="00EE4846" w:rsidRPr="00832BED" w:rsidRDefault="00EE4846">
      <w:pPr>
        <w:rPr>
          <w:rFonts w:asciiTheme="minorBidi" w:eastAsiaTheme="majorEastAsia" w:hAnsiTheme="minorBidi"/>
          <w:sz w:val="24"/>
          <w:szCs w:val="24"/>
          <w:rtl/>
          <w:lang w:bidi="ar-SA"/>
        </w:rPr>
      </w:pPr>
    </w:p>
    <w:tbl>
      <w:tblPr>
        <w:tblpPr w:leftFromText="180" w:rightFromText="180" w:bottomFromText="200" w:horzAnchor="margin" w:tblpXSpec="center" w:tblpY="-540"/>
        <w:bidiVisual/>
        <w:tblW w:w="8520" w:type="dxa"/>
        <w:tblLayout w:type="fixed"/>
        <w:tblLook w:val="04A0" w:firstRow="1" w:lastRow="0" w:firstColumn="1" w:lastColumn="0" w:noHBand="0" w:noVBand="1"/>
      </w:tblPr>
      <w:tblGrid>
        <w:gridCol w:w="2840"/>
        <w:gridCol w:w="2596"/>
        <w:gridCol w:w="3084"/>
      </w:tblGrid>
      <w:tr w:rsidR="006110FA" w:rsidRPr="00832BED" w14:paraId="0B281150" w14:textId="77777777" w:rsidTr="0024572E">
        <w:tc>
          <w:tcPr>
            <w:tcW w:w="2840" w:type="dxa"/>
            <w:vAlign w:val="center"/>
            <w:hideMark/>
          </w:tcPr>
          <w:p w14:paraId="1D0A1327" w14:textId="77777777" w:rsidR="00EE4846" w:rsidRPr="00832BED" w:rsidRDefault="00EE4846" w:rsidP="00EE4846">
            <w:pPr>
              <w:rPr>
                <w:rFonts w:asciiTheme="minorBidi" w:eastAsiaTheme="majorEastAsia" w:hAnsiTheme="minorBidi"/>
                <w:sz w:val="24"/>
                <w:szCs w:val="24"/>
              </w:rPr>
            </w:pPr>
            <w:r w:rsidRPr="00832BED">
              <w:rPr>
                <w:rFonts w:asciiTheme="minorBidi" w:eastAsiaTheme="majorEastAsia" w:hAnsiTheme="minorBidi"/>
                <w:sz w:val="24"/>
                <w:szCs w:val="24"/>
                <w:rtl/>
              </w:rPr>
              <w:t>בנק ישראל</w:t>
            </w:r>
          </w:p>
          <w:p w14:paraId="268D7604" w14:textId="77777777" w:rsidR="00EE4846" w:rsidRPr="00832BED" w:rsidRDefault="00EE4846" w:rsidP="00EE4846">
            <w:pPr>
              <w:rPr>
                <w:rFonts w:asciiTheme="minorBidi" w:eastAsiaTheme="majorEastAsia" w:hAnsiTheme="minorBidi"/>
                <w:sz w:val="24"/>
                <w:szCs w:val="24"/>
              </w:rPr>
            </w:pPr>
            <w:r w:rsidRPr="00832BED">
              <w:rPr>
                <w:rFonts w:asciiTheme="minorBidi" w:eastAsiaTheme="majorEastAsia" w:hAnsiTheme="minorBidi"/>
                <w:sz w:val="24"/>
                <w:szCs w:val="24"/>
                <w:rtl/>
              </w:rPr>
              <w:t>דוברות והסברה כלכלית</w:t>
            </w:r>
          </w:p>
        </w:tc>
        <w:tc>
          <w:tcPr>
            <w:tcW w:w="2596" w:type="dxa"/>
            <w:hideMark/>
          </w:tcPr>
          <w:p w14:paraId="1BF54FCC" w14:textId="77777777" w:rsidR="00EE4846" w:rsidRPr="00832BED" w:rsidRDefault="006110FA" w:rsidP="00EE4846">
            <w:pPr>
              <w:rPr>
                <w:rFonts w:asciiTheme="minorBidi" w:eastAsiaTheme="majorEastAsia" w:hAnsiTheme="minorBidi"/>
                <w:sz w:val="24"/>
                <w:szCs w:val="24"/>
              </w:rPr>
            </w:pPr>
            <w:r w:rsidRPr="00832BED">
              <w:rPr>
                <w:rFonts w:asciiTheme="minorBidi" w:hAnsiTheme="minorBidi"/>
                <w:noProof/>
              </w:rPr>
              <w:drawing>
                <wp:anchor distT="0" distB="0" distL="114300" distR="114300" simplePos="0" relativeHeight="251659264" behindDoc="0" locked="0" layoutInCell="1" allowOverlap="1" wp14:anchorId="778CC3FD" wp14:editId="6E47B0B3">
                  <wp:simplePos x="0" y="0"/>
                  <wp:positionH relativeFrom="column">
                    <wp:posOffset>142875</wp:posOffset>
                  </wp:positionH>
                  <wp:positionV relativeFrom="paragraph">
                    <wp:posOffset>4445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846" w:rsidRPr="00832BED">
              <w:rPr>
                <w:rFonts w:asciiTheme="minorBidi" w:eastAsiaTheme="majorEastAsia" w:hAnsiTheme="minorBidi"/>
                <w:sz w:val="24"/>
                <w:szCs w:val="24"/>
              </w:rPr>
              <w:tab/>
            </w:r>
          </w:p>
        </w:tc>
        <w:tc>
          <w:tcPr>
            <w:tcW w:w="3084" w:type="dxa"/>
            <w:vAlign w:val="center"/>
            <w:hideMark/>
          </w:tcPr>
          <w:tbl>
            <w:tblPr>
              <w:bidiVisual/>
              <w:tblW w:w="0" w:type="auto"/>
              <w:jc w:val="center"/>
              <w:tblLayout w:type="fixed"/>
              <w:tblLook w:val="04A0" w:firstRow="1" w:lastRow="0" w:firstColumn="1" w:lastColumn="0" w:noHBand="0" w:noVBand="1"/>
            </w:tblPr>
            <w:tblGrid>
              <w:gridCol w:w="3084"/>
            </w:tblGrid>
            <w:tr w:rsidR="006110FA" w:rsidRPr="00832BED" w14:paraId="4C552602" w14:textId="77777777" w:rsidTr="0024572E">
              <w:trPr>
                <w:jc w:val="center"/>
              </w:trPr>
              <w:tc>
                <w:tcPr>
                  <w:tcW w:w="3084" w:type="dxa"/>
                  <w:vAlign w:val="center"/>
                  <w:hideMark/>
                </w:tcPr>
                <w:p w14:paraId="2D02FE82" w14:textId="77777777" w:rsidR="00EE4846" w:rsidRPr="00832BED" w:rsidRDefault="00EE4846" w:rsidP="007F5E69">
                  <w:pPr>
                    <w:framePr w:hSpace="180" w:wrap="around" w:hAnchor="margin" w:xAlign="center" w:y="-540"/>
                    <w:jc w:val="right"/>
                    <w:rPr>
                      <w:rFonts w:asciiTheme="minorBidi" w:eastAsiaTheme="majorEastAsia" w:hAnsiTheme="minorBidi"/>
                      <w:sz w:val="24"/>
                      <w:szCs w:val="24"/>
                    </w:rPr>
                  </w:pPr>
                  <w:r w:rsidRPr="00832BED">
                    <w:rPr>
                      <w:rFonts w:asciiTheme="minorBidi" w:eastAsiaTheme="majorEastAsia" w:hAnsiTheme="minorBidi"/>
                      <w:sz w:val="24"/>
                      <w:szCs w:val="24"/>
                      <w:rtl/>
                    </w:rPr>
                    <w:t xml:space="preserve">‏ירושלים, </w:t>
                  </w:r>
                  <w:r w:rsidR="00920B9F" w:rsidRPr="00832BED">
                    <w:rPr>
                      <w:rFonts w:asciiTheme="minorBidi" w:eastAsiaTheme="majorEastAsia" w:hAnsiTheme="minorBidi"/>
                      <w:sz w:val="24"/>
                      <w:szCs w:val="24"/>
                      <w:rtl/>
                    </w:rPr>
                    <w:t>‏</w:t>
                  </w:r>
                  <w:r w:rsidR="006110FA" w:rsidRPr="00832BED">
                    <w:rPr>
                      <w:rFonts w:asciiTheme="minorBidi" w:eastAsiaTheme="majorEastAsia" w:hAnsiTheme="minorBidi"/>
                      <w:sz w:val="24"/>
                      <w:szCs w:val="24"/>
                      <w:rtl/>
                    </w:rPr>
                    <w:t>‏י"א שבט תשפ"ה</w:t>
                  </w:r>
                </w:p>
                <w:p w14:paraId="66EA79F2" w14:textId="0C52AC6A" w:rsidR="00EE4846" w:rsidRPr="00832BED" w:rsidRDefault="00EE4846" w:rsidP="007F5E69">
                  <w:pPr>
                    <w:framePr w:hSpace="180" w:wrap="around" w:hAnchor="margin" w:xAlign="center" w:y="-540"/>
                    <w:jc w:val="right"/>
                    <w:rPr>
                      <w:rFonts w:asciiTheme="minorBidi" w:eastAsiaTheme="majorEastAsia" w:hAnsiTheme="minorBidi"/>
                      <w:sz w:val="24"/>
                      <w:szCs w:val="24"/>
                    </w:rPr>
                  </w:pPr>
                  <w:r w:rsidRPr="00832BED">
                    <w:rPr>
                      <w:rFonts w:asciiTheme="minorBidi" w:eastAsiaTheme="majorEastAsia" w:hAnsiTheme="minorBidi"/>
                      <w:sz w:val="24"/>
                      <w:szCs w:val="24"/>
                      <w:rtl/>
                    </w:rPr>
                    <w:t>‏</w:t>
                  </w:r>
                  <w:r w:rsidR="00920B9F" w:rsidRPr="00832BED">
                    <w:rPr>
                      <w:rFonts w:asciiTheme="minorBidi" w:eastAsiaTheme="majorEastAsia" w:hAnsiTheme="minorBidi"/>
                      <w:sz w:val="24"/>
                      <w:szCs w:val="24"/>
                      <w:rtl/>
                    </w:rPr>
                    <w:t>‏</w:t>
                  </w:r>
                  <w:r w:rsidR="006110FA" w:rsidRPr="00832BED">
                    <w:rPr>
                      <w:rFonts w:asciiTheme="minorBidi" w:eastAsiaTheme="majorEastAsia" w:hAnsiTheme="minorBidi"/>
                      <w:sz w:val="24"/>
                      <w:szCs w:val="24"/>
                      <w:rtl/>
                    </w:rPr>
                    <w:t>‏</w:t>
                  </w:r>
                  <w:r w:rsidR="003C3506">
                    <w:rPr>
                      <w:rFonts w:asciiTheme="minorBidi" w:eastAsiaTheme="majorEastAsia" w:hAnsiTheme="minorBidi" w:hint="cs"/>
                      <w:sz w:val="24"/>
                      <w:szCs w:val="24"/>
                      <w:rtl/>
                    </w:rPr>
                    <w:t>02</w:t>
                  </w:r>
                  <w:r w:rsidR="006110FA" w:rsidRPr="00832BED">
                    <w:rPr>
                      <w:rFonts w:asciiTheme="minorBidi" w:eastAsiaTheme="majorEastAsia" w:hAnsiTheme="minorBidi"/>
                      <w:sz w:val="24"/>
                      <w:szCs w:val="24"/>
                      <w:rtl/>
                    </w:rPr>
                    <w:t xml:space="preserve"> </w:t>
                  </w:r>
                  <w:r w:rsidR="003C3506">
                    <w:rPr>
                      <w:rFonts w:asciiTheme="minorBidi" w:eastAsiaTheme="majorEastAsia" w:hAnsiTheme="minorBidi" w:hint="cs"/>
                      <w:sz w:val="24"/>
                      <w:szCs w:val="24"/>
                      <w:rtl/>
                    </w:rPr>
                    <w:t>מרץ</w:t>
                  </w:r>
                  <w:r w:rsidR="006110FA" w:rsidRPr="00832BED">
                    <w:rPr>
                      <w:rFonts w:asciiTheme="minorBidi" w:eastAsiaTheme="majorEastAsia" w:hAnsiTheme="minorBidi"/>
                      <w:sz w:val="24"/>
                      <w:szCs w:val="24"/>
                      <w:rtl/>
                    </w:rPr>
                    <w:t xml:space="preserve"> 2025</w:t>
                  </w:r>
                </w:p>
              </w:tc>
            </w:tr>
          </w:tbl>
          <w:p w14:paraId="79A0068C" w14:textId="77777777" w:rsidR="00EE4846" w:rsidRPr="00832BED" w:rsidRDefault="00EE4846" w:rsidP="00EE4846">
            <w:pPr>
              <w:rPr>
                <w:rFonts w:asciiTheme="minorBidi" w:eastAsiaTheme="majorEastAsia" w:hAnsiTheme="minorBidi"/>
                <w:sz w:val="24"/>
                <w:szCs w:val="24"/>
                <w:rtl/>
              </w:rPr>
            </w:pPr>
          </w:p>
        </w:tc>
      </w:tr>
    </w:tbl>
    <w:p w14:paraId="1B2CE5A2" w14:textId="77777777" w:rsidR="00EE4846" w:rsidRPr="00832BED" w:rsidRDefault="00832BED" w:rsidP="00EE4846">
      <w:pPr>
        <w:rPr>
          <w:rFonts w:asciiTheme="minorBidi" w:eastAsiaTheme="majorEastAsia" w:hAnsiTheme="minorBidi"/>
          <w:sz w:val="24"/>
          <w:szCs w:val="24"/>
          <w:rtl/>
        </w:rPr>
      </w:pPr>
      <w:r>
        <w:rPr>
          <w:rFonts w:asciiTheme="minorBidi" w:eastAsiaTheme="majorEastAsia" w:hAnsiTheme="minorBidi" w:hint="cs"/>
          <w:sz w:val="24"/>
          <w:szCs w:val="24"/>
          <w:rtl/>
          <w:lang w:bidi="ar-SA"/>
        </w:rPr>
        <w:t>إعلان للصحافة</w:t>
      </w:r>
      <w:r w:rsidR="00EE4846" w:rsidRPr="00832BED">
        <w:rPr>
          <w:rFonts w:asciiTheme="minorBidi" w:eastAsiaTheme="majorEastAsia" w:hAnsiTheme="minorBidi"/>
          <w:sz w:val="24"/>
          <w:szCs w:val="24"/>
          <w:rtl/>
        </w:rPr>
        <w:t>:</w:t>
      </w:r>
    </w:p>
    <w:p w14:paraId="2A93377E" w14:textId="77777777" w:rsidR="009420D2" w:rsidRPr="009420D2" w:rsidRDefault="009420D2" w:rsidP="009420D2">
      <w:pPr>
        <w:spacing w:after="200" w:line="360" w:lineRule="auto"/>
        <w:ind w:left="720"/>
        <w:contextualSpacing/>
        <w:jc w:val="center"/>
        <w:rPr>
          <w:rFonts w:asciiTheme="minorBidi" w:eastAsiaTheme="majorEastAsia" w:hAnsiTheme="minorBidi" w:cs="Arial"/>
          <w:b/>
          <w:bCs/>
          <w:sz w:val="28"/>
          <w:szCs w:val="28"/>
        </w:rPr>
      </w:pPr>
      <w:r w:rsidRPr="009420D2">
        <w:rPr>
          <w:rFonts w:asciiTheme="minorBidi" w:eastAsiaTheme="majorEastAsia" w:hAnsiTheme="minorBidi" w:cs="Arial"/>
          <w:b/>
          <w:bCs/>
          <w:sz w:val="28"/>
          <w:szCs w:val="28"/>
          <w:rtl/>
          <w:lang w:bidi="ar-SA"/>
        </w:rPr>
        <w:t>موقف بنك إسرائيل بشأن مخطط جديد للقطاع المصرفي</w:t>
      </w:r>
    </w:p>
    <w:p w14:paraId="47D02A68" w14:textId="77777777" w:rsidR="009420D2" w:rsidRDefault="009420D2" w:rsidP="009420D2">
      <w:pPr>
        <w:spacing w:after="200" w:line="360" w:lineRule="auto"/>
        <w:contextualSpacing/>
        <w:jc w:val="both"/>
        <w:rPr>
          <w:rFonts w:asciiTheme="minorBidi" w:eastAsiaTheme="majorEastAsia" w:hAnsiTheme="minorBidi" w:cs="Arial"/>
          <w:sz w:val="28"/>
          <w:szCs w:val="28"/>
          <w:rtl/>
        </w:rPr>
      </w:pPr>
    </w:p>
    <w:p w14:paraId="4F45B1BC" w14:textId="431CED80" w:rsidR="009420D2" w:rsidRPr="009420D2" w:rsidRDefault="009420D2" w:rsidP="009420D2">
      <w:pPr>
        <w:spacing w:after="200" w:line="360" w:lineRule="auto"/>
        <w:contextualSpacing/>
        <w:jc w:val="both"/>
        <w:rPr>
          <w:rFonts w:asciiTheme="minorBidi" w:eastAsiaTheme="majorEastAsia" w:hAnsiTheme="minorBidi" w:cs="Arial"/>
          <w:sz w:val="28"/>
          <w:szCs w:val="28"/>
        </w:rPr>
      </w:pPr>
      <w:bookmarkStart w:id="0" w:name="_GoBack"/>
      <w:r w:rsidRPr="009420D2">
        <w:rPr>
          <w:rFonts w:asciiTheme="minorBidi" w:eastAsiaTheme="majorEastAsia" w:hAnsiTheme="minorBidi" w:cs="Arial"/>
          <w:sz w:val="28"/>
          <w:szCs w:val="28"/>
          <w:rtl/>
          <w:lang w:bidi="ar-SA"/>
        </w:rPr>
        <w:t>منذ اندلاع حرب "سيوف الحديد"، قاد بنك إسرائيل خطوات مختلفة لدعم الأداء السليم للأسواق المالية. في هذا الإطار، بادر البنك، فور اندلاع الحرب، إلى بلورة مخطط مصرفي تبنّته المنظومة المصرفية، بهدف دعم النشاط المالي للفئات التي تأثرت بشكل خاص، بما في ذلك جنود الاحتياط، سكان خط المواجهة الذين تم إجلاؤهم، وعائلات المتضررين في الحرب. وقد تم تمديد هذا المخطط عدة مرات خلال الحرب، مع تحديث شروطه وفقًا للتطورات الجيوسياسية والتغيرات في احتياجات الفئات المختلفة.</w:t>
      </w:r>
    </w:p>
    <w:p w14:paraId="52CBDA29"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في ظل حالة عدم اليقين الجيوسياسية الحالية، والتحديات التي تفرضها على النشاط الاقتصادي، والربحية العالية التي تحققها البنوك في إسرائيل، يعرض بنك إسرائيل في هذا البيان المبادئ الأساسية لمخطط إضافي يرى أنه من المناسب أن تتبناه المنظومة المصرفية. من شأن تبني هذا المخطط أن يساهم في رفاهية الزبائن ويعزز ثقة الجمهور في المنظومة المصرفية.</w:t>
      </w:r>
    </w:p>
    <w:p w14:paraId="1D3ECC6F" w14:textId="77777777" w:rsidR="009420D2" w:rsidRDefault="009420D2" w:rsidP="009420D2">
      <w:pPr>
        <w:spacing w:after="200" w:line="360" w:lineRule="auto"/>
        <w:contextualSpacing/>
        <w:jc w:val="both"/>
        <w:rPr>
          <w:rFonts w:asciiTheme="minorBidi" w:eastAsiaTheme="majorEastAsia" w:hAnsiTheme="minorBidi" w:cs="Arial"/>
          <w:sz w:val="28"/>
          <w:szCs w:val="28"/>
          <w:rtl/>
        </w:rPr>
      </w:pPr>
    </w:p>
    <w:p w14:paraId="691A011B" w14:textId="29FE563B" w:rsidR="009420D2" w:rsidRPr="00502B4F" w:rsidRDefault="009420D2" w:rsidP="009420D2">
      <w:pPr>
        <w:spacing w:after="200" w:line="360" w:lineRule="auto"/>
        <w:contextualSpacing/>
        <w:jc w:val="both"/>
        <w:rPr>
          <w:rFonts w:asciiTheme="minorBidi" w:eastAsiaTheme="majorEastAsia" w:hAnsiTheme="minorBidi" w:cs="Arial"/>
          <w:b/>
          <w:bCs/>
          <w:sz w:val="28"/>
          <w:szCs w:val="28"/>
        </w:rPr>
      </w:pPr>
      <w:r w:rsidRPr="00502B4F">
        <w:rPr>
          <w:rFonts w:asciiTheme="minorBidi" w:eastAsiaTheme="majorEastAsia" w:hAnsiTheme="minorBidi" w:cs="Arial"/>
          <w:b/>
          <w:bCs/>
          <w:sz w:val="28"/>
          <w:szCs w:val="28"/>
          <w:rtl/>
          <w:lang w:bidi="ar-SA"/>
        </w:rPr>
        <w:t>المبادئ الأساسية للمخطط المقترح من قبل بنك إسرائيل:</w:t>
      </w:r>
    </w:p>
    <w:p w14:paraId="6E8D7100"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فترة سريان المخطط: كقاعدة عامة، يسري المخطط خلال عامي 2025 و2026، مع إمكانية تحديث الفترة في حالات معينة، مثل حدوث تغيير جوهري في حالة عدم اليقين الجيوسياسية أو في ربحية المنظومة المصرفية وظروف السوق التي تعمل بها.</w:t>
      </w:r>
    </w:p>
    <w:p w14:paraId="43350D5A"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4F0F7C">
        <w:rPr>
          <w:rFonts w:asciiTheme="minorBidi" w:eastAsiaTheme="majorEastAsia" w:hAnsiTheme="minorBidi" w:cs="Arial"/>
          <w:b/>
          <w:bCs/>
          <w:sz w:val="28"/>
          <w:szCs w:val="28"/>
          <w:rtl/>
          <w:lang w:bidi="ar-SA"/>
        </w:rPr>
        <w:t>إجمالي الميزانية السنوية للمخطط على مستوى المنظومة المصرفية:</w:t>
      </w:r>
      <w:r w:rsidRPr="009420D2">
        <w:rPr>
          <w:rFonts w:asciiTheme="minorBidi" w:eastAsiaTheme="majorEastAsia" w:hAnsiTheme="minorBidi" w:cs="Arial"/>
          <w:sz w:val="28"/>
          <w:szCs w:val="28"/>
          <w:rtl/>
          <w:lang w:bidi="ar-SA"/>
        </w:rPr>
        <w:t xml:space="preserve"> ضمن إطار المخطط، تخصص المنظومة المصرفية مبلغًا سنويًا إجماليًا قدره 1.5 مليار شيكل لتمويل تسهيلات مختلفة لزبائن القطاع الاستهلاكي. وإذا استمر المخطط لمدة عامين، فستصل تكلفته الإجمالية إلى 3 مليارات شيكل.</w:t>
      </w:r>
    </w:p>
    <w:p w14:paraId="654E1560"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يعكس المبلغ المقترح توازنًا مناسبًا بين الحاجة إلى تخصيص موارد لتقديم تسهيلات ملموسة تصل مباشرة إلى الزبائن، وبين الرغبة في عدم خلق تحديات فيما يتعلق بمتانة المنظومة المصرفية واستقرارها.</w:t>
      </w:r>
    </w:p>
    <w:p w14:paraId="7F97025A"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4F0F7C">
        <w:rPr>
          <w:rFonts w:asciiTheme="minorBidi" w:eastAsiaTheme="majorEastAsia" w:hAnsiTheme="minorBidi" w:cs="Arial"/>
          <w:b/>
          <w:bCs/>
          <w:sz w:val="28"/>
          <w:szCs w:val="28"/>
          <w:rtl/>
          <w:lang w:bidi="ar-SA"/>
        </w:rPr>
        <w:t>المبلغ السنوي المخصص لكل بنك:</w:t>
      </w:r>
      <w:r w:rsidRPr="009420D2">
        <w:rPr>
          <w:rFonts w:asciiTheme="minorBidi" w:eastAsiaTheme="majorEastAsia" w:hAnsiTheme="minorBidi" w:cs="Arial"/>
          <w:sz w:val="28"/>
          <w:szCs w:val="28"/>
          <w:rtl/>
          <w:lang w:bidi="ar-SA"/>
        </w:rPr>
        <w:t xml:space="preserve"> من إجمالي المبلغ السنوي البالغ 1.5 مليار شيكل، يمول كل بنك التسهيلات لزبائنه وفقًا لحصته السوقية كما هي في تاريخ نشر المخطط.</w:t>
      </w:r>
    </w:p>
    <w:p w14:paraId="5F4227E9" w14:textId="77777777" w:rsidR="009420D2" w:rsidRPr="004F0F7C" w:rsidRDefault="009420D2" w:rsidP="009420D2">
      <w:pPr>
        <w:spacing w:after="200" w:line="360" w:lineRule="auto"/>
        <w:contextualSpacing/>
        <w:jc w:val="both"/>
        <w:rPr>
          <w:rFonts w:asciiTheme="minorBidi" w:eastAsiaTheme="majorEastAsia" w:hAnsiTheme="minorBidi" w:cs="Arial"/>
          <w:b/>
          <w:bCs/>
          <w:sz w:val="28"/>
          <w:szCs w:val="28"/>
        </w:rPr>
      </w:pPr>
      <w:r w:rsidRPr="004F0F7C">
        <w:rPr>
          <w:rFonts w:asciiTheme="minorBidi" w:eastAsiaTheme="majorEastAsia" w:hAnsiTheme="minorBidi" w:cs="Arial"/>
          <w:b/>
          <w:bCs/>
          <w:sz w:val="28"/>
          <w:szCs w:val="28"/>
          <w:rtl/>
          <w:lang w:bidi="ar-SA"/>
        </w:rPr>
        <w:lastRenderedPageBreak/>
        <w:t>تتوزع التسهيلات المالية المقدمة لزبائن كل بنك ضمن سلال مختلفة على النحو التالي:</w:t>
      </w:r>
    </w:p>
    <w:p w14:paraId="0802012C"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تقديم فوائد أو مزايا تتعلق بالأرصدة الدائنة في الحساب الجاري، وتحسين ملموس في معدلات الفائدة المدفوعة على الودائع قصيرة الأجل.</w:t>
      </w:r>
    </w:p>
    <w:p w14:paraId="4FF39B32" w14:textId="25F1BE36"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تخفيض معدلات الفائدة على الأرصدة المدينة ("</w:t>
      </w:r>
      <w:r w:rsidR="00184BA5" w:rsidRPr="00184BA5">
        <w:rPr>
          <w:rFonts w:asciiTheme="minorBidi" w:eastAsiaTheme="majorEastAsia" w:hAnsiTheme="minorBidi" w:cs="Arial"/>
          <w:sz w:val="28"/>
          <w:szCs w:val="28"/>
          <w:rtl/>
          <w:lang w:bidi="ar-SA"/>
        </w:rPr>
        <w:t>فرط السحب</w:t>
      </w:r>
      <w:r w:rsidRPr="009420D2">
        <w:rPr>
          <w:rFonts w:asciiTheme="minorBidi" w:eastAsiaTheme="majorEastAsia" w:hAnsiTheme="minorBidi" w:cs="Arial"/>
          <w:sz w:val="28"/>
          <w:szCs w:val="28"/>
          <w:rtl/>
          <w:lang w:bidi="ar-SA"/>
        </w:rPr>
        <w:t>").</w:t>
      </w:r>
    </w:p>
    <w:p w14:paraId="4F95BF6E"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 xml:space="preserve">تحويل تلقائي للأموال، فوق حد أدنى محدد مسبقًا، من الحساب الجاري إلى مسارات تدر عائدًا (حسابات </w:t>
      </w:r>
      <w:r w:rsidRPr="009420D2">
        <w:rPr>
          <w:rFonts w:asciiTheme="minorBidi" w:eastAsiaTheme="majorEastAsia" w:hAnsiTheme="minorBidi" w:cs="Arial"/>
          <w:sz w:val="28"/>
          <w:szCs w:val="28"/>
        </w:rPr>
        <w:t>Sweep Account</w:t>
      </w:r>
      <w:r w:rsidRPr="009420D2">
        <w:rPr>
          <w:rFonts w:asciiTheme="minorBidi" w:eastAsiaTheme="majorEastAsia" w:hAnsiTheme="minorBidi" w:cs="Arial"/>
          <w:sz w:val="28"/>
          <w:szCs w:val="28"/>
          <w:rtl/>
          <w:lang w:bidi="ar-SA"/>
        </w:rPr>
        <w:t>).</w:t>
      </w:r>
    </w:p>
    <w:p w14:paraId="3EDDB8E0"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إعفاء من العمولات أو تخفيضات كبيرة لمجموعات سكانية محددة.</w:t>
      </w:r>
    </w:p>
    <w:p w14:paraId="5B0A4204"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يُترك لكل بنك القرار بشأن حجم المبلغ المخصص لكل نوع من التسهيلات، وفقًا لاعتباراته التجارية.</w:t>
      </w:r>
    </w:p>
    <w:p w14:paraId="339368B9"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556FC0">
        <w:rPr>
          <w:rFonts w:asciiTheme="minorBidi" w:eastAsiaTheme="majorEastAsia" w:hAnsiTheme="minorBidi" w:cs="Arial"/>
          <w:b/>
          <w:bCs/>
          <w:sz w:val="28"/>
          <w:szCs w:val="28"/>
          <w:rtl/>
          <w:lang w:bidi="ar-SA"/>
        </w:rPr>
        <w:t>الإفصاح والتقارير</w:t>
      </w:r>
      <w:r w:rsidRPr="009420D2">
        <w:rPr>
          <w:rFonts w:asciiTheme="minorBidi" w:eastAsiaTheme="majorEastAsia" w:hAnsiTheme="minorBidi" w:cs="Arial"/>
          <w:sz w:val="28"/>
          <w:szCs w:val="28"/>
          <w:rtl/>
          <w:lang w:bidi="ar-SA"/>
        </w:rPr>
        <w:t>: يُلزم كل بنك بنشر تفاصيل التسهيلات التي قدمها فعليًا ضمن تقاريره المالية، وفقًا لنموذج تقارير سيحدده المشرف على البنوك. وستخضع هذه التقارير للمراجعة من قبل هيئة الإشراف على البنوك.</w:t>
      </w:r>
    </w:p>
    <w:p w14:paraId="39254FCF"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يرى بنك إسرائيل أن تبني مخطط يستوفي المبادئ المذكورة أعلاه يغني عن الحاجة إلى فرض ضرائب محددة على المنظومة المصرفية، وكذلك عن إجراءات تشريعية تهدف إلى تشجيع تحويل الأموال من الحساب الجاري إلى مسارات تدر عائدًا، أو تعزيز انتقال تأثير سعر الفائدة الذي يحدده بنك إسرائيل إلى الودائع ذات الفائدة.</w:t>
      </w:r>
    </w:p>
    <w:p w14:paraId="4F36646B" w14:textId="38360E81"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ويدعو بنك إسرائيل المنظومة المصرفية إلى مواجهة التحديات الراهنة واعتماد المبادئ المقترحة لهذا المخطط.</w:t>
      </w:r>
    </w:p>
    <w:p w14:paraId="74B74624" w14:textId="77777777" w:rsidR="009420D2" w:rsidRPr="009420D2" w:rsidRDefault="009420D2" w:rsidP="009420D2">
      <w:pPr>
        <w:spacing w:after="200" w:line="360" w:lineRule="auto"/>
        <w:contextualSpacing/>
        <w:jc w:val="both"/>
        <w:rPr>
          <w:rFonts w:asciiTheme="minorBidi" w:eastAsiaTheme="majorEastAsia" w:hAnsiTheme="minorBidi" w:cs="Arial"/>
          <w:sz w:val="28"/>
          <w:szCs w:val="28"/>
        </w:rPr>
      </w:pPr>
      <w:r w:rsidRPr="009420D2">
        <w:rPr>
          <w:rFonts w:asciiTheme="minorBidi" w:eastAsiaTheme="majorEastAsia" w:hAnsiTheme="minorBidi" w:cs="Arial"/>
          <w:sz w:val="28"/>
          <w:szCs w:val="28"/>
          <w:rtl/>
          <w:lang w:bidi="ar-SA"/>
        </w:rPr>
        <w:t>بالتوازي مع طرح هذا المخطط الطوعي، يواصل بنك إسرائيل العمل على تعزيز المنافسة في المنظومة المالية من خلال إزالة العوائق، وتعزيز خطوات بنيوية وحملات توعوية. وقد بدأت بعض هذه الخطوات تؤتي ثمارها بالفعل من خلال تعزيز قوة الزبون، بينما ستنضج خطوات أخرى لاحقًا وستساهم بدورها في تعزيز المنافسة.</w:t>
      </w:r>
    </w:p>
    <w:bookmarkEnd w:id="0"/>
    <w:p w14:paraId="48D03BA3" w14:textId="77777777" w:rsidR="00116F0C" w:rsidRPr="009420D2" w:rsidRDefault="00116F0C" w:rsidP="009420D2">
      <w:pPr>
        <w:spacing w:after="200" w:line="360" w:lineRule="auto"/>
        <w:contextualSpacing/>
        <w:jc w:val="both"/>
        <w:rPr>
          <w:rFonts w:asciiTheme="minorBidi" w:hAnsiTheme="minorBidi"/>
          <w:sz w:val="24"/>
          <w:szCs w:val="24"/>
        </w:rPr>
      </w:pPr>
    </w:p>
    <w:sectPr w:rsidR="00116F0C" w:rsidRPr="009420D2" w:rsidSect="00B30CA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434B" w14:textId="77777777" w:rsidR="00B81C27" w:rsidRDefault="00B81C27" w:rsidP="00D8598E">
      <w:pPr>
        <w:spacing w:after="0" w:line="240" w:lineRule="auto"/>
      </w:pPr>
      <w:r>
        <w:separator/>
      </w:r>
    </w:p>
  </w:endnote>
  <w:endnote w:type="continuationSeparator" w:id="0">
    <w:p w14:paraId="2CE6BDA0" w14:textId="77777777" w:rsidR="00B81C27" w:rsidRDefault="00B81C27" w:rsidP="00D8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C344" w14:textId="77777777" w:rsidR="00D8598E" w:rsidRDefault="00D8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473D" w14:textId="77777777" w:rsidR="00D8598E" w:rsidRDefault="00D8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4A7C" w14:textId="77777777" w:rsidR="00D8598E" w:rsidRDefault="00D8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9C38" w14:textId="77777777" w:rsidR="00B81C27" w:rsidRDefault="00B81C27" w:rsidP="00D8598E">
      <w:pPr>
        <w:spacing w:after="0" w:line="240" w:lineRule="auto"/>
      </w:pPr>
      <w:r>
        <w:separator/>
      </w:r>
    </w:p>
  </w:footnote>
  <w:footnote w:type="continuationSeparator" w:id="0">
    <w:p w14:paraId="3D84F699" w14:textId="77777777" w:rsidR="00B81C27" w:rsidRDefault="00B81C27" w:rsidP="00D8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C830" w14:textId="77777777" w:rsidR="00D8598E" w:rsidRDefault="00D8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5A27" w14:textId="77777777" w:rsidR="00D8598E" w:rsidRDefault="00D8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E71D" w14:textId="77777777" w:rsidR="00D8598E" w:rsidRDefault="00D8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244"/>
    <w:multiLevelType w:val="hybridMultilevel"/>
    <w:tmpl w:val="D0144104"/>
    <w:lvl w:ilvl="0" w:tplc="18CEF1C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40C"/>
    <w:multiLevelType w:val="hybridMultilevel"/>
    <w:tmpl w:val="E5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35360"/>
    <w:multiLevelType w:val="hybridMultilevel"/>
    <w:tmpl w:val="8158A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BA5E95"/>
    <w:multiLevelType w:val="hybridMultilevel"/>
    <w:tmpl w:val="B82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35677"/>
    <w:multiLevelType w:val="hybridMultilevel"/>
    <w:tmpl w:val="C41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36297"/>
    <w:multiLevelType w:val="hybridMultilevel"/>
    <w:tmpl w:val="6332FB30"/>
    <w:lvl w:ilvl="0" w:tplc="80DAC3A0">
      <w:start w:val="20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01B18"/>
    <w:multiLevelType w:val="hybridMultilevel"/>
    <w:tmpl w:val="7C9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E2804"/>
    <w:multiLevelType w:val="hybridMultilevel"/>
    <w:tmpl w:val="9F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C"/>
    <w:rsid w:val="00116F0C"/>
    <w:rsid w:val="00184BA5"/>
    <w:rsid w:val="001966CF"/>
    <w:rsid w:val="00221A19"/>
    <w:rsid w:val="0026017C"/>
    <w:rsid w:val="002E6766"/>
    <w:rsid w:val="003718AD"/>
    <w:rsid w:val="003A2A5D"/>
    <w:rsid w:val="003C2E1A"/>
    <w:rsid w:val="003C3506"/>
    <w:rsid w:val="003D4B79"/>
    <w:rsid w:val="00462526"/>
    <w:rsid w:val="00495456"/>
    <w:rsid w:val="004F0F7C"/>
    <w:rsid w:val="00502B4F"/>
    <w:rsid w:val="0054188D"/>
    <w:rsid w:val="00556FC0"/>
    <w:rsid w:val="006110FA"/>
    <w:rsid w:val="006326FF"/>
    <w:rsid w:val="0070235A"/>
    <w:rsid w:val="00707451"/>
    <w:rsid w:val="00736380"/>
    <w:rsid w:val="007F5E69"/>
    <w:rsid w:val="00832BED"/>
    <w:rsid w:val="00904320"/>
    <w:rsid w:val="00920B9F"/>
    <w:rsid w:val="00934634"/>
    <w:rsid w:val="009420D2"/>
    <w:rsid w:val="009C4D23"/>
    <w:rsid w:val="00A3438B"/>
    <w:rsid w:val="00A54D23"/>
    <w:rsid w:val="00AA7945"/>
    <w:rsid w:val="00B30CA0"/>
    <w:rsid w:val="00B75FF3"/>
    <w:rsid w:val="00B81C27"/>
    <w:rsid w:val="00BE294D"/>
    <w:rsid w:val="00C02D48"/>
    <w:rsid w:val="00C10936"/>
    <w:rsid w:val="00C34632"/>
    <w:rsid w:val="00CD296C"/>
    <w:rsid w:val="00D11BBA"/>
    <w:rsid w:val="00D53941"/>
    <w:rsid w:val="00D8598E"/>
    <w:rsid w:val="00E41DD1"/>
    <w:rsid w:val="00E63FE7"/>
    <w:rsid w:val="00EC2F77"/>
    <w:rsid w:val="00EE4846"/>
    <w:rsid w:val="00EF462A"/>
    <w:rsid w:val="00F202FC"/>
    <w:rsid w:val="00FB4CE4"/>
    <w:rsid w:val="00FD5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9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98E"/>
  </w:style>
  <w:style w:type="paragraph" w:styleId="Footer">
    <w:name w:val="footer"/>
    <w:basedOn w:val="Normal"/>
    <w:link w:val="FooterChar"/>
    <w:uiPriority w:val="99"/>
    <w:unhideWhenUsed/>
    <w:rsid w:val="00D859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98E"/>
  </w:style>
  <w:style w:type="paragraph" w:styleId="BalloonText">
    <w:name w:val="Balloon Text"/>
    <w:basedOn w:val="Normal"/>
    <w:link w:val="BalloonTextChar"/>
    <w:uiPriority w:val="99"/>
    <w:semiHidden/>
    <w:unhideWhenUsed/>
    <w:rsid w:val="0026017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6017C"/>
    <w:rPr>
      <w:rFonts w:ascii="Tahoma" w:hAnsi="Tahoma" w:cs="Tahoma"/>
      <w:sz w:val="18"/>
      <w:szCs w:val="18"/>
    </w:rPr>
  </w:style>
  <w:style w:type="paragraph" w:customStyle="1" w:styleId="-">
    <w:name w:val="טקסט רגיל - תכנון מוניטרי"/>
    <w:basedOn w:val="Normal"/>
    <w:link w:val="-0"/>
    <w:qFormat/>
    <w:rsid w:val="00C34632"/>
    <w:pPr>
      <w:spacing w:after="120" w:line="360" w:lineRule="auto"/>
      <w:jc w:val="both"/>
    </w:pPr>
    <w:rPr>
      <w:rFonts w:cs="David"/>
      <w:szCs w:val="24"/>
    </w:rPr>
  </w:style>
  <w:style w:type="character" w:customStyle="1" w:styleId="-0">
    <w:name w:val="טקסט רגיל - תכנון מוניטרי תו"/>
    <w:basedOn w:val="DefaultParagraphFont"/>
    <w:link w:val="-"/>
    <w:rsid w:val="00C34632"/>
    <w:rPr>
      <w:rFonts w:cs="David"/>
      <w:szCs w:val="24"/>
    </w:rPr>
  </w:style>
  <w:style w:type="paragraph" w:styleId="ListParagraph">
    <w:name w:val="List Paragraph"/>
    <w:basedOn w:val="Normal"/>
    <w:link w:val="ListParagraphChar"/>
    <w:uiPriority w:val="34"/>
    <w:qFormat/>
    <w:rsid w:val="00920B9F"/>
    <w:pPr>
      <w:bidi w:val="0"/>
      <w:spacing w:after="0" w:line="240" w:lineRule="auto"/>
      <w:ind w:left="720"/>
      <w:contextualSpacing/>
    </w:pPr>
    <w:rPr>
      <w:rFonts w:ascii="Calibri" w:eastAsia="Calibri" w:hAnsi="Calibri" w:cs="Arial"/>
      <w:kern w:val="2"/>
      <w:sz w:val="24"/>
      <w:szCs w:val="24"/>
    </w:rPr>
  </w:style>
  <w:style w:type="character" w:customStyle="1" w:styleId="ListParagraphChar">
    <w:name w:val="List Paragraph Char"/>
    <w:link w:val="ListParagraph"/>
    <w:uiPriority w:val="34"/>
    <w:locked/>
    <w:rsid w:val="00920B9F"/>
    <w:rPr>
      <w:rFonts w:ascii="Calibri" w:eastAsia="Calibri" w:hAnsi="Calibri" w:cs="Arial"/>
      <w:kern w:val="2"/>
      <w:sz w:val="24"/>
      <w:szCs w:val="24"/>
    </w:rPr>
  </w:style>
  <w:style w:type="character" w:styleId="Strong">
    <w:name w:val="Strong"/>
    <w:basedOn w:val="DefaultParagraphFont"/>
    <w:uiPriority w:val="22"/>
    <w:qFormat/>
    <w:rsid w:val="00196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85DBA-10CC-4D86-AB79-DF28EC846C0E}">
  <ds:schemaRefs>
    <ds:schemaRef ds:uri="http://schemas.microsoft.com/office/2006/metadata/properties"/>
    <ds:schemaRef ds:uri="http://purl.org/dc/terms/"/>
    <ds:schemaRef ds:uri="http://schemas.microsoft.com/sharepoint/v3/field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593524C5-8BE1-41A7-B7C7-8F7108A8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E1EB0-BD00-4773-A2EF-0B817915F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2025-03-03T06:14:00Z</dcterms:created>
  <dcterms:modified xsi:type="dcterms:W3CDTF">2025-03-03T06:14:00Z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