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1047"/>
        <w:bidiVisual/>
        <w:tblW w:w="9072" w:type="dxa"/>
        <w:tblLayout w:type="fixed"/>
        <w:tblLook w:val="0000" w:firstRow="0" w:lastRow="0" w:firstColumn="0" w:lastColumn="0" w:noHBand="0" w:noVBand="0"/>
      </w:tblPr>
      <w:tblGrid>
        <w:gridCol w:w="3392"/>
        <w:gridCol w:w="2596"/>
        <w:gridCol w:w="3084"/>
      </w:tblGrid>
      <w:tr w:rsidR="00D4456E" w:rsidRPr="00AE664D" w:rsidTr="00D64C3E">
        <w:trPr>
          <w:cantSplit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56E" w:rsidRPr="00AE664D" w:rsidRDefault="00D4456E" w:rsidP="00D64C3E">
            <w:pPr>
              <w:spacing w:line="360" w:lineRule="auto"/>
              <w:rPr>
                <w:rFonts w:cs="David"/>
                <w:b/>
                <w:bCs/>
                <w:sz w:val="24"/>
                <w:szCs w:val="24"/>
              </w:rPr>
            </w:pPr>
            <w:r w:rsidRPr="00AE664D">
              <w:rPr>
                <w:rFonts w:cs="David"/>
                <w:b/>
                <w:bCs/>
                <w:sz w:val="24"/>
                <w:szCs w:val="24"/>
                <w:rtl/>
              </w:rPr>
              <w:t>בנק ישראל</w:t>
            </w:r>
          </w:p>
          <w:p w:rsidR="00D4456E" w:rsidRPr="00AE664D" w:rsidRDefault="00D4456E" w:rsidP="00D64C3E">
            <w:pPr>
              <w:spacing w:line="360" w:lineRule="auto"/>
              <w:ind w:right="-101"/>
              <w:rPr>
                <w:sz w:val="24"/>
                <w:szCs w:val="24"/>
              </w:rPr>
            </w:pPr>
            <w:r w:rsidRPr="00AE664D">
              <w:rPr>
                <w:rFonts w:cs="David"/>
                <w:sz w:val="24"/>
                <w:szCs w:val="24"/>
                <w:rtl/>
              </w:rPr>
              <w:t>דוברות והסברה כלכלית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D4456E" w:rsidRPr="00AE664D" w:rsidRDefault="00D4456E" w:rsidP="00D64C3E">
            <w:pPr>
              <w:spacing w:line="360" w:lineRule="auto"/>
              <w:rPr>
                <w:sz w:val="24"/>
                <w:szCs w:val="24"/>
              </w:rPr>
            </w:pPr>
            <w:r w:rsidRPr="00AE664D">
              <w:rPr>
                <w:noProof/>
              </w:rPr>
              <w:drawing>
                <wp:inline distT="0" distB="0" distL="0" distR="0" wp14:anchorId="6E2548A6" wp14:editId="2760EC7C">
                  <wp:extent cx="975360" cy="975360"/>
                  <wp:effectExtent l="0" t="0" r="0" b="0"/>
                  <wp:docPr id="1" name="Picture 1" descr="לוגו בנק ישראל" title="לוגו בנק ישרא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portals\DavWWWRoot\sites\boi\about\Mitug\DocList\Logo Bank of Israel 2 color\Logo Bank of Israel 2 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56E" w:rsidRPr="002D253E" w:rsidRDefault="00D4456E" w:rsidP="00D4456E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AE664D">
              <w:rPr>
                <w:rFonts w:cs="David" w:hint="eastAsia"/>
                <w:sz w:val="24"/>
                <w:szCs w:val="24"/>
                <w:rtl/>
              </w:rPr>
              <w:t>‏‏‏</w:t>
            </w:r>
            <w:r w:rsidRPr="00AE664D">
              <w:rPr>
                <w:rFonts w:cs="David" w:hint="cs"/>
                <w:sz w:val="24"/>
                <w:szCs w:val="24"/>
                <w:rtl/>
              </w:rPr>
              <w:t>‏</w:t>
            </w:r>
            <w:r>
              <w:rPr>
                <w:rFonts w:cs="David" w:hint="eastAsia"/>
                <w:sz w:val="24"/>
                <w:szCs w:val="24"/>
                <w:rtl/>
              </w:rPr>
              <w:t>‏‏</w:t>
            </w:r>
            <w:r>
              <w:rPr>
                <w:rFonts w:cs="David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sz w:val="24"/>
                <w:szCs w:val="24"/>
                <w:rtl/>
              </w:rPr>
              <w:t>ירושלים, כ"</w:t>
            </w:r>
            <w:r>
              <w:rPr>
                <w:rFonts w:cs="David" w:hint="cs"/>
                <w:sz w:val="24"/>
                <w:szCs w:val="24"/>
                <w:rtl/>
              </w:rPr>
              <w:t>ו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תשרי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ה</w:t>
            </w:r>
            <w:r>
              <w:rPr>
                <w:rFonts w:cs="David"/>
                <w:sz w:val="24"/>
                <w:szCs w:val="24"/>
                <w:rtl/>
              </w:rPr>
              <w:t>תשפ"</w:t>
            </w:r>
            <w:r>
              <w:rPr>
                <w:rFonts w:cs="David" w:hint="cs"/>
                <w:sz w:val="24"/>
                <w:szCs w:val="24"/>
                <w:rtl/>
              </w:rPr>
              <w:t>ד</w:t>
            </w:r>
            <w:proofErr w:type="spellEnd"/>
          </w:p>
          <w:p w:rsidR="00D4456E" w:rsidRPr="00AE664D" w:rsidRDefault="00D4456E" w:rsidP="00D4456E">
            <w:pPr>
              <w:spacing w:line="360" w:lineRule="auto"/>
              <w:rPr>
                <w:rFonts w:cs="David"/>
                <w:sz w:val="24"/>
                <w:szCs w:val="24"/>
              </w:rPr>
            </w:pPr>
            <w:r w:rsidRPr="002D253E">
              <w:rPr>
                <w:rFonts w:cs="David" w:hint="eastAsia"/>
                <w:sz w:val="24"/>
                <w:szCs w:val="24"/>
                <w:rtl/>
              </w:rPr>
              <w:t>‏‏</w:t>
            </w:r>
            <w:r w:rsidRPr="002D253E">
              <w:rPr>
                <w:rFonts w:cs="David" w:hint="cs"/>
                <w:sz w:val="24"/>
                <w:szCs w:val="24"/>
                <w:rtl/>
              </w:rPr>
              <w:t>‏‏</w:t>
            </w:r>
            <w:r w:rsidRPr="002D253E">
              <w:rPr>
                <w:rFonts w:cs="David" w:hint="eastAsia"/>
                <w:sz w:val="24"/>
                <w:szCs w:val="24"/>
                <w:rtl/>
              </w:rPr>
              <w:t>‏</w:t>
            </w:r>
            <w:r w:rsidRPr="002D253E">
              <w:rPr>
                <w:rFonts w:cs="David" w:hint="cs"/>
                <w:sz w:val="24"/>
                <w:szCs w:val="24"/>
                <w:rtl/>
              </w:rPr>
              <w:t>‏</w:t>
            </w:r>
            <w:r w:rsidRPr="002D253E">
              <w:rPr>
                <w:rFonts w:cs="David" w:hint="eastAsia"/>
                <w:sz w:val="24"/>
                <w:szCs w:val="24"/>
                <w:rtl/>
              </w:rPr>
              <w:t>‏‏</w:t>
            </w:r>
            <w:r w:rsidRPr="002D253E">
              <w:rPr>
                <w:rFonts w:cs="David" w:hint="cs"/>
                <w:sz w:val="24"/>
                <w:szCs w:val="24"/>
                <w:rtl/>
              </w:rPr>
              <w:t>‏</w:t>
            </w:r>
            <w:r>
              <w:rPr>
                <w:rFonts w:cs="David" w:hint="eastAsia"/>
                <w:sz w:val="24"/>
                <w:szCs w:val="24"/>
                <w:rtl/>
              </w:rPr>
              <w:t>‏‏</w:t>
            </w:r>
            <w:r>
              <w:rPr>
                <w:rFonts w:cs="David" w:hint="cs"/>
                <w:sz w:val="24"/>
                <w:szCs w:val="24"/>
                <w:rtl/>
              </w:rPr>
              <w:t>11</w:t>
            </w:r>
            <w:r>
              <w:rPr>
                <w:rFonts w:cs="David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sz w:val="24"/>
                <w:szCs w:val="24"/>
                <w:rtl/>
              </w:rPr>
              <w:t>באוקטובר</w:t>
            </w:r>
            <w:r>
              <w:rPr>
                <w:rFonts w:cs="David"/>
                <w:sz w:val="24"/>
                <w:szCs w:val="24"/>
                <w:rtl/>
              </w:rPr>
              <w:t>, 2023</w:t>
            </w:r>
          </w:p>
        </w:tc>
      </w:tr>
    </w:tbl>
    <w:p w:rsidR="00D4456E" w:rsidRDefault="00D4456E">
      <w:pPr>
        <w:rPr>
          <w:rFonts w:ascii="David" w:hAnsi="David" w:cs="David"/>
          <w:sz w:val="24"/>
          <w:szCs w:val="24"/>
          <w:rtl/>
        </w:rPr>
      </w:pPr>
    </w:p>
    <w:p w:rsidR="00915B24" w:rsidRPr="00D4456E" w:rsidRDefault="00915B24">
      <w:pPr>
        <w:rPr>
          <w:rFonts w:ascii="David" w:hAnsi="David" w:cs="David"/>
          <w:sz w:val="24"/>
          <w:szCs w:val="24"/>
          <w:rtl/>
        </w:rPr>
      </w:pPr>
      <w:r w:rsidRPr="00D4456E">
        <w:rPr>
          <w:rFonts w:ascii="David" w:hAnsi="David" w:cs="David"/>
          <w:sz w:val="24"/>
          <w:szCs w:val="24"/>
          <w:rtl/>
        </w:rPr>
        <w:t xml:space="preserve">הודעה לעיתונות: </w:t>
      </w:r>
    </w:p>
    <w:p w:rsidR="007A25C0" w:rsidRPr="00D4456E" w:rsidRDefault="00915B24" w:rsidP="00D4456E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D4456E">
        <w:rPr>
          <w:rFonts w:ascii="David" w:hAnsi="David" w:cs="David"/>
          <w:b/>
          <w:bCs/>
          <w:sz w:val="28"/>
          <w:szCs w:val="28"/>
          <w:rtl/>
        </w:rPr>
        <w:t>שימוש לרעה בכרטיסי אשראי ופרטי חשבון בנק של נפגעי המצב הבטחוני</w:t>
      </w:r>
    </w:p>
    <w:p w:rsidR="00915B24" w:rsidRPr="00D4456E" w:rsidRDefault="00915B24">
      <w:pPr>
        <w:rPr>
          <w:rFonts w:ascii="David" w:hAnsi="David" w:cs="David"/>
          <w:sz w:val="24"/>
          <w:szCs w:val="24"/>
          <w:rtl/>
        </w:rPr>
      </w:pPr>
    </w:p>
    <w:p w:rsidR="00915B24" w:rsidRPr="00B74546" w:rsidRDefault="007F3A3A" w:rsidP="007F3A3A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B74546">
        <w:rPr>
          <w:rFonts w:ascii="David" w:hAnsi="David" w:cs="David"/>
          <w:sz w:val="24"/>
          <w:szCs w:val="24"/>
          <w:rtl/>
        </w:rPr>
        <w:t>בעקבות</w:t>
      </w:r>
      <w:r w:rsidR="00915B24" w:rsidRPr="00B74546">
        <w:rPr>
          <w:rFonts w:ascii="David" w:hAnsi="David" w:cs="David"/>
          <w:sz w:val="24"/>
          <w:szCs w:val="24"/>
          <w:rtl/>
        </w:rPr>
        <w:t xml:space="preserve"> האירוע הבטחוני </w:t>
      </w:r>
      <w:r w:rsidRPr="00B74546">
        <w:rPr>
          <w:rFonts w:ascii="David" w:hAnsi="David" w:cs="David"/>
          <w:sz w:val="24"/>
          <w:szCs w:val="24"/>
          <w:rtl/>
        </w:rPr>
        <w:t xml:space="preserve">אנו עדים למקרים שבהם נעשה </w:t>
      </w:r>
      <w:r w:rsidR="00915B24" w:rsidRPr="00B74546">
        <w:rPr>
          <w:rFonts w:ascii="David" w:hAnsi="David" w:cs="David"/>
          <w:sz w:val="24"/>
          <w:szCs w:val="24"/>
          <w:rtl/>
        </w:rPr>
        <w:t>שימוש לרעה בכרטיסי אשראי ופרטי חשבון בנק. האירוע מטופל מתחילתו ע"י גורמי המקצוע בבנק ישראל</w:t>
      </w:r>
      <w:r w:rsidR="00D7320A" w:rsidRPr="00B74546">
        <w:rPr>
          <w:rFonts w:ascii="David" w:hAnsi="David" w:cs="David"/>
          <w:sz w:val="24"/>
          <w:szCs w:val="24"/>
          <w:rtl/>
        </w:rPr>
        <w:t>, לרבות צוות מיוחד בפיקוח על הבנקים,</w:t>
      </w:r>
      <w:r w:rsidR="00915B24" w:rsidRPr="00B74546">
        <w:rPr>
          <w:rFonts w:ascii="David" w:hAnsi="David" w:cs="David"/>
          <w:sz w:val="24"/>
          <w:szCs w:val="24"/>
          <w:rtl/>
        </w:rPr>
        <w:t xml:space="preserve"> </w:t>
      </w:r>
      <w:r w:rsidRPr="00B74546">
        <w:rPr>
          <w:rFonts w:ascii="David" w:hAnsi="David" w:cs="David"/>
          <w:sz w:val="24"/>
          <w:szCs w:val="24"/>
          <w:rtl/>
        </w:rPr>
        <w:t xml:space="preserve">בשיתוף </w:t>
      </w:r>
      <w:r w:rsidR="00915B24" w:rsidRPr="00B74546">
        <w:rPr>
          <w:rFonts w:ascii="David" w:hAnsi="David" w:cs="David"/>
          <w:sz w:val="24"/>
          <w:szCs w:val="24"/>
          <w:rtl/>
        </w:rPr>
        <w:t xml:space="preserve">גורמי הממשלה </w:t>
      </w:r>
      <w:r w:rsidRPr="00B74546">
        <w:rPr>
          <w:rFonts w:ascii="David" w:hAnsi="David" w:cs="David"/>
          <w:sz w:val="24"/>
          <w:szCs w:val="24"/>
          <w:rtl/>
        </w:rPr>
        <w:t>והביטחון</w:t>
      </w:r>
      <w:r w:rsidR="00915B24" w:rsidRPr="00B74546">
        <w:rPr>
          <w:rFonts w:ascii="David" w:hAnsi="David" w:cs="David"/>
          <w:sz w:val="24"/>
          <w:szCs w:val="24"/>
          <w:rtl/>
        </w:rPr>
        <w:t xml:space="preserve"> הרלוונטיים.</w:t>
      </w:r>
      <w:r w:rsidRPr="00B74546">
        <w:rPr>
          <w:rFonts w:ascii="David" w:hAnsi="David" w:cs="David"/>
          <w:sz w:val="24"/>
          <w:szCs w:val="24"/>
          <w:rtl/>
        </w:rPr>
        <w:t xml:space="preserve"> הטיפול באירוע מבוצע בצורה הבאה:</w:t>
      </w:r>
    </w:p>
    <w:p w:rsidR="00B74546" w:rsidRPr="00B74546" w:rsidRDefault="00B74546" w:rsidP="00E4254F">
      <w:pPr>
        <w:pStyle w:val="a3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B74546">
        <w:rPr>
          <w:rFonts w:ascii="David" w:hAnsi="David" w:cs="David"/>
          <w:b/>
          <w:bCs/>
          <w:sz w:val="24"/>
          <w:szCs w:val="24"/>
          <w:rtl/>
        </w:rPr>
        <w:t>כאשר ידוע היכן מנוהל החשבון או כרטיס האשראי של הנפגע</w:t>
      </w:r>
      <w:r w:rsidRPr="00B74546">
        <w:rPr>
          <w:rFonts w:ascii="David" w:hAnsi="David" w:cs="David"/>
          <w:sz w:val="24"/>
          <w:szCs w:val="24"/>
          <w:rtl/>
        </w:rPr>
        <w:t xml:space="preserve"> – מבוצעות פניות ע"י בני משפחה לבנק ולחברת כרטיסי האשראי הספציפית על מנת להקפיא את הפעילות בחשבון.  הפיקוח על הבנקים הנחה את הגופים המפוקחים ל</w:t>
      </w:r>
      <w:r w:rsidR="00C60092">
        <w:rPr>
          <w:rFonts w:ascii="David" w:hAnsi="David" w:cs="David" w:hint="cs"/>
          <w:sz w:val="24"/>
          <w:szCs w:val="24"/>
          <w:rtl/>
        </w:rPr>
        <w:t>פעול</w:t>
      </w:r>
      <w:r w:rsidRPr="00B74546">
        <w:rPr>
          <w:rFonts w:ascii="David" w:hAnsi="David" w:cs="David"/>
          <w:sz w:val="24"/>
          <w:szCs w:val="24"/>
          <w:rtl/>
        </w:rPr>
        <w:t xml:space="preserve"> במצב כזה להקפאת חשבון</w:t>
      </w:r>
      <w:bookmarkStart w:id="0" w:name="_GoBack"/>
      <w:bookmarkEnd w:id="0"/>
      <w:r w:rsidRPr="00B74546">
        <w:rPr>
          <w:rFonts w:ascii="David" w:hAnsi="David" w:cs="David"/>
          <w:sz w:val="24"/>
          <w:szCs w:val="24"/>
          <w:rtl/>
        </w:rPr>
        <w:t>, תוך הפעלת ניהול סיכונים נדרש וקיום תהליך זיהוי מהיר ומותאם למצב.</w:t>
      </w:r>
    </w:p>
    <w:p w:rsidR="00915B24" w:rsidRPr="00B74546" w:rsidRDefault="00915B24" w:rsidP="00986DB0">
      <w:pPr>
        <w:pStyle w:val="a3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B74546">
        <w:rPr>
          <w:rFonts w:ascii="David" w:hAnsi="David" w:cs="David"/>
          <w:b/>
          <w:bCs/>
          <w:sz w:val="24"/>
          <w:szCs w:val="24"/>
          <w:rtl/>
        </w:rPr>
        <w:t xml:space="preserve">כאשר לא ידוע היכן מנוהלת פעילות פיננסית של מי שנפגע </w:t>
      </w:r>
      <w:r w:rsidRPr="00B74546">
        <w:rPr>
          <w:rFonts w:ascii="David" w:hAnsi="David" w:cs="David"/>
          <w:sz w:val="24"/>
          <w:szCs w:val="24"/>
          <w:rtl/>
        </w:rPr>
        <w:t>–</w:t>
      </w:r>
      <w:r w:rsidR="00986DB0" w:rsidRPr="00B74546">
        <w:rPr>
          <w:rFonts w:ascii="David" w:hAnsi="David" w:cs="David"/>
          <w:sz w:val="24"/>
          <w:szCs w:val="24"/>
          <w:rtl/>
        </w:rPr>
        <w:t xml:space="preserve"> </w:t>
      </w:r>
      <w:r w:rsidRPr="00B74546">
        <w:rPr>
          <w:rFonts w:ascii="David" w:hAnsi="David" w:cs="David"/>
          <w:sz w:val="24"/>
          <w:szCs w:val="24"/>
          <w:rtl/>
        </w:rPr>
        <w:t xml:space="preserve">הפיקוח על הבנקים </w:t>
      </w:r>
      <w:r w:rsidR="005562E4" w:rsidRPr="00B74546">
        <w:rPr>
          <w:rFonts w:ascii="David" w:hAnsi="David" w:cs="David"/>
          <w:sz w:val="24"/>
          <w:szCs w:val="24"/>
          <w:rtl/>
        </w:rPr>
        <w:t xml:space="preserve">הקים </w:t>
      </w:r>
      <w:r w:rsidRPr="00B74546">
        <w:rPr>
          <w:rFonts w:ascii="David" w:hAnsi="David" w:cs="David"/>
          <w:sz w:val="24"/>
          <w:szCs w:val="24"/>
          <w:rtl/>
        </w:rPr>
        <w:t xml:space="preserve">צוות מיוחד לטיפול </w:t>
      </w:r>
      <w:r w:rsidR="005562E4" w:rsidRPr="00B74546">
        <w:rPr>
          <w:rFonts w:ascii="David" w:hAnsi="David" w:cs="David"/>
          <w:sz w:val="24"/>
          <w:szCs w:val="24"/>
          <w:rtl/>
        </w:rPr>
        <w:t>במצבים אלו. הציבור מתבקש לפנות במידת הצורך ל</w:t>
      </w:r>
      <w:r w:rsidRPr="00B74546">
        <w:rPr>
          <w:rFonts w:ascii="David" w:hAnsi="David" w:cs="David"/>
          <w:sz w:val="24"/>
          <w:szCs w:val="24"/>
          <w:rtl/>
        </w:rPr>
        <w:t xml:space="preserve">מוקד הפניות של הפיקוח בטלפון 9086* ו-02-6552680. </w:t>
      </w:r>
    </w:p>
    <w:p w:rsidR="00FE6C61" w:rsidRPr="00B74546" w:rsidRDefault="00FE6C61" w:rsidP="005562E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B74546">
        <w:rPr>
          <w:rFonts w:ascii="David" w:hAnsi="David" w:cs="David"/>
          <w:b/>
          <w:bCs/>
          <w:sz w:val="24"/>
          <w:szCs w:val="24"/>
          <w:rtl/>
        </w:rPr>
        <w:t>נ</w:t>
      </w:r>
      <w:r w:rsidR="007D5CC1" w:rsidRPr="00B74546">
        <w:rPr>
          <w:rFonts w:ascii="David" w:hAnsi="David" w:cs="David"/>
          <w:b/>
          <w:bCs/>
          <w:sz w:val="24"/>
          <w:szCs w:val="24"/>
          <w:rtl/>
        </w:rPr>
        <w:t xml:space="preserve">דגיש כי </w:t>
      </w:r>
      <w:r w:rsidR="00CC332B" w:rsidRPr="00B74546">
        <w:rPr>
          <w:rFonts w:ascii="David" w:hAnsi="David" w:cs="David"/>
          <w:b/>
          <w:bCs/>
          <w:sz w:val="24"/>
          <w:szCs w:val="24"/>
          <w:rtl/>
        </w:rPr>
        <w:t xml:space="preserve">בהתאם לחוק שירותי תשלום, </w:t>
      </w:r>
      <w:r w:rsidRPr="00B74546">
        <w:rPr>
          <w:rFonts w:ascii="David" w:hAnsi="David" w:cs="David"/>
          <w:b/>
          <w:bCs/>
          <w:sz w:val="24"/>
          <w:szCs w:val="24"/>
          <w:rtl/>
        </w:rPr>
        <w:t>כאשר נעשה שימוש לרעה</w:t>
      </w:r>
      <w:r w:rsidR="00CC332B" w:rsidRPr="00B74546">
        <w:rPr>
          <w:rFonts w:ascii="David" w:hAnsi="David" w:cs="David"/>
          <w:b/>
          <w:bCs/>
          <w:sz w:val="24"/>
          <w:szCs w:val="24"/>
          <w:rtl/>
        </w:rPr>
        <w:t xml:space="preserve"> באמצעי תשלום בידי</w:t>
      </w:r>
      <w:r w:rsidRPr="00B74546">
        <w:rPr>
          <w:rFonts w:ascii="David" w:hAnsi="David" w:cs="David"/>
          <w:b/>
          <w:bCs/>
          <w:sz w:val="24"/>
          <w:szCs w:val="24"/>
          <w:rtl/>
        </w:rPr>
        <w:t xml:space="preserve"> גורמים </w:t>
      </w:r>
      <w:proofErr w:type="spellStart"/>
      <w:r w:rsidRPr="00B74546">
        <w:rPr>
          <w:rFonts w:ascii="David" w:hAnsi="David" w:cs="David"/>
          <w:b/>
          <w:bCs/>
          <w:sz w:val="24"/>
          <w:szCs w:val="24"/>
          <w:rtl/>
        </w:rPr>
        <w:t>עויינים</w:t>
      </w:r>
      <w:proofErr w:type="spellEnd"/>
      <w:r w:rsidRPr="00B74546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7D5CC1" w:rsidRPr="00B74546">
        <w:rPr>
          <w:rFonts w:ascii="David" w:hAnsi="David" w:cs="David"/>
          <w:b/>
          <w:bCs/>
          <w:sz w:val="24"/>
          <w:szCs w:val="24"/>
          <w:rtl/>
        </w:rPr>
        <w:t xml:space="preserve">לגניבת </w:t>
      </w:r>
      <w:r w:rsidRPr="00B74546">
        <w:rPr>
          <w:rFonts w:ascii="David" w:hAnsi="David" w:cs="David"/>
          <w:b/>
          <w:bCs/>
          <w:sz w:val="24"/>
          <w:szCs w:val="24"/>
          <w:rtl/>
        </w:rPr>
        <w:t>כספי אזרחים</w:t>
      </w:r>
      <w:r w:rsidR="005562E4" w:rsidRPr="00B74546">
        <w:rPr>
          <w:rFonts w:ascii="David" w:hAnsi="David" w:cs="David"/>
          <w:b/>
          <w:bCs/>
          <w:sz w:val="24"/>
          <w:szCs w:val="24"/>
          <w:rtl/>
        </w:rPr>
        <w:t>,</w:t>
      </w:r>
      <w:r w:rsidRPr="00B74546">
        <w:rPr>
          <w:rFonts w:ascii="David" w:hAnsi="David" w:cs="David"/>
          <w:b/>
          <w:bCs/>
          <w:sz w:val="24"/>
          <w:szCs w:val="24"/>
          <w:rtl/>
        </w:rPr>
        <w:t xml:space="preserve"> כספם </w:t>
      </w:r>
      <w:r w:rsidR="005562E4" w:rsidRPr="00B74546">
        <w:rPr>
          <w:rFonts w:ascii="David" w:hAnsi="David" w:cs="David"/>
          <w:b/>
          <w:bCs/>
          <w:sz w:val="24"/>
          <w:szCs w:val="24"/>
          <w:rtl/>
        </w:rPr>
        <w:t xml:space="preserve">של הלקוחות </w:t>
      </w:r>
      <w:r w:rsidR="007D5CC1" w:rsidRPr="00B74546">
        <w:rPr>
          <w:rFonts w:ascii="David" w:hAnsi="David" w:cs="David"/>
          <w:b/>
          <w:bCs/>
          <w:sz w:val="24"/>
          <w:szCs w:val="24"/>
          <w:rtl/>
        </w:rPr>
        <w:t>מ</w:t>
      </w:r>
      <w:r w:rsidRPr="00B74546">
        <w:rPr>
          <w:rFonts w:ascii="David" w:hAnsi="David" w:cs="David"/>
          <w:b/>
          <w:bCs/>
          <w:sz w:val="24"/>
          <w:szCs w:val="24"/>
          <w:rtl/>
        </w:rPr>
        <w:t>ובטח ו</w:t>
      </w:r>
      <w:r w:rsidR="007D5CC1" w:rsidRPr="00B74546">
        <w:rPr>
          <w:rFonts w:ascii="David" w:hAnsi="David" w:cs="David"/>
          <w:b/>
          <w:bCs/>
          <w:sz w:val="24"/>
          <w:szCs w:val="24"/>
          <w:rtl/>
        </w:rPr>
        <w:t>י</w:t>
      </w:r>
      <w:r w:rsidRPr="00B74546">
        <w:rPr>
          <w:rFonts w:ascii="David" w:hAnsi="David" w:cs="David"/>
          <w:b/>
          <w:bCs/>
          <w:sz w:val="24"/>
          <w:szCs w:val="24"/>
          <w:rtl/>
        </w:rPr>
        <w:t>וחזר.</w:t>
      </w:r>
      <w:r w:rsidR="007D5CC1" w:rsidRPr="00B74546">
        <w:rPr>
          <w:rFonts w:ascii="David" w:hAnsi="David" w:cs="David"/>
          <w:b/>
          <w:bCs/>
          <w:sz w:val="24"/>
          <w:szCs w:val="24"/>
          <w:rtl/>
        </w:rPr>
        <w:t xml:space="preserve"> </w:t>
      </w:r>
    </w:p>
    <w:p w:rsidR="00986DB0" w:rsidRPr="00B74546" w:rsidRDefault="007F3A3A" w:rsidP="00986DB0">
      <w:p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B74546">
        <w:rPr>
          <w:rFonts w:ascii="David" w:hAnsi="David" w:cs="David"/>
          <w:sz w:val="24"/>
          <w:szCs w:val="24"/>
          <w:rtl/>
        </w:rPr>
        <w:t>הפיקוח על הבנקים</w:t>
      </w:r>
      <w:r w:rsidR="007D5CC1" w:rsidRPr="00B74546">
        <w:rPr>
          <w:rFonts w:ascii="David" w:hAnsi="David" w:cs="David"/>
          <w:sz w:val="24"/>
          <w:szCs w:val="24"/>
          <w:rtl/>
        </w:rPr>
        <w:t xml:space="preserve">, הבנקים המסחריים וחברות כרטיסי האשראי מבצעים ניטור שוטף ומעקב אחר האירוע וקוראים לציבור </w:t>
      </w:r>
      <w:r w:rsidRPr="00B74546">
        <w:rPr>
          <w:rFonts w:ascii="David" w:hAnsi="David" w:cs="David"/>
          <w:sz w:val="24"/>
          <w:szCs w:val="24"/>
          <w:rtl/>
        </w:rPr>
        <w:t>לפנות</w:t>
      </w:r>
      <w:r w:rsidR="007D5CC1" w:rsidRPr="00B74546">
        <w:rPr>
          <w:rFonts w:ascii="David" w:hAnsi="David" w:cs="David"/>
          <w:sz w:val="24"/>
          <w:szCs w:val="24"/>
          <w:rtl/>
        </w:rPr>
        <w:t xml:space="preserve"> לקבלת מענה וסיוע בנושאים אלו</w:t>
      </w:r>
      <w:r w:rsidRPr="00B74546">
        <w:rPr>
          <w:rFonts w:ascii="David" w:hAnsi="David" w:cs="David"/>
          <w:sz w:val="24"/>
          <w:szCs w:val="24"/>
          <w:rtl/>
        </w:rPr>
        <w:t xml:space="preserve"> במידת הצורך</w:t>
      </w:r>
      <w:r w:rsidR="007D5CC1" w:rsidRPr="00B74546">
        <w:rPr>
          <w:rFonts w:ascii="David" w:hAnsi="David" w:cs="David"/>
          <w:sz w:val="24"/>
          <w:szCs w:val="24"/>
          <w:rtl/>
        </w:rPr>
        <w:t>, בין אם מול הגוף הפיננסי שבו מתנהל החשבון</w:t>
      </w:r>
      <w:r w:rsidR="005562E4" w:rsidRPr="00B74546">
        <w:rPr>
          <w:rFonts w:ascii="David" w:hAnsi="David" w:cs="David"/>
          <w:sz w:val="24"/>
          <w:szCs w:val="24"/>
          <w:rtl/>
        </w:rPr>
        <w:t>,</w:t>
      </w:r>
      <w:r w:rsidR="007D5CC1" w:rsidRPr="00B74546">
        <w:rPr>
          <w:rFonts w:ascii="David" w:hAnsi="David" w:cs="David"/>
          <w:sz w:val="24"/>
          <w:szCs w:val="24"/>
          <w:rtl/>
        </w:rPr>
        <w:t xml:space="preserve"> ובין אם מול מוקד הפניות המיוחד של הפיקוח</w:t>
      </w:r>
      <w:r w:rsidRPr="00B74546">
        <w:rPr>
          <w:rFonts w:ascii="David" w:hAnsi="David" w:cs="David"/>
          <w:sz w:val="24"/>
          <w:szCs w:val="24"/>
          <w:rtl/>
        </w:rPr>
        <w:t xml:space="preserve"> על הבנקים</w:t>
      </w:r>
      <w:r w:rsidR="007D5CC1" w:rsidRPr="00B74546">
        <w:rPr>
          <w:rFonts w:ascii="David" w:hAnsi="David" w:cs="David"/>
          <w:sz w:val="24"/>
          <w:szCs w:val="24"/>
          <w:rtl/>
        </w:rPr>
        <w:t xml:space="preserve"> בטלפון 9086* ו-02-6552680.</w:t>
      </w:r>
      <w:r w:rsidR="00986DB0" w:rsidRPr="00B74546">
        <w:rPr>
          <w:rFonts w:ascii="David" w:hAnsi="David" w:cs="David"/>
          <w:sz w:val="24"/>
          <w:szCs w:val="24"/>
          <w:rtl/>
        </w:rPr>
        <w:t xml:space="preserve"> הפיקוח על הבנקים קורא למי שעולה אצלו החשש כי יתכן שיבוצע שימוש לרעה בכרטיס האשראי להודיע לגופים הפיננסיים כדי שיקפיאו פעילותם ולא יגרמו נזקים כספיים.</w:t>
      </w:r>
    </w:p>
    <w:p w:rsidR="00986DB0" w:rsidRPr="00B74546" w:rsidRDefault="00986DB0" w:rsidP="007F3A3A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5562E4" w:rsidRPr="00B74546" w:rsidRDefault="005562E4" w:rsidP="007F3A3A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B74546">
        <w:rPr>
          <w:rFonts w:ascii="David" w:hAnsi="David" w:cs="David"/>
          <w:sz w:val="24"/>
          <w:szCs w:val="24"/>
          <w:rtl/>
        </w:rPr>
        <w:t xml:space="preserve">לרשימת מוקדי פניות הציבור של הגופים המפוקחים: </w:t>
      </w:r>
    </w:p>
    <w:p w:rsidR="005562E4" w:rsidRPr="00B74546" w:rsidRDefault="00E4254F" w:rsidP="007F3A3A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hyperlink r:id="rId8" w:history="1">
        <w:r w:rsidR="005562E4" w:rsidRPr="00B74546">
          <w:rPr>
            <w:rStyle w:val="Hyperlink"/>
            <w:rFonts w:ascii="David" w:hAnsi="David" w:cs="David"/>
            <w:sz w:val="24"/>
            <w:szCs w:val="24"/>
          </w:rPr>
          <w:t>https://www.boi.org.il/information/public-enquiries-unit/36238</w:t>
        </w:r>
        <w:r w:rsidR="005562E4" w:rsidRPr="00B74546">
          <w:rPr>
            <w:rStyle w:val="Hyperlink"/>
            <w:rFonts w:ascii="David" w:hAnsi="David" w:cs="David"/>
            <w:sz w:val="24"/>
            <w:szCs w:val="24"/>
            <w:rtl/>
          </w:rPr>
          <w:t>/</w:t>
        </w:r>
      </w:hyperlink>
    </w:p>
    <w:p w:rsidR="005562E4" w:rsidRPr="00B74546" w:rsidRDefault="005562E4" w:rsidP="007F3A3A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FE6C61" w:rsidRPr="00B74546" w:rsidRDefault="00FE6C61" w:rsidP="00FE6C61">
      <w:pPr>
        <w:spacing w:line="360" w:lineRule="auto"/>
        <w:jc w:val="both"/>
        <w:rPr>
          <w:rFonts w:ascii="David" w:hAnsi="David" w:cs="David"/>
          <w:sz w:val="24"/>
          <w:szCs w:val="24"/>
        </w:rPr>
      </w:pPr>
    </w:p>
    <w:p w:rsidR="00915B24" w:rsidRPr="00B74546" w:rsidRDefault="00915B24" w:rsidP="00915B24">
      <w:pPr>
        <w:rPr>
          <w:rFonts w:ascii="David" w:hAnsi="David" w:cs="David"/>
          <w:sz w:val="24"/>
          <w:szCs w:val="24"/>
        </w:rPr>
      </w:pPr>
    </w:p>
    <w:sectPr w:rsidR="00915B24" w:rsidRPr="00B74546" w:rsidSect="006955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6D5" w:rsidRDefault="000756D5" w:rsidP="000756D5">
      <w:pPr>
        <w:spacing w:after="0" w:line="240" w:lineRule="auto"/>
      </w:pPr>
      <w:r>
        <w:separator/>
      </w:r>
    </w:p>
  </w:endnote>
  <w:endnote w:type="continuationSeparator" w:id="0">
    <w:p w:rsidR="000756D5" w:rsidRDefault="000756D5" w:rsidP="00075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6D5" w:rsidRDefault="000756D5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6D5" w:rsidRDefault="000756D5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6D5" w:rsidRDefault="000756D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6D5" w:rsidRDefault="000756D5" w:rsidP="000756D5">
      <w:pPr>
        <w:spacing w:after="0" w:line="240" w:lineRule="auto"/>
      </w:pPr>
      <w:r>
        <w:separator/>
      </w:r>
    </w:p>
  </w:footnote>
  <w:footnote w:type="continuationSeparator" w:id="0">
    <w:p w:rsidR="000756D5" w:rsidRDefault="000756D5" w:rsidP="00075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6D5" w:rsidRDefault="000756D5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6D5" w:rsidRDefault="000756D5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6D5" w:rsidRDefault="000756D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A78D1"/>
    <w:multiLevelType w:val="hybridMultilevel"/>
    <w:tmpl w:val="684ED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24"/>
    <w:rsid w:val="000006D2"/>
    <w:rsid w:val="00040A7F"/>
    <w:rsid w:val="00065B9B"/>
    <w:rsid w:val="000727FD"/>
    <w:rsid w:val="000756D5"/>
    <w:rsid w:val="00084B5A"/>
    <w:rsid w:val="000857B7"/>
    <w:rsid w:val="00095555"/>
    <w:rsid w:val="000A5329"/>
    <w:rsid w:val="000D2157"/>
    <w:rsid w:val="000D5445"/>
    <w:rsid w:val="000E7ED2"/>
    <w:rsid w:val="00100012"/>
    <w:rsid w:val="00113BC9"/>
    <w:rsid w:val="00115277"/>
    <w:rsid w:val="00115FEF"/>
    <w:rsid w:val="00151A07"/>
    <w:rsid w:val="00156135"/>
    <w:rsid w:val="00162DCC"/>
    <w:rsid w:val="00166DBC"/>
    <w:rsid w:val="00184E4C"/>
    <w:rsid w:val="0019079B"/>
    <w:rsid w:val="001A2670"/>
    <w:rsid w:val="001A53CE"/>
    <w:rsid w:val="001B05C6"/>
    <w:rsid w:val="001B28C8"/>
    <w:rsid w:val="001B5E43"/>
    <w:rsid w:val="001C194B"/>
    <w:rsid w:val="001C673E"/>
    <w:rsid w:val="001C7D79"/>
    <w:rsid w:val="001D5E62"/>
    <w:rsid w:val="001E0275"/>
    <w:rsid w:val="001E2886"/>
    <w:rsid w:val="001F2BE7"/>
    <w:rsid w:val="00223D37"/>
    <w:rsid w:val="00225BDF"/>
    <w:rsid w:val="00245BA3"/>
    <w:rsid w:val="00265657"/>
    <w:rsid w:val="00275FE8"/>
    <w:rsid w:val="00297F94"/>
    <w:rsid w:val="002A2E4C"/>
    <w:rsid w:val="002A3CC4"/>
    <w:rsid w:val="002B7877"/>
    <w:rsid w:val="002C05A5"/>
    <w:rsid w:val="002C754F"/>
    <w:rsid w:val="002D7AA8"/>
    <w:rsid w:val="002E5F96"/>
    <w:rsid w:val="00301F96"/>
    <w:rsid w:val="0031701E"/>
    <w:rsid w:val="0032792A"/>
    <w:rsid w:val="003552BD"/>
    <w:rsid w:val="00363269"/>
    <w:rsid w:val="003641E2"/>
    <w:rsid w:val="00370E6F"/>
    <w:rsid w:val="0037101B"/>
    <w:rsid w:val="00375149"/>
    <w:rsid w:val="003C2931"/>
    <w:rsid w:val="003F01E4"/>
    <w:rsid w:val="003F57B2"/>
    <w:rsid w:val="00407D90"/>
    <w:rsid w:val="004537A7"/>
    <w:rsid w:val="004561A3"/>
    <w:rsid w:val="00460DDF"/>
    <w:rsid w:val="004A120F"/>
    <w:rsid w:val="004A32D7"/>
    <w:rsid w:val="004C6182"/>
    <w:rsid w:val="004C7925"/>
    <w:rsid w:val="004F5E3C"/>
    <w:rsid w:val="005562E4"/>
    <w:rsid w:val="00567B1A"/>
    <w:rsid w:val="0057422C"/>
    <w:rsid w:val="005A52A2"/>
    <w:rsid w:val="005B7A80"/>
    <w:rsid w:val="005D5F2B"/>
    <w:rsid w:val="00632CD2"/>
    <w:rsid w:val="006344CC"/>
    <w:rsid w:val="00640309"/>
    <w:rsid w:val="00660075"/>
    <w:rsid w:val="006811C3"/>
    <w:rsid w:val="006907D5"/>
    <w:rsid w:val="0069557C"/>
    <w:rsid w:val="00715D7F"/>
    <w:rsid w:val="007172E4"/>
    <w:rsid w:val="00737090"/>
    <w:rsid w:val="00780795"/>
    <w:rsid w:val="00783F55"/>
    <w:rsid w:val="007916D5"/>
    <w:rsid w:val="0079406F"/>
    <w:rsid w:val="00797111"/>
    <w:rsid w:val="007A25C0"/>
    <w:rsid w:val="007A2A08"/>
    <w:rsid w:val="007B2299"/>
    <w:rsid w:val="007B2E35"/>
    <w:rsid w:val="007D5CC1"/>
    <w:rsid w:val="007F3A3A"/>
    <w:rsid w:val="00803D2A"/>
    <w:rsid w:val="008137A5"/>
    <w:rsid w:val="00832597"/>
    <w:rsid w:val="008371BA"/>
    <w:rsid w:val="008466F0"/>
    <w:rsid w:val="00850CC4"/>
    <w:rsid w:val="00886388"/>
    <w:rsid w:val="008B3199"/>
    <w:rsid w:val="008C4A46"/>
    <w:rsid w:val="008C706D"/>
    <w:rsid w:val="008E2484"/>
    <w:rsid w:val="008F0B52"/>
    <w:rsid w:val="008F617A"/>
    <w:rsid w:val="00914AC1"/>
    <w:rsid w:val="00915B24"/>
    <w:rsid w:val="00965C79"/>
    <w:rsid w:val="00984B1A"/>
    <w:rsid w:val="00986DB0"/>
    <w:rsid w:val="009A089E"/>
    <w:rsid w:val="009B2E19"/>
    <w:rsid w:val="009C6D0D"/>
    <w:rsid w:val="009E2FD2"/>
    <w:rsid w:val="00A06FDF"/>
    <w:rsid w:val="00A076E6"/>
    <w:rsid w:val="00A13844"/>
    <w:rsid w:val="00A6309F"/>
    <w:rsid w:val="00A678C6"/>
    <w:rsid w:val="00A730E0"/>
    <w:rsid w:val="00A8460D"/>
    <w:rsid w:val="00A92A3D"/>
    <w:rsid w:val="00AB37A4"/>
    <w:rsid w:val="00AC35CD"/>
    <w:rsid w:val="00AF1FA7"/>
    <w:rsid w:val="00B071B6"/>
    <w:rsid w:val="00B13490"/>
    <w:rsid w:val="00B70E6F"/>
    <w:rsid w:val="00B74546"/>
    <w:rsid w:val="00B91BF0"/>
    <w:rsid w:val="00BB6985"/>
    <w:rsid w:val="00BD0783"/>
    <w:rsid w:val="00BD17EF"/>
    <w:rsid w:val="00BF4F97"/>
    <w:rsid w:val="00C02512"/>
    <w:rsid w:val="00C25C86"/>
    <w:rsid w:val="00C36D00"/>
    <w:rsid w:val="00C463C1"/>
    <w:rsid w:val="00C46931"/>
    <w:rsid w:val="00C47A89"/>
    <w:rsid w:val="00C60092"/>
    <w:rsid w:val="00C73E6B"/>
    <w:rsid w:val="00C85D4E"/>
    <w:rsid w:val="00CA2ACF"/>
    <w:rsid w:val="00CB5C9F"/>
    <w:rsid w:val="00CB74C6"/>
    <w:rsid w:val="00CC332B"/>
    <w:rsid w:val="00CD11DB"/>
    <w:rsid w:val="00CD2037"/>
    <w:rsid w:val="00D004D1"/>
    <w:rsid w:val="00D06884"/>
    <w:rsid w:val="00D15579"/>
    <w:rsid w:val="00D4456E"/>
    <w:rsid w:val="00D45541"/>
    <w:rsid w:val="00D53BFE"/>
    <w:rsid w:val="00D7320A"/>
    <w:rsid w:val="00D747A1"/>
    <w:rsid w:val="00DC23E1"/>
    <w:rsid w:val="00DC727C"/>
    <w:rsid w:val="00DF4B57"/>
    <w:rsid w:val="00E22BAA"/>
    <w:rsid w:val="00E4254F"/>
    <w:rsid w:val="00E52D98"/>
    <w:rsid w:val="00E52DAA"/>
    <w:rsid w:val="00E566ED"/>
    <w:rsid w:val="00E731F0"/>
    <w:rsid w:val="00E84228"/>
    <w:rsid w:val="00ED67BE"/>
    <w:rsid w:val="00EF41BE"/>
    <w:rsid w:val="00F11065"/>
    <w:rsid w:val="00F40307"/>
    <w:rsid w:val="00F571F9"/>
    <w:rsid w:val="00F62B21"/>
    <w:rsid w:val="00FB3D7B"/>
    <w:rsid w:val="00FB6F6A"/>
    <w:rsid w:val="00FC67CB"/>
    <w:rsid w:val="00FD61EB"/>
    <w:rsid w:val="00FE3344"/>
    <w:rsid w:val="00FE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A08A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B2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C332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C332B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CC332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C332B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rsid w:val="00CC332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C332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CC332B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5562E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0756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c">
    <w:name w:val="כותרת עליונה תו"/>
    <w:basedOn w:val="a0"/>
    <w:link w:val="ab"/>
    <w:uiPriority w:val="99"/>
    <w:rsid w:val="000756D5"/>
  </w:style>
  <w:style w:type="paragraph" w:styleId="ad">
    <w:name w:val="footer"/>
    <w:basedOn w:val="a"/>
    <w:link w:val="ae"/>
    <w:uiPriority w:val="99"/>
    <w:unhideWhenUsed/>
    <w:rsid w:val="000756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e">
    <w:name w:val="כותרת תחתונה תו"/>
    <w:basedOn w:val="a0"/>
    <w:link w:val="ad"/>
    <w:uiPriority w:val="99"/>
    <w:rsid w:val="00075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i.org.il/information/public-enquiries-unit/36238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2023-10-11T10:31:00Z</dcterms:created>
  <dcterms:modified xsi:type="dcterms:W3CDTF">2023-10-11T10:52:00Z</dcterms:modified>
</cp:coreProperties>
</file>