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63" w:rsidRPr="004B42D8" w:rsidRDefault="005F6A8E">
      <w:pPr>
        <w:bidi/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</w:pPr>
      <w:r w:rsidRPr="004B42D8">
        <w:rPr>
          <w:rFonts w:ascii="David" w:eastAsia="Calibri" w:hAnsi="David" w:cs="David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59264" behindDoc="0" locked="0" layoutInCell="1" allowOverlap="1" wp14:anchorId="223999EB" wp14:editId="16D2822C">
            <wp:simplePos x="0" y="0"/>
            <wp:positionH relativeFrom="column">
              <wp:posOffset>2305050</wp:posOffset>
            </wp:positionH>
            <wp:positionV relativeFrom="paragraph">
              <wp:posOffset>-447675</wp:posOffset>
            </wp:positionV>
            <wp:extent cx="749935" cy="74993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2D8">
        <w:rPr>
          <w:rFonts w:ascii="David" w:eastAsia="Calibri" w:hAnsi="David" w:cs="David"/>
          <w:b/>
          <w:bCs/>
          <w:sz w:val="26"/>
          <w:szCs w:val="26"/>
          <w:rtl/>
          <w:lang w:eastAsia="en-US"/>
        </w:rPr>
        <w:t>בנק ישראל</w:t>
      </w:r>
      <w:r w:rsidRPr="004B42D8"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  <w:tab/>
      </w:r>
      <w:r w:rsidRPr="004B42D8"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  <w:tab/>
      </w:r>
      <w:r w:rsidRPr="004B42D8"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  <w:tab/>
      </w:r>
      <w:r w:rsidRPr="004B42D8"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  <w:tab/>
      </w:r>
      <w:r w:rsidRPr="004B42D8"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  <w:tab/>
      </w:r>
      <w:r w:rsidRPr="004B42D8"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  <w:tab/>
      </w:r>
      <w:r w:rsidRPr="004B42D8"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  <w:tab/>
      </w:r>
      <w:r w:rsidRPr="004B42D8"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  <w:tab/>
      </w:r>
      <w:r w:rsidRPr="004B42D8"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  <w:tab/>
        <w:t xml:space="preserve">       </w:t>
      </w:r>
      <w:r w:rsidRPr="004B42D8">
        <w:rPr>
          <w:rFonts w:ascii="David" w:eastAsia="Calibri" w:hAnsi="David" w:cs="David"/>
          <w:b/>
          <w:bCs/>
          <w:sz w:val="26"/>
          <w:szCs w:val="26"/>
          <w:rtl/>
          <w:lang w:eastAsia="en-US"/>
        </w:rPr>
        <w:t>מזכירות הוועדה המוניטרית</w:t>
      </w:r>
      <w:r w:rsidRPr="004B42D8">
        <w:rPr>
          <w:rFonts w:ascii="David" w:eastAsia="Calibri" w:hAnsi="David" w:cs="David"/>
          <w:sz w:val="24"/>
          <w:szCs w:val="24"/>
          <w:rtl/>
          <w:lang w:eastAsia="en-US"/>
        </w:rPr>
        <w:tab/>
      </w:r>
      <w:r w:rsidRPr="004B42D8">
        <w:rPr>
          <w:rFonts w:ascii="David" w:eastAsia="Calibri" w:hAnsi="David" w:cs="David"/>
          <w:sz w:val="24"/>
          <w:szCs w:val="24"/>
          <w:rtl/>
          <w:lang w:eastAsia="en-US"/>
        </w:rPr>
        <w:tab/>
      </w:r>
      <w:r w:rsidRPr="004B42D8">
        <w:rPr>
          <w:rFonts w:ascii="David" w:eastAsia="Calibri" w:hAnsi="David" w:cs="David"/>
          <w:sz w:val="24"/>
          <w:szCs w:val="24"/>
          <w:rtl/>
          <w:lang w:eastAsia="en-US"/>
        </w:rPr>
        <w:tab/>
      </w:r>
      <w:r w:rsidRPr="004B42D8">
        <w:rPr>
          <w:rFonts w:ascii="David" w:eastAsia="Calibri" w:hAnsi="David" w:cs="David"/>
          <w:sz w:val="24"/>
          <w:szCs w:val="24"/>
          <w:rtl/>
          <w:lang w:eastAsia="en-US"/>
        </w:rPr>
        <w:tab/>
      </w:r>
      <w:r w:rsidRPr="004B42D8">
        <w:rPr>
          <w:rFonts w:ascii="David" w:eastAsia="Calibri" w:hAnsi="David" w:cs="David"/>
          <w:sz w:val="24"/>
          <w:szCs w:val="24"/>
          <w:rtl/>
          <w:lang w:eastAsia="en-US"/>
        </w:rPr>
        <w:tab/>
      </w:r>
      <w:r w:rsidRPr="004B42D8">
        <w:rPr>
          <w:rFonts w:ascii="David" w:eastAsia="Calibri" w:hAnsi="David" w:cs="David"/>
          <w:sz w:val="24"/>
          <w:szCs w:val="24"/>
          <w:rtl/>
          <w:lang w:eastAsia="en-US"/>
        </w:rPr>
        <w:tab/>
        <w:t xml:space="preserve">     </w:t>
      </w:r>
    </w:p>
    <w:tbl>
      <w:tblPr>
        <w:tblStyle w:val="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0"/>
      </w:tblGrid>
      <w:tr w:rsidR="00844B63" w:rsidRPr="004B42D8" w:rsidTr="00E809D4">
        <w:trPr>
          <w:trHeight w:val="676"/>
        </w:trPr>
        <w:tc>
          <w:tcPr>
            <w:tcW w:w="8390" w:type="dxa"/>
            <w:tcBorders>
              <w:bottom w:val="single" w:sz="12" w:space="0" w:color="548DD4" w:themeColor="text2" w:themeTint="99"/>
            </w:tcBorders>
          </w:tcPr>
          <w:p w:rsidR="00E809D4" w:rsidRPr="004B42D8" w:rsidRDefault="00E809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844B63" w:rsidRPr="004B42D8" w:rsidRDefault="005F6A8E" w:rsidP="00B165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lang w:eastAsia="en-US" w:bidi="ar-SA"/>
              </w:rPr>
            </w:pPr>
            <w:r w:rsidRPr="004B42D8">
              <w:rPr>
                <w:rFonts w:ascii="David" w:hAnsi="David" w:cs="David"/>
                <w:b/>
                <w:bCs/>
                <w:sz w:val="28"/>
                <w:szCs w:val="28"/>
                <w:rtl/>
                <w:lang w:eastAsia="en-US"/>
              </w:rPr>
              <w:t>דיווח על הדיו</w:t>
            </w:r>
            <w:r w:rsidR="00B1658F" w:rsidRPr="004B42D8">
              <w:rPr>
                <w:rFonts w:ascii="David" w:hAnsi="David" w:cs="David"/>
                <w:b/>
                <w:bCs/>
                <w:sz w:val="28"/>
                <w:szCs w:val="28"/>
                <w:rtl/>
                <w:lang w:eastAsia="en-US"/>
              </w:rPr>
              <w:t>נים</w:t>
            </w:r>
            <w:r w:rsidRPr="004B42D8">
              <w:rPr>
                <w:rFonts w:ascii="David" w:hAnsi="David" w:cs="David"/>
                <w:b/>
                <w:bCs/>
                <w:sz w:val="28"/>
                <w:szCs w:val="28"/>
                <w:rtl/>
                <w:lang w:eastAsia="en-US"/>
              </w:rPr>
              <w:t xml:space="preserve"> המוניטרי</w:t>
            </w:r>
            <w:r w:rsidR="00B1658F" w:rsidRPr="004B42D8">
              <w:rPr>
                <w:rFonts w:ascii="David" w:hAnsi="David" w:cs="David"/>
                <w:b/>
                <w:bCs/>
                <w:sz w:val="28"/>
                <w:szCs w:val="28"/>
                <w:rtl/>
                <w:lang w:eastAsia="en-US"/>
              </w:rPr>
              <w:t>ים</w:t>
            </w:r>
            <w:r w:rsidRPr="004B42D8">
              <w:rPr>
                <w:rFonts w:ascii="David" w:hAnsi="David" w:cs="David"/>
                <w:b/>
                <w:bCs/>
                <w:sz w:val="28"/>
                <w:szCs w:val="28"/>
                <w:rtl/>
                <w:lang w:eastAsia="en-US"/>
              </w:rPr>
              <w:t xml:space="preserve"> שנער</w:t>
            </w:r>
            <w:r w:rsidR="00B1658F" w:rsidRPr="004B42D8">
              <w:rPr>
                <w:rFonts w:ascii="David" w:hAnsi="David" w:cs="David"/>
                <w:b/>
                <w:bCs/>
                <w:sz w:val="28"/>
                <w:szCs w:val="28"/>
                <w:rtl/>
                <w:lang w:eastAsia="en-US"/>
              </w:rPr>
              <w:t>כו</w:t>
            </w:r>
            <w:r w:rsidRPr="004B42D8">
              <w:rPr>
                <w:rFonts w:ascii="David" w:hAnsi="David" w:cs="David"/>
                <w:b/>
                <w:bCs/>
                <w:sz w:val="28"/>
                <w:szCs w:val="28"/>
                <w:rtl/>
                <w:lang w:eastAsia="en-US"/>
              </w:rPr>
              <w:t xml:space="preserve"> בבנק ישראל</w:t>
            </w:r>
          </w:p>
          <w:p w:rsidR="00844B63" w:rsidRPr="004B42D8" w:rsidRDefault="005F6A8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  <w:lang w:eastAsia="en-US"/>
              </w:rPr>
            </w:pPr>
            <w:r w:rsidRPr="004B42D8">
              <w:rPr>
                <w:rFonts w:ascii="David" w:hAnsi="David" w:cs="David"/>
                <w:b/>
                <w:bCs/>
                <w:sz w:val="28"/>
                <w:szCs w:val="28"/>
                <w:rtl/>
                <w:lang w:eastAsia="en-US"/>
              </w:rPr>
              <w:t>בנושא ניהול יתרות מטבע החוץ</w:t>
            </w:r>
          </w:p>
          <w:p w:rsidR="003C622B" w:rsidRPr="004B42D8" w:rsidRDefault="00DA0FC7" w:rsidP="000872DB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  <w:r w:rsidRPr="004B42D8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הקצאת הנכסים בסמן הוועדה המוניטרית </w:t>
            </w:r>
            <w:r w:rsidR="001A07F4" w:rsidRPr="004B42D8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לשנת </w:t>
            </w:r>
            <w:r w:rsidRPr="004B42D8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202</w:t>
            </w:r>
            <w:r w:rsidR="000872DB" w:rsidRPr="004B42D8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5</w:t>
            </w:r>
          </w:p>
        </w:tc>
      </w:tr>
      <w:tr w:rsidR="00844B63" w:rsidRPr="004B42D8" w:rsidTr="00E809D4">
        <w:trPr>
          <w:trHeight w:val="288"/>
        </w:trPr>
        <w:tc>
          <w:tcPr>
            <w:tcW w:w="8390" w:type="dxa"/>
            <w:tcBorders>
              <w:top w:val="single" w:sz="12" w:space="0" w:color="548DD4" w:themeColor="text2" w:themeTint="99"/>
            </w:tcBorders>
          </w:tcPr>
          <w:p w:rsidR="00844B63" w:rsidRPr="004B42D8" w:rsidRDefault="00844B63">
            <w:pPr>
              <w:spacing w:after="160" w:line="259" w:lineRule="auto"/>
              <w:jc w:val="center"/>
              <w:rPr>
                <w:rFonts w:ascii="David" w:hAnsi="David" w:cs="David"/>
                <w:sz w:val="8"/>
                <w:szCs w:val="8"/>
                <w:lang w:eastAsia="en-US"/>
              </w:rPr>
            </w:pPr>
          </w:p>
        </w:tc>
      </w:tr>
    </w:tbl>
    <w:p w:rsidR="00844B63" w:rsidRPr="004B42D8" w:rsidRDefault="00DA0FC7" w:rsidP="000872DB">
      <w:pPr>
        <w:pStyle w:val="2"/>
        <w:bidi/>
        <w:spacing w:before="0"/>
        <w:jc w:val="center"/>
        <w:rPr>
          <w:rFonts w:ascii="David" w:hAnsi="David" w:cs="David"/>
          <w:color w:val="auto"/>
          <w:rtl/>
          <w:lang w:eastAsia="en-US"/>
        </w:rPr>
      </w:pPr>
      <w:r w:rsidRPr="004B42D8">
        <w:rPr>
          <w:rFonts w:ascii="David" w:eastAsia="Calibri" w:hAnsi="David" w:cs="David"/>
          <w:b w:val="0"/>
          <w:bCs w:val="0"/>
          <w:color w:val="auto"/>
          <w:sz w:val="24"/>
          <w:szCs w:val="24"/>
          <w:rtl/>
          <w:lang w:eastAsia="en-US"/>
        </w:rPr>
        <w:t>הדיון התקיים ב-</w:t>
      </w:r>
      <w:r w:rsidR="000872DB" w:rsidRPr="004B42D8">
        <w:rPr>
          <w:rFonts w:ascii="David" w:eastAsia="Calibri" w:hAnsi="David" w:cs="David"/>
          <w:b w:val="0"/>
          <w:bCs w:val="0"/>
          <w:color w:val="auto"/>
          <w:sz w:val="24"/>
          <w:szCs w:val="24"/>
          <w:rtl/>
          <w:lang w:eastAsia="en-US"/>
        </w:rPr>
        <w:t>25 בדצמבר</w:t>
      </w:r>
      <w:r w:rsidRPr="004B42D8">
        <w:rPr>
          <w:rFonts w:ascii="David" w:eastAsia="Calibri" w:hAnsi="David" w:cs="David"/>
          <w:b w:val="0"/>
          <w:bCs w:val="0"/>
          <w:color w:val="auto"/>
          <w:sz w:val="24"/>
          <w:szCs w:val="24"/>
          <w:rtl/>
          <w:lang w:eastAsia="en-US"/>
        </w:rPr>
        <w:t xml:space="preserve"> </w:t>
      </w:r>
      <w:r w:rsidR="00053925" w:rsidRPr="004B42D8">
        <w:rPr>
          <w:rFonts w:ascii="David" w:eastAsia="Calibri" w:hAnsi="David" w:cs="David"/>
          <w:b w:val="0"/>
          <w:bCs w:val="0"/>
          <w:color w:val="auto"/>
          <w:sz w:val="24"/>
          <w:szCs w:val="24"/>
          <w:rtl/>
          <w:lang w:eastAsia="en-US"/>
        </w:rPr>
        <w:t>202</w:t>
      </w:r>
      <w:r w:rsidR="000872DB" w:rsidRPr="004B42D8">
        <w:rPr>
          <w:rFonts w:ascii="David" w:eastAsia="Calibri" w:hAnsi="David" w:cs="David"/>
          <w:b w:val="0"/>
          <w:bCs w:val="0"/>
          <w:color w:val="auto"/>
          <w:sz w:val="24"/>
          <w:szCs w:val="24"/>
          <w:rtl/>
          <w:lang w:eastAsia="en-US"/>
        </w:rPr>
        <w:t>4</w:t>
      </w:r>
      <w:r w:rsidRPr="004B42D8">
        <w:rPr>
          <w:rFonts w:ascii="David" w:eastAsia="Calibri" w:hAnsi="David" w:cs="David"/>
          <w:b w:val="0"/>
          <w:bCs w:val="0"/>
          <w:color w:val="auto"/>
          <w:sz w:val="24"/>
          <w:szCs w:val="24"/>
          <w:rtl/>
          <w:lang w:eastAsia="en-US"/>
        </w:rPr>
        <w:t xml:space="preserve">  </w:t>
      </w:r>
      <w:r w:rsidR="003C11FF" w:rsidRPr="003C11FF">
        <w:rPr>
          <w:rFonts w:ascii="David" w:hAnsi="David" w:cs="David" w:hint="cs"/>
          <w:b w:val="0"/>
          <w:bCs w:val="0"/>
          <w:color w:val="auto"/>
          <w:rtl/>
          <w:lang w:eastAsia="en-US"/>
        </w:rPr>
        <w:t>וב-1/1/2025</w:t>
      </w:r>
    </w:p>
    <w:p w:rsidR="00844B63" w:rsidRPr="004B42D8" w:rsidRDefault="005F6A8E">
      <w:pPr>
        <w:pStyle w:val="3"/>
        <w:bidi/>
        <w:spacing w:after="120"/>
        <w:rPr>
          <w:rFonts w:ascii="David" w:hAnsi="David" w:cs="David"/>
          <w:color w:val="auto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color w:val="auto"/>
          <w:sz w:val="24"/>
          <w:szCs w:val="24"/>
          <w:rtl/>
          <w:lang w:eastAsia="en-US"/>
        </w:rPr>
        <w:t>רקע:</w:t>
      </w:r>
    </w:p>
    <w:p w:rsidR="00173098" w:rsidRPr="004B42D8" w:rsidRDefault="00173098" w:rsidP="00173098">
      <w:pPr>
        <w:bidi/>
        <w:spacing w:after="1" w:line="290" w:lineRule="auto"/>
        <w:ind w:left="21" w:right="-10" w:hanging="9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מסגרת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יהול ההשקעה של תיק היתרות מתבססת על ש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 סמ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ים הממלאים תפקידים שו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ים: 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הסמן הבסיסי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וסמן הוועדה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. סמן הי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ו תיק רעיו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י, בר השקעה, הכולל מגוון רחב של</w:t>
      </w:r>
      <w:r w:rsidR="00882A28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כסים וב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וי על פי כללים ידועים וקבועים .השימוש בסמ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</w:t>
      </w:r>
      <w:r w:rsidR="00442CA5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ם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נועד למדידת הביצועים של החלטות ההשקעה, כפי שמתקבלות ע"י הוועדה המו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יטרית וחטיבת השווקים בהתאם לחלוקת הסמכויות בי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יהן.  </w:t>
      </w:r>
    </w:p>
    <w:p w:rsidR="00173098" w:rsidRPr="004B42D8" w:rsidRDefault="00173098" w:rsidP="00173098">
      <w:pPr>
        <w:bidi/>
        <w:spacing w:after="1" w:line="290" w:lineRule="auto"/>
        <w:ind w:left="21" w:right="-10" w:hanging="9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הסמן הבסיסי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מייצג הרכב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כסי שמר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י, בר השקעה, העומד בש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 היעדים הראשו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ים של מדי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יות השקעת היתרות: שמירה על כוח הק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ייה של היתרות 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יהולן ברמת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נזילות גבוהה וברמת סיכון 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מוכה. על מ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ת להשיג את מטרותיו, הסמן הבסיסי מורכב מאג"ח ממשלתיות של מטבעות הסמן המטבעי עם אריכות קצרה. 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 xml:space="preserve">  </w:t>
      </w:r>
    </w:p>
    <w:p w:rsidR="00173098" w:rsidRPr="004B42D8" w:rsidRDefault="00173098" w:rsidP="00173098">
      <w:pPr>
        <w:bidi/>
        <w:spacing w:after="1" w:line="290" w:lineRule="auto"/>
        <w:ind w:left="21" w:right="-10" w:hanging="9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הסמן הבסיסי מספק ק</w:t>
      </w:r>
      <w:r w:rsidRPr="004B42D8">
        <w:rPr>
          <w:rFonts w:ascii="David" w:eastAsia="Calibri" w:hAnsi="David" w:cs="David"/>
          <w:bCs/>
          <w:color w:val="000000"/>
          <w:sz w:val="24"/>
          <w:szCs w:val="24"/>
          <w:rtl/>
          <w:lang w:eastAsia="en-US"/>
        </w:rPr>
        <w:t>נ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ה מידה לביצועי החלטות הוועדה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–  בשל אופיו השמר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י, הסמן הבסיסי מייצג תיק חסר סיכון בר השקעה. לכן, התשואה העודפת של סמן הוועדה מעל תשואת סמן זה מייצגת את פרמיית הסיכון של סמן הוועדה.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 xml:space="preserve">  </w:t>
      </w:r>
    </w:p>
    <w:p w:rsidR="00173098" w:rsidRPr="004B42D8" w:rsidRDefault="00173098" w:rsidP="00173098">
      <w:pPr>
        <w:bidi/>
        <w:spacing w:after="1" w:line="290" w:lineRule="auto"/>
        <w:ind w:left="21" w:right="-10" w:hanging="9"/>
        <w:jc w:val="both"/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</w:pP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סמן הוועדה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הי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ו תיק רעיו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י, בר השקעה, המשקף את ההרכב האסטרטגי של ה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כסים בתיק היתרות, ה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בחר על ידי הוועדה המו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יטרית. הרכב ה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כסים בסמן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קבע במטרה להשיא את תשואת תיק היתרות בכפוף לפרופיל הסיכון ש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קבע על ידי הוועדה, תוך עמידה בש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 היעדים הראשו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ים של מדי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יות השקעת היתרות. המטרות המרכזיות של הסמן הן: 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(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lang w:eastAsia="en-US"/>
        </w:rPr>
        <w:t>1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)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לתרגם את ההעדפות ופרופיל הסיכון של הוועדה להקצאה אסטרטגית של ה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כסים, בכפוף לקווים המ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חים ועל בסיס הערכת הסביבה המקרו-כלכלית והפי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סית הצפויה; 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(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lang w:eastAsia="en-US"/>
        </w:rPr>
        <w:t>2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)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להתוות מסגרת ל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יהול תיק היתרות. בחירת הסמן קובעת למעשה את המאפיי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ים המרכזיים של תיק היתרות ובכללם, ההרכב </w:t>
      </w:r>
      <w:proofErr w:type="spellStart"/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המטבעי</w:t>
      </w:r>
      <w:proofErr w:type="spellEnd"/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, ההרכב </w:t>
      </w:r>
      <w:proofErr w:type="spellStart"/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ה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כסי</w:t>
      </w:r>
      <w:proofErr w:type="spellEnd"/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ואריכות המטרה לכל סמן מטבעי. חטיבת השווקים מ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הלת את ההשקעה בפועל של תיק היתרות במסגרת דרגות החופש ש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ית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ו לה על ידי הוועדה תוך עמידה בפרופיל הסיכון.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 xml:space="preserve"> 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לפיכך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, סמן הוועדה מספק ק</w:t>
      </w:r>
      <w:r w:rsidRPr="004B42D8">
        <w:rPr>
          <w:rFonts w:ascii="David" w:eastAsia="Calibri" w:hAnsi="David" w:cs="David"/>
          <w:bCs/>
          <w:color w:val="000000"/>
          <w:sz w:val="24"/>
          <w:szCs w:val="24"/>
          <w:rtl/>
          <w:lang w:eastAsia="en-US"/>
        </w:rPr>
        <w:t>נ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ה מידה להערכת הביצועים של מ</w:t>
      </w:r>
      <w:r w:rsidRPr="004B42D8">
        <w:rPr>
          <w:rFonts w:ascii="David" w:eastAsia="Calibri" w:hAnsi="David" w:cs="David"/>
          <w:bCs/>
          <w:color w:val="000000"/>
          <w:sz w:val="24"/>
          <w:szCs w:val="24"/>
          <w:rtl/>
          <w:lang w:eastAsia="en-US"/>
        </w:rPr>
        <w:t>נ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הלי התיק בפועל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.  </w:t>
      </w:r>
    </w:p>
    <w:p w:rsidR="00173098" w:rsidRPr="004B42D8" w:rsidRDefault="00173098" w:rsidP="00173098">
      <w:pPr>
        <w:bidi/>
        <w:spacing w:after="39" w:line="259" w:lineRule="auto"/>
        <w:ind w:right="3"/>
        <w:jc w:val="right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2"/>
          <w:lang w:eastAsia="en-US"/>
        </w:rPr>
        <w:t xml:space="preserve">  </w:t>
      </w:r>
    </w:p>
    <w:p w:rsidR="00173098" w:rsidRPr="004B42D8" w:rsidRDefault="00173098" w:rsidP="004B42D8">
      <w:pPr>
        <w:bidi/>
        <w:spacing w:after="53" w:line="290" w:lineRule="auto"/>
        <w:ind w:left="21" w:right="-10" w:hanging="9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תהליך בחירת ההרכב המומלץ של סמן הוועדה ל-</w:t>
      </w:r>
      <w:r w:rsidR="004B42D8">
        <w:rPr>
          <w:rFonts w:ascii="David" w:eastAsia="Calibri" w:hAnsi="David" w:cs="David"/>
          <w:color w:val="000000"/>
          <w:sz w:val="24"/>
          <w:szCs w:val="24"/>
          <w:lang w:eastAsia="en-US"/>
        </w:rPr>
        <w:t>2025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החל בהערכת הסביבה המקרו-כלכלית הצפויה. על בסיס הערכה זו החטיבה ב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תה שלושה תרחישים: בסיסי, אופטימי ופסימי. ב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יית 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התרחיש הבסיסי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התבצעה על סמך:  </w:t>
      </w:r>
    </w:p>
    <w:p w:rsidR="00173098" w:rsidRPr="004B42D8" w:rsidRDefault="00173098" w:rsidP="00173098">
      <w:pPr>
        <w:numPr>
          <w:ilvl w:val="0"/>
          <w:numId w:val="16"/>
        </w:numPr>
        <w:bidi/>
        <w:spacing w:after="93" w:line="259" w:lineRule="auto"/>
        <w:ind w:right="-5" w:hanging="361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יתוח 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תמו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ת המצב ה</w:t>
      </w:r>
      <w:r w:rsidRPr="004B42D8">
        <w:rPr>
          <w:rFonts w:ascii="David" w:eastAsia="Calibri" w:hAnsi="David" w:cs="David"/>
          <w:bCs/>
          <w:color w:val="000000"/>
          <w:sz w:val="28"/>
          <w:szCs w:val="24"/>
          <w:rtl/>
          <w:lang w:eastAsia="en-US"/>
        </w:rPr>
        <w:t>נ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וכחית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בכלכלה העולמית. </w:t>
      </w:r>
    </w:p>
    <w:p w:rsidR="00173098" w:rsidRPr="004B42D8" w:rsidRDefault="00173098" w:rsidP="00173098">
      <w:pPr>
        <w:numPr>
          <w:ilvl w:val="0"/>
          <w:numId w:val="16"/>
        </w:numPr>
        <w:bidi/>
        <w:spacing w:after="1" w:line="290" w:lineRule="auto"/>
        <w:ind w:right="-5" w:hanging="361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זיהוי 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 xml:space="preserve">הגורמים המרכזיים 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שצפויים לה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יע את הכלכלה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,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והערכת כיוון התפתחותם ומידת השפעתם בסבירות הגבוהה ביותר.  </w:t>
      </w:r>
    </w:p>
    <w:p w:rsidR="00173098" w:rsidRPr="004B42D8" w:rsidRDefault="00173098" w:rsidP="00173098">
      <w:pPr>
        <w:bidi/>
        <w:spacing w:after="93" w:line="259" w:lineRule="auto"/>
        <w:ind w:left="-3" w:hanging="10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ב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יית התרחישים החלופיים התבססה על העקרו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ות הבאים:  </w:t>
      </w:r>
    </w:p>
    <w:p w:rsidR="00173098" w:rsidRPr="004B42D8" w:rsidRDefault="00173098" w:rsidP="00173098">
      <w:pPr>
        <w:numPr>
          <w:ilvl w:val="0"/>
          <w:numId w:val="17"/>
        </w:numPr>
        <w:bidi/>
        <w:spacing w:after="93" w:line="259" w:lineRule="auto"/>
        <w:ind w:right="324" w:hanging="9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התרחישים 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גזרו מהסיכו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ים המרכזיים (כלפי מעלה/מטה) הגלומים בתרחיש הבסיסי . </w:t>
      </w:r>
    </w:p>
    <w:p w:rsidR="00173098" w:rsidRPr="004B42D8" w:rsidRDefault="00173098" w:rsidP="00173098">
      <w:pPr>
        <w:numPr>
          <w:ilvl w:val="0"/>
          <w:numId w:val="17"/>
        </w:numPr>
        <w:bidi/>
        <w:spacing w:after="39" w:line="259" w:lineRule="auto"/>
        <w:ind w:right="324" w:hanging="9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להתממשותם צפויה להיות השפעה 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יכרת על התשואה והסיכון של התיק. </w:t>
      </w:r>
    </w:p>
    <w:p w:rsidR="00173098" w:rsidRPr="004B42D8" w:rsidRDefault="00173098" w:rsidP="00173098">
      <w:pPr>
        <w:bidi/>
        <w:spacing w:after="36" w:line="259" w:lineRule="auto"/>
        <w:ind w:right="3"/>
        <w:jc w:val="right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2"/>
          <w:lang w:eastAsia="en-US"/>
        </w:rPr>
        <w:t xml:space="preserve">  </w:t>
      </w:r>
    </w:p>
    <w:p w:rsidR="00173098" w:rsidRPr="004B42D8" w:rsidRDefault="00173098" w:rsidP="00173098">
      <w:pPr>
        <w:bidi/>
        <w:spacing w:after="1" w:line="290" w:lineRule="auto"/>
        <w:ind w:left="21" w:right="-10" w:hanging="9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לאחר מכן החטיבה העריכה את הת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אים הפי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סיים הצפויים בשלושת התרחישים (שי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ויים בעקומי התשואות ובמרווחי האשראי, רווחיות החברות וכו') בהתבסס על מודלים פ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ימיים</w:t>
      </w:r>
      <w:r w:rsidRPr="004B42D8">
        <w:rPr>
          <w:rFonts w:ascii="David" w:eastAsia="Calibri" w:hAnsi="David" w:cs="David"/>
          <w:color w:val="000000"/>
          <w:sz w:val="24"/>
          <w:szCs w:val="24"/>
          <w:lang w:eastAsia="en-US"/>
        </w:rPr>
        <w:t>,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סקירות אסטרטגיות של בתי השקעות והערכות שיפוטיות. על בסיס כל אלה, החטיבה גזרה את התחזית לתשואות ההחזקה של ה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כסים השו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ים בכל אחד מהתרחישים.  </w:t>
      </w:r>
    </w:p>
    <w:p w:rsidR="00173098" w:rsidRPr="004B42D8" w:rsidRDefault="00173098" w:rsidP="00173098">
      <w:pPr>
        <w:bidi/>
        <w:spacing w:after="36" w:line="259" w:lineRule="auto"/>
        <w:ind w:right="3"/>
        <w:jc w:val="right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2"/>
          <w:lang w:eastAsia="en-US"/>
        </w:rPr>
        <w:t xml:space="preserve">  </w:t>
      </w:r>
    </w:p>
    <w:p w:rsidR="00173098" w:rsidRPr="004B42D8" w:rsidRDefault="00173098" w:rsidP="00505C02">
      <w:pPr>
        <w:bidi/>
        <w:spacing w:after="1" w:line="290" w:lineRule="auto"/>
        <w:ind w:left="21" w:right="-10" w:hanging="9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בהי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תן תחזית החטיבה לתשואות ה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כסים ובהי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תן הסיכון שלהם והמתאמים ב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יהם, החטיבה בח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ה הרכבים שו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ים של 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כסים המשיאים את התשואה של התיק עבור רמת הסיכון הרצויה. הרכב התיק המומלץ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בחר על בסיס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יתוח התוצאות, ובכלל זה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יתוחי רגישות, בחי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ת תרחישי קיצון והפעלת שיקול דעת. הרכב זה עומד ביעדים של מדי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יות ההשקעה</w:t>
      </w:r>
      <w:r w:rsidR="00505C02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,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</w:t>
      </w:r>
      <w:r w:rsidR="00505C02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במסגרת הקווים המנחים ו</w:t>
      </w:r>
      <w:r w:rsidR="00B75130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ב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כפ</w:t>
      </w:r>
      <w:r w:rsidR="00B75130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וף לפרופיל הסיכון שהוועדה קבעה</w:t>
      </w:r>
      <w:r w:rsidR="00505C02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, בהם: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</w:t>
      </w:r>
    </w:p>
    <w:p w:rsidR="00FC006C" w:rsidRPr="004B42D8" w:rsidRDefault="00FC006C" w:rsidP="00B75130">
      <w:pPr>
        <w:pStyle w:val="a3"/>
        <w:numPr>
          <w:ilvl w:val="0"/>
          <w:numId w:val="20"/>
        </w:numPr>
        <w:bidi/>
        <w:spacing w:after="39" w:line="259" w:lineRule="auto"/>
        <w:ind w:right="3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מגבלת ההשקעה במניות</w:t>
      </w:r>
      <w:r w:rsidR="00B75130"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עד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27% מסך היתרות;</w:t>
      </w:r>
    </w:p>
    <w:p w:rsidR="00FC006C" w:rsidRPr="004B42D8" w:rsidRDefault="00FC006C" w:rsidP="00B75130">
      <w:pPr>
        <w:pStyle w:val="a3"/>
        <w:numPr>
          <w:ilvl w:val="0"/>
          <w:numId w:val="20"/>
        </w:numPr>
        <w:bidi/>
        <w:spacing w:after="39" w:line="259" w:lineRule="auto"/>
        <w:ind w:right="3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מקסימום הסיכון, במונחי </w:t>
      </w:r>
      <w:r w:rsidRPr="004B42D8">
        <w:rPr>
          <w:rFonts w:ascii="David" w:eastAsia="Calibri" w:hAnsi="David" w:cs="David"/>
          <w:color w:val="000000"/>
          <w:sz w:val="24"/>
          <w:szCs w:val="22"/>
          <w:lang w:eastAsia="en-US"/>
        </w:rPr>
        <w:t>CVaR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900 נ.ב. לשנה;</w:t>
      </w:r>
    </w:p>
    <w:p w:rsidR="00FC006C" w:rsidRPr="004B42D8" w:rsidRDefault="00FC006C" w:rsidP="00B75130">
      <w:pPr>
        <w:pStyle w:val="a3"/>
        <w:numPr>
          <w:ilvl w:val="0"/>
          <w:numId w:val="20"/>
        </w:numPr>
        <w:bidi/>
        <w:spacing w:after="39" w:line="259" w:lineRule="auto"/>
        <w:ind w:right="3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מגבלת השקעה בנכסי סיכון (מניות ואג"ח קונצרני)</w:t>
      </w:r>
      <w:r w:rsidR="00B75130"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עד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35% מסך היתרות</w:t>
      </w:r>
      <w:r w:rsidR="00B75130"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;</w:t>
      </w:r>
    </w:p>
    <w:p w:rsidR="00FC006C" w:rsidRPr="004B42D8" w:rsidRDefault="00B75130" w:rsidP="00B75130">
      <w:pPr>
        <w:pStyle w:val="a3"/>
        <w:numPr>
          <w:ilvl w:val="0"/>
          <w:numId w:val="20"/>
        </w:numPr>
        <w:bidi/>
        <w:spacing w:after="39" w:line="259" w:lineRule="auto"/>
        <w:ind w:right="3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מגבלת </w:t>
      </w:r>
      <w:r w:rsidR="00FC006C"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השקעה באג"ח קונצרני </w:t>
      </w:r>
      <w:r w:rsidR="00FC006C" w:rsidRPr="004B42D8">
        <w:rPr>
          <w:rFonts w:ascii="David" w:eastAsia="Calibri" w:hAnsi="David" w:cs="David"/>
          <w:color w:val="000000"/>
          <w:sz w:val="24"/>
          <w:szCs w:val="22"/>
          <w:lang w:eastAsia="en-US"/>
        </w:rPr>
        <w:t>HY</w:t>
      </w:r>
      <w:r w:rsidR="00FC006C"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 xml:space="preserve"> 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עד 5% מסך היתרות.</w:t>
      </w:r>
    </w:p>
    <w:p w:rsidR="00173098" w:rsidRPr="004B42D8" w:rsidRDefault="00173098" w:rsidP="00173098">
      <w:pPr>
        <w:bidi/>
        <w:spacing w:after="1" w:line="290" w:lineRule="auto"/>
        <w:ind w:left="21" w:right="-10" w:hanging="9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הוועדה המו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יטרית בוח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ת את ההקצאה לפחות פעם בש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ה, וכן בכל עת שהיא רואה ל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כון, בהתאם להתפתחויות בשווקים.  </w:t>
      </w:r>
    </w:p>
    <w:p w:rsidR="00173098" w:rsidRPr="004B42D8" w:rsidRDefault="00173098" w:rsidP="00173098">
      <w:pPr>
        <w:bidi/>
        <w:rPr>
          <w:rFonts w:ascii="David" w:hAnsi="David" w:cs="David"/>
          <w:rtl/>
          <w:lang w:eastAsia="en-US"/>
        </w:rPr>
      </w:pPr>
    </w:p>
    <w:p w:rsidR="007B4F27" w:rsidRPr="004B42D8" w:rsidRDefault="007B4F27" w:rsidP="007B4F27">
      <w:pPr>
        <w:pStyle w:val="3"/>
        <w:bidi/>
        <w:spacing w:after="120"/>
        <w:rPr>
          <w:rFonts w:ascii="David" w:hAnsi="David" w:cs="David"/>
          <w:color w:val="auto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color w:val="auto"/>
          <w:sz w:val="24"/>
          <w:szCs w:val="24"/>
          <w:rtl/>
          <w:lang w:eastAsia="en-US"/>
        </w:rPr>
        <w:t>דיון:</w:t>
      </w:r>
    </w:p>
    <w:p w:rsidR="001A07F4" w:rsidRPr="004B42D8" w:rsidRDefault="00B27856" w:rsidP="001A07F4">
      <w:pPr>
        <w:bidi/>
        <w:spacing w:after="130" w:line="290" w:lineRule="auto"/>
        <w:ind w:left="21" w:right="-10" w:hanging="9"/>
        <w:jc w:val="both"/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חטיבת השווקים הציגה את</w:t>
      </w:r>
      <w:r w:rsidR="00E2097A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התחזית המאקרו כלכלית והפיננסית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</w:t>
      </w:r>
      <w:r w:rsidR="00E2097A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ו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את התחזית לתשואות הנכסים בסמן הוועדה</w:t>
      </w:r>
      <w:r w:rsidR="001A07F4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. </w:t>
      </w:r>
    </w:p>
    <w:p w:rsidR="00173098" w:rsidRPr="004B42D8" w:rsidRDefault="001A07F4" w:rsidP="004B42D8">
      <w:pPr>
        <w:bidi/>
        <w:spacing w:after="130" w:line="290" w:lineRule="auto"/>
        <w:ind w:left="21" w:right="-10" w:hanging="9"/>
        <w:jc w:val="both"/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להלן </w:t>
      </w:r>
      <w:r w:rsidR="00B27856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המלצת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חטיבת השווקים</w:t>
      </w:r>
      <w:r w:rsidR="00B27856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להרכב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הנכסים ב</w:t>
      </w:r>
      <w:r w:rsidR="00B27856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סמן הוועדה לשנת </w:t>
      </w:r>
      <w:r w:rsidR="004B42D8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2025</w:t>
      </w:r>
      <w:r w:rsidR="00B27856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:</w:t>
      </w:r>
    </w:p>
    <w:p w:rsidR="00805528" w:rsidRPr="004B42D8" w:rsidRDefault="00805528" w:rsidP="00A83E07">
      <w:pPr>
        <w:numPr>
          <w:ilvl w:val="0"/>
          <w:numId w:val="18"/>
        </w:numPr>
        <w:bidi/>
        <w:spacing w:after="24" w:line="259" w:lineRule="auto"/>
        <w:ind w:right="-5" w:hanging="359"/>
        <w:jc w:val="both"/>
        <w:rPr>
          <w:rFonts w:ascii="David" w:eastAsia="Calibri" w:hAnsi="David" w:cs="David"/>
          <w:color w:val="000000"/>
          <w:sz w:val="24"/>
          <w:szCs w:val="24"/>
          <w:lang w:eastAsia="en-US"/>
        </w:rPr>
      </w:pP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6</w:t>
      </w:r>
      <w:r w:rsidR="00A83E07">
        <w:rPr>
          <w:rFonts w:ascii="David" w:eastAsia="Calibri" w:hAnsi="David" w:cs="David" w:hint="cs"/>
          <w:b/>
          <w:bCs/>
          <w:color w:val="000000"/>
          <w:sz w:val="24"/>
          <w:szCs w:val="24"/>
          <w:rtl/>
          <w:lang w:eastAsia="en-US"/>
        </w:rPr>
        <w:t>7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% באג"ח ממשלתיות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במטבעות הסמן המטבעי עם אריכות של </w:t>
      </w:r>
      <w:r w:rsidR="009D0213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4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שנים בארה"ב, </w:t>
      </w:r>
      <w:r w:rsidR="009D0213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3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שנים באירופה ו-2</w:t>
      </w:r>
      <w:r w:rsidR="009D0213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.</w:t>
      </w:r>
      <w:r w:rsidR="000872DB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5</w:t>
      </w:r>
      <w:r w:rsidR="00B75130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שנים בשאר מטבעות הסמן. בסך הכל אריכות של </w:t>
      </w:r>
      <w:r w:rsidR="009D0213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3.5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שנים.</w:t>
      </w:r>
    </w:p>
    <w:p w:rsidR="00173098" w:rsidRPr="004B42D8" w:rsidRDefault="00173098" w:rsidP="00A83E07">
      <w:pPr>
        <w:numPr>
          <w:ilvl w:val="0"/>
          <w:numId w:val="18"/>
        </w:numPr>
        <w:bidi/>
        <w:spacing w:after="24" w:line="259" w:lineRule="auto"/>
        <w:ind w:right="-5" w:hanging="359"/>
        <w:jc w:val="both"/>
        <w:rPr>
          <w:rFonts w:ascii="David" w:eastAsia="Calibri" w:hAnsi="David" w:cs="David"/>
          <w:b/>
          <w:bCs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%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lang w:eastAsia="en-US"/>
        </w:rPr>
        <w:t>2</w:t>
      </w:r>
      <w:r w:rsidR="00A83E07">
        <w:rPr>
          <w:rFonts w:ascii="David" w:eastAsia="Calibri" w:hAnsi="David" w:cs="David"/>
          <w:b/>
          <w:bCs/>
          <w:color w:val="000000"/>
          <w:sz w:val="24"/>
          <w:szCs w:val="24"/>
          <w:lang w:eastAsia="en-US"/>
        </w:rPr>
        <w:t>3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 xml:space="preserve"> 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ב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מ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 xml:space="preserve">יות. </w:t>
      </w:r>
      <w:r w:rsidRPr="004B42D8">
        <w:rPr>
          <w:rFonts w:ascii="David" w:hAnsi="David" w:cs="David"/>
          <w:b/>
          <w:bCs/>
          <w:color w:val="000000"/>
          <w:sz w:val="24"/>
          <w:szCs w:val="24"/>
          <w:rtl/>
          <w:lang w:eastAsia="en-US"/>
        </w:rPr>
        <w:t xml:space="preserve"> </w:t>
      </w:r>
    </w:p>
    <w:p w:rsidR="00805528" w:rsidRPr="004B42D8" w:rsidRDefault="00A83E07" w:rsidP="00A83E07">
      <w:pPr>
        <w:numPr>
          <w:ilvl w:val="0"/>
          <w:numId w:val="18"/>
        </w:numPr>
        <w:bidi/>
        <w:spacing w:after="24" w:line="259" w:lineRule="auto"/>
        <w:ind w:right="-5" w:hanging="359"/>
        <w:jc w:val="both"/>
        <w:rPr>
          <w:rFonts w:ascii="David" w:eastAsia="Calibri" w:hAnsi="David" w:cs="David"/>
          <w:color w:val="000000"/>
          <w:sz w:val="24"/>
          <w:szCs w:val="24"/>
          <w:lang w:eastAsia="en-US"/>
        </w:rPr>
      </w:pPr>
      <w:r>
        <w:rPr>
          <w:rFonts w:ascii="David" w:eastAsia="Calibri" w:hAnsi="David" w:cs="David" w:hint="cs"/>
          <w:b/>
          <w:bCs/>
          <w:color w:val="000000"/>
          <w:sz w:val="24"/>
          <w:szCs w:val="24"/>
          <w:rtl/>
          <w:lang w:eastAsia="en-US"/>
        </w:rPr>
        <w:t>9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 xml:space="preserve">% באג"ח </w:t>
      </w:r>
      <w:proofErr w:type="spellStart"/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קו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2"/>
          <w:rtl/>
          <w:lang w:eastAsia="en-US"/>
        </w:rPr>
        <w:t>נ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צר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2"/>
          <w:rtl/>
          <w:lang w:eastAsia="en-US"/>
        </w:rPr>
        <w:t>נ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יות</w:t>
      </w:r>
      <w:proofErr w:type="spellEnd"/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 xml:space="preserve"> בדירוג השקעתי</w:t>
      </w:r>
      <w:r w:rsidR="00805528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, מתוכם 6% שנסחרות בשוק האמריקאי ו-</w:t>
      </w:r>
      <w:r>
        <w:rPr>
          <w:rFonts w:ascii="David" w:eastAsia="Calibri" w:hAnsi="David" w:cs="David" w:hint="cs"/>
          <w:color w:val="000000"/>
          <w:sz w:val="24"/>
          <w:szCs w:val="24"/>
          <w:rtl/>
          <w:lang w:eastAsia="en-US"/>
        </w:rPr>
        <w:t>3</w:t>
      </w:r>
      <w:r w:rsidR="00805528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% שנסחרות בשוק האירופי.</w:t>
      </w:r>
    </w:p>
    <w:p w:rsidR="00070BD7" w:rsidRPr="004B42D8" w:rsidRDefault="00A83E07" w:rsidP="00187CED">
      <w:pPr>
        <w:numPr>
          <w:ilvl w:val="0"/>
          <w:numId w:val="18"/>
        </w:numPr>
        <w:bidi/>
        <w:spacing w:after="24" w:line="259" w:lineRule="auto"/>
        <w:ind w:right="-5" w:hanging="359"/>
        <w:jc w:val="both"/>
        <w:rPr>
          <w:rFonts w:ascii="David" w:eastAsia="Calibri" w:hAnsi="David" w:cs="David"/>
          <w:color w:val="000000"/>
          <w:sz w:val="24"/>
          <w:szCs w:val="24"/>
          <w:lang w:eastAsia="en-US"/>
        </w:rPr>
      </w:pPr>
      <w:r>
        <w:rPr>
          <w:rFonts w:ascii="David" w:eastAsia="Calibri" w:hAnsi="David" w:cs="David" w:hint="cs"/>
          <w:b/>
          <w:bCs/>
          <w:color w:val="000000"/>
          <w:sz w:val="24"/>
          <w:szCs w:val="24"/>
          <w:rtl/>
          <w:lang w:eastAsia="en-US"/>
        </w:rPr>
        <w:t>1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 xml:space="preserve">% באג"ח </w:t>
      </w:r>
      <w:proofErr w:type="spellStart"/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קו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2"/>
          <w:rtl/>
          <w:lang w:eastAsia="en-US"/>
        </w:rPr>
        <w:t>נ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צר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2"/>
          <w:rtl/>
          <w:lang w:eastAsia="en-US"/>
        </w:rPr>
        <w:t>נ</w:t>
      </w:r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>יות</w:t>
      </w:r>
      <w:proofErr w:type="spellEnd"/>
      <w:r w:rsidR="00805528" w:rsidRPr="004B42D8">
        <w:rPr>
          <w:rFonts w:ascii="David" w:eastAsia="Calibri" w:hAnsi="David" w:cs="David"/>
          <w:b/>
          <w:bCs/>
          <w:color w:val="000000"/>
          <w:sz w:val="24"/>
          <w:szCs w:val="24"/>
          <w:rtl/>
          <w:lang w:eastAsia="en-US"/>
        </w:rPr>
        <w:t xml:space="preserve"> מתחת לדירוג השקעתי </w:t>
      </w:r>
      <w:r w:rsidR="00805528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(</w:t>
      </w:r>
      <w:r w:rsidR="00805528" w:rsidRPr="004B42D8">
        <w:rPr>
          <w:rFonts w:ascii="David" w:eastAsia="Calibri" w:hAnsi="David" w:cs="David"/>
          <w:color w:val="000000"/>
          <w:sz w:val="24"/>
          <w:szCs w:val="24"/>
          <w:lang w:eastAsia="en-US"/>
        </w:rPr>
        <w:t>HY</w:t>
      </w:r>
      <w:r w:rsidR="00805528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), מתוכם </w:t>
      </w:r>
      <w:r w:rsidR="00187CED">
        <w:rPr>
          <w:rFonts w:ascii="David" w:eastAsia="Calibri" w:hAnsi="David" w:cs="David" w:hint="cs"/>
          <w:color w:val="000000"/>
          <w:sz w:val="24"/>
          <w:szCs w:val="24"/>
          <w:rtl/>
          <w:lang w:eastAsia="en-US"/>
        </w:rPr>
        <w:t>0.75</w:t>
      </w:r>
      <w:r w:rsidR="00805528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% שנסחרות בשוק האמריקאי </w:t>
      </w:r>
      <w:r w:rsidR="000872DB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ו-0.</w:t>
      </w:r>
      <w:r w:rsidR="00187CED">
        <w:rPr>
          <w:rFonts w:ascii="David" w:eastAsia="Calibri" w:hAnsi="David" w:cs="David" w:hint="cs"/>
          <w:color w:val="000000"/>
          <w:sz w:val="24"/>
          <w:szCs w:val="24"/>
          <w:rtl/>
          <w:lang w:eastAsia="en-US"/>
        </w:rPr>
        <w:t>25</w:t>
      </w:r>
      <w:r w:rsidR="000872DB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% </w:t>
      </w:r>
      <w:r w:rsidR="00805528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שנסחרות בשוק האירופי.</w:t>
      </w:r>
    </w:p>
    <w:p w:rsidR="00173098" w:rsidRPr="004B42D8" w:rsidRDefault="00173098" w:rsidP="00173098">
      <w:pPr>
        <w:bidi/>
        <w:spacing w:after="39" w:line="259" w:lineRule="auto"/>
        <w:ind w:right="3"/>
        <w:jc w:val="right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2"/>
          <w:lang w:eastAsia="en-US"/>
        </w:rPr>
        <w:t xml:space="preserve">  </w:t>
      </w:r>
    </w:p>
    <w:p w:rsidR="00173098" w:rsidRPr="004B42D8" w:rsidRDefault="00173098" w:rsidP="004B42D8">
      <w:pPr>
        <w:bidi/>
        <w:spacing w:after="165" w:line="259" w:lineRule="auto"/>
        <w:ind w:left="-3" w:hanging="10"/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זאת לעומת הרכב סמן הועדה ש</w:t>
      </w:r>
      <w:r w:rsidR="00072BF7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אושר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ב-</w:t>
      </w:r>
      <w:r w:rsidR="004B42D8" w:rsidRPr="004B42D8">
        <w:rPr>
          <w:rFonts w:ascii="David" w:eastAsia="Calibri" w:hAnsi="David" w:cs="David"/>
          <w:color w:val="000000"/>
          <w:sz w:val="24"/>
          <w:szCs w:val="24"/>
          <w:lang w:eastAsia="en-US"/>
        </w:rPr>
        <w:t>2024</w:t>
      </w:r>
      <w:r w:rsidR="00072BF7" w:rsidRPr="004B42D8">
        <w:rPr>
          <w:rFonts w:ascii="David" w:hAnsi="David" w:cs="David"/>
          <w:color w:val="000000"/>
          <w:sz w:val="24"/>
          <w:szCs w:val="24"/>
          <w:rtl/>
          <w:lang w:eastAsia="en-US"/>
        </w:rPr>
        <w:t>:</w:t>
      </w:r>
      <w:r w:rsidRPr="004B42D8">
        <w:rPr>
          <w:rFonts w:ascii="David" w:hAnsi="David" w:cs="David"/>
          <w:color w:val="000000"/>
          <w:sz w:val="24"/>
          <w:szCs w:val="24"/>
          <w:rtl/>
          <w:lang w:eastAsia="en-US"/>
        </w:rPr>
        <w:t xml:space="preserve"> </w:t>
      </w:r>
    </w:p>
    <w:p w:rsidR="000872DB" w:rsidRPr="004B42D8" w:rsidRDefault="009D0213" w:rsidP="000872DB">
      <w:pPr>
        <w:numPr>
          <w:ilvl w:val="0"/>
          <w:numId w:val="18"/>
        </w:numPr>
        <w:bidi/>
        <w:spacing w:after="24" w:line="259" w:lineRule="auto"/>
        <w:ind w:right="-5" w:hanging="359"/>
        <w:jc w:val="both"/>
        <w:rPr>
          <w:rFonts w:ascii="David" w:eastAsia="Calibri" w:hAnsi="David" w:cs="David"/>
          <w:color w:val="000000"/>
          <w:sz w:val="24"/>
          <w:szCs w:val="24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67%</w:t>
      </w:r>
      <w:r w:rsidR="00DF08AF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באג"ח ממשלתיות </w:t>
      </w:r>
      <w:r w:rsidR="000872DB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במטבעות הסמן המטבעי עם אריכות של 4 שנים בארה"ב, 3 שנים באירופה ו-2.5 שנים בשאר מטבעות הסמן. בסך הכל אריכות של 3.5 שנים.</w:t>
      </w:r>
    </w:p>
    <w:p w:rsidR="00DF08AF" w:rsidRPr="004B42D8" w:rsidRDefault="00DF08AF" w:rsidP="008B2A07">
      <w:pPr>
        <w:numPr>
          <w:ilvl w:val="0"/>
          <w:numId w:val="18"/>
        </w:numPr>
        <w:bidi/>
        <w:spacing w:after="24" w:line="259" w:lineRule="auto"/>
        <w:ind w:right="-5" w:hanging="359"/>
        <w:jc w:val="both"/>
        <w:rPr>
          <w:rFonts w:ascii="David" w:eastAsia="Calibri" w:hAnsi="David" w:cs="David"/>
          <w:color w:val="000000"/>
          <w:sz w:val="24"/>
          <w:szCs w:val="22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%</w:t>
      </w:r>
      <w:r w:rsidR="00505C02" w:rsidRPr="004B42D8">
        <w:rPr>
          <w:rFonts w:ascii="David" w:eastAsia="Calibri" w:hAnsi="David" w:cs="David"/>
          <w:color w:val="000000"/>
          <w:sz w:val="24"/>
          <w:szCs w:val="24"/>
          <w:lang w:eastAsia="en-US"/>
        </w:rPr>
        <w:t>2</w:t>
      </w:r>
      <w:r w:rsidR="009D0213" w:rsidRPr="004B42D8">
        <w:rPr>
          <w:rFonts w:ascii="David" w:eastAsia="Calibri" w:hAnsi="David" w:cs="David"/>
          <w:color w:val="000000"/>
          <w:sz w:val="24"/>
          <w:szCs w:val="24"/>
          <w:lang w:eastAsia="en-US"/>
        </w:rPr>
        <w:t>3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במ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יות. </w:t>
      </w:r>
      <w:r w:rsidRPr="004B42D8">
        <w:rPr>
          <w:rFonts w:ascii="David" w:hAnsi="David" w:cs="David"/>
          <w:color w:val="000000"/>
          <w:sz w:val="24"/>
          <w:szCs w:val="24"/>
          <w:rtl/>
          <w:lang w:eastAsia="en-US"/>
        </w:rPr>
        <w:t xml:space="preserve"> </w:t>
      </w:r>
    </w:p>
    <w:p w:rsidR="009D0213" w:rsidRPr="004B42D8" w:rsidRDefault="009D0213" w:rsidP="000872DB">
      <w:pPr>
        <w:numPr>
          <w:ilvl w:val="0"/>
          <w:numId w:val="18"/>
        </w:numPr>
        <w:bidi/>
        <w:spacing w:after="24" w:line="259" w:lineRule="auto"/>
        <w:ind w:right="-5" w:hanging="359"/>
        <w:jc w:val="both"/>
        <w:rPr>
          <w:rFonts w:ascii="David" w:eastAsia="Calibri" w:hAnsi="David" w:cs="David"/>
          <w:color w:val="000000"/>
          <w:sz w:val="24"/>
          <w:szCs w:val="24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9% באג"ח קו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צר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יות בדירוג השקעתי, מתוכם </w:t>
      </w:r>
      <w:r w:rsidR="000872DB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6%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 שנסחרות בשוק האמריקאי ו-</w:t>
      </w:r>
      <w:r w:rsidR="000872DB"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 xml:space="preserve">3% 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שנסחרות בשוק האירופי.</w:t>
      </w:r>
    </w:p>
    <w:p w:rsidR="009D0213" w:rsidRPr="004B42D8" w:rsidRDefault="009D0213" w:rsidP="009D0213">
      <w:pPr>
        <w:numPr>
          <w:ilvl w:val="0"/>
          <w:numId w:val="18"/>
        </w:numPr>
        <w:bidi/>
        <w:spacing w:after="24" w:line="259" w:lineRule="auto"/>
        <w:ind w:right="-5" w:hanging="359"/>
        <w:jc w:val="both"/>
        <w:rPr>
          <w:rFonts w:ascii="David" w:eastAsia="Calibri" w:hAnsi="David" w:cs="David"/>
          <w:color w:val="000000"/>
          <w:sz w:val="24"/>
          <w:szCs w:val="24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1% באג"ח קו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צר</w:t>
      </w:r>
      <w:r w:rsidRPr="004B42D8"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  <w:t>נ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יות מתחת לדירוג השקעתי (</w:t>
      </w:r>
      <w:r w:rsidRPr="004B42D8">
        <w:rPr>
          <w:rFonts w:ascii="David" w:eastAsia="Calibri" w:hAnsi="David" w:cs="David"/>
          <w:color w:val="000000"/>
          <w:sz w:val="24"/>
          <w:szCs w:val="24"/>
          <w:lang w:eastAsia="en-US"/>
        </w:rPr>
        <w:t>HY</w:t>
      </w: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), מתוכם 0.75% שנסחרות בשוק האמריקאי ו-0.25% שנסחרות בשוק האירופי.</w:t>
      </w:r>
    </w:p>
    <w:p w:rsidR="00B27856" w:rsidRPr="004B42D8" w:rsidRDefault="00B27856" w:rsidP="009D0213">
      <w:pPr>
        <w:bidi/>
        <w:spacing w:after="1" w:line="259" w:lineRule="auto"/>
        <w:ind w:left="359" w:right="-5"/>
        <w:jc w:val="both"/>
        <w:rPr>
          <w:rFonts w:ascii="David" w:eastAsia="Calibri" w:hAnsi="David" w:cs="David"/>
          <w:color w:val="000000"/>
          <w:sz w:val="24"/>
          <w:szCs w:val="22"/>
          <w:rtl/>
          <w:lang w:eastAsia="en-US"/>
        </w:rPr>
      </w:pPr>
    </w:p>
    <w:p w:rsidR="00827820" w:rsidRPr="004B42D8" w:rsidRDefault="00827820" w:rsidP="00827820">
      <w:pPr>
        <w:bidi/>
        <w:spacing w:after="24" w:line="259" w:lineRule="auto"/>
        <w:ind w:right="-5"/>
        <w:jc w:val="both"/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</w:pPr>
    </w:p>
    <w:p w:rsidR="00827820" w:rsidRPr="004B42D8" w:rsidRDefault="00827820" w:rsidP="00827820">
      <w:pPr>
        <w:bidi/>
        <w:spacing w:after="24" w:line="259" w:lineRule="auto"/>
        <w:ind w:right="-5"/>
        <w:jc w:val="both"/>
        <w:rPr>
          <w:rFonts w:ascii="David" w:eastAsia="Calibri" w:hAnsi="David" w:cs="David"/>
          <w:color w:val="000000"/>
          <w:sz w:val="24"/>
          <w:szCs w:val="24"/>
          <w:lang w:eastAsia="en-US"/>
        </w:rPr>
      </w:pPr>
      <w:r w:rsidRPr="004B42D8">
        <w:rPr>
          <w:rFonts w:ascii="David" w:eastAsia="Calibri" w:hAnsi="David" w:cs="David"/>
          <w:color w:val="000000"/>
          <w:sz w:val="24"/>
          <w:szCs w:val="24"/>
          <w:rtl/>
          <w:lang w:eastAsia="en-US"/>
        </w:rPr>
        <w:t>התקיים דיון בהמלצות החטיבה.</w:t>
      </w:r>
    </w:p>
    <w:p w:rsidR="00844B63" w:rsidRPr="004B42D8" w:rsidRDefault="005F6A8E" w:rsidP="00173098">
      <w:pPr>
        <w:pStyle w:val="3"/>
        <w:bidi/>
        <w:spacing w:before="120" w:after="120"/>
        <w:rPr>
          <w:rFonts w:ascii="David" w:hAnsi="David" w:cs="David"/>
          <w:color w:val="auto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color w:val="auto"/>
          <w:sz w:val="24"/>
          <w:szCs w:val="24"/>
          <w:rtl/>
          <w:lang w:eastAsia="en-US"/>
        </w:rPr>
        <w:t>החלט</w:t>
      </w:r>
      <w:r w:rsidR="00173098" w:rsidRPr="004B42D8">
        <w:rPr>
          <w:rFonts w:ascii="David" w:hAnsi="David" w:cs="David"/>
          <w:color w:val="auto"/>
          <w:sz w:val="24"/>
          <w:szCs w:val="24"/>
          <w:rtl/>
          <w:lang w:eastAsia="en-US"/>
        </w:rPr>
        <w:t>ו</w:t>
      </w:r>
      <w:r w:rsidRPr="004B42D8">
        <w:rPr>
          <w:rFonts w:ascii="David" w:hAnsi="David" w:cs="David"/>
          <w:color w:val="auto"/>
          <w:sz w:val="24"/>
          <w:szCs w:val="24"/>
          <w:rtl/>
          <w:lang w:eastAsia="en-US"/>
        </w:rPr>
        <w:t>ת הוועדה המוניטרית:</w:t>
      </w:r>
    </w:p>
    <w:p w:rsidR="0014101C" w:rsidRPr="004B42D8" w:rsidRDefault="0014101C">
      <w:pPr>
        <w:pStyle w:val="3"/>
        <w:bidi/>
        <w:spacing w:before="120" w:after="120"/>
        <w:rPr>
          <w:rFonts w:ascii="David" w:hAnsi="David" w:cs="David"/>
          <w:color w:val="auto"/>
          <w:sz w:val="24"/>
          <w:szCs w:val="24"/>
          <w:rtl/>
          <w:lang w:eastAsia="en-US"/>
        </w:rPr>
      </w:pPr>
    </w:p>
    <w:p w:rsidR="00844B63" w:rsidRPr="004B42D8" w:rsidRDefault="005F6A8E" w:rsidP="004473B3">
      <w:pPr>
        <w:pStyle w:val="3"/>
        <w:bidi/>
        <w:spacing w:before="120" w:after="120"/>
        <w:rPr>
          <w:rFonts w:ascii="David" w:hAnsi="David" w:cs="David"/>
          <w:color w:val="auto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color w:val="auto"/>
          <w:sz w:val="24"/>
          <w:szCs w:val="24"/>
          <w:rtl/>
          <w:lang w:eastAsia="en-US"/>
        </w:rPr>
        <w:t>השתתפו:</w:t>
      </w:r>
    </w:p>
    <w:p w:rsidR="00844B63" w:rsidRPr="004B42D8" w:rsidRDefault="005F6A8E">
      <w:pPr>
        <w:pStyle w:val="3"/>
        <w:bidi/>
        <w:spacing w:before="0" w:after="120"/>
        <w:rPr>
          <w:rFonts w:ascii="David" w:hAnsi="David" w:cs="David"/>
          <w:color w:val="auto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color w:val="auto"/>
          <w:sz w:val="24"/>
          <w:szCs w:val="24"/>
          <w:rtl/>
          <w:lang w:eastAsia="en-US"/>
        </w:rPr>
        <w:t>חברי הוועדה המוניטרית</w:t>
      </w:r>
    </w:p>
    <w:p w:rsidR="00844B63" w:rsidRPr="004B42D8" w:rsidRDefault="005F6A8E" w:rsidP="00A566E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פרופ' אמיר ירון, נגיד בנק ישראל</w:t>
      </w:r>
      <w:r w:rsidR="00A566EA" w:rsidRPr="004B42D8">
        <w:rPr>
          <w:rFonts w:ascii="David" w:hAnsi="David" w:cs="David"/>
          <w:sz w:val="24"/>
          <w:szCs w:val="24"/>
          <w:rtl/>
          <w:lang w:eastAsia="en-US"/>
        </w:rPr>
        <w:t>,</w:t>
      </w:r>
      <w:r w:rsidRPr="004B42D8">
        <w:rPr>
          <w:rFonts w:ascii="David" w:hAnsi="David" w:cs="David"/>
          <w:sz w:val="24"/>
          <w:szCs w:val="24"/>
          <w:rtl/>
          <w:lang w:eastAsia="en-US"/>
        </w:rPr>
        <w:t xml:space="preserve"> יו"ר הוועדה המוניטרית</w:t>
      </w:r>
    </w:p>
    <w:p w:rsidR="00844B63" w:rsidRPr="004B42D8" w:rsidRDefault="005F6A8E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מר אנדרו אביר</w:t>
      </w:r>
      <w:r w:rsidR="007B485F" w:rsidRPr="004B42D8">
        <w:rPr>
          <w:rFonts w:ascii="David" w:hAnsi="David" w:cs="David"/>
          <w:sz w:val="24"/>
          <w:szCs w:val="24"/>
          <w:rtl/>
          <w:lang w:eastAsia="en-US"/>
        </w:rPr>
        <w:t>, המשנה לנגיד בנק ישראל</w:t>
      </w:r>
    </w:p>
    <w:p w:rsidR="00844B63" w:rsidRPr="004B42D8" w:rsidRDefault="005F6A8E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פרופ' צבי הרקוביץ</w:t>
      </w:r>
    </w:p>
    <w:p w:rsidR="00274088" w:rsidRPr="004B42D8" w:rsidRDefault="00327718" w:rsidP="00327718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דר'</w:t>
      </w:r>
      <w:r w:rsidR="00274088" w:rsidRPr="004B42D8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Pr="004B42D8">
        <w:rPr>
          <w:rFonts w:ascii="David" w:hAnsi="David" w:cs="David"/>
          <w:sz w:val="24"/>
          <w:szCs w:val="24"/>
          <w:rtl/>
          <w:lang w:eastAsia="en-US"/>
        </w:rPr>
        <w:t>עדי ברנדר</w:t>
      </w:r>
      <w:r w:rsidR="007B485F" w:rsidRPr="004B42D8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</w:p>
    <w:p w:rsidR="00B02571" w:rsidRPr="004B42D8" w:rsidRDefault="00B02571" w:rsidP="00B0257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פרופ' נעמי פלדמן</w:t>
      </w:r>
    </w:p>
    <w:p w:rsidR="00327718" w:rsidRPr="004B42D8" w:rsidRDefault="00327718" w:rsidP="00327718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</w:p>
    <w:p w:rsidR="004B42D8" w:rsidRDefault="004B42D8">
      <w:pPr>
        <w:spacing w:after="200" w:line="360" w:lineRule="auto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>
        <w:rPr>
          <w:rFonts w:ascii="David" w:hAnsi="David" w:cs="David"/>
          <w:b/>
          <w:bCs/>
          <w:sz w:val="24"/>
          <w:szCs w:val="24"/>
          <w:rtl/>
          <w:lang w:eastAsia="en-US"/>
        </w:rPr>
        <w:br w:type="page"/>
      </w:r>
    </w:p>
    <w:p w:rsidR="00844B63" w:rsidRPr="004B42D8" w:rsidRDefault="005F6A8E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b/>
          <w:bCs/>
          <w:sz w:val="24"/>
          <w:szCs w:val="24"/>
          <w:rtl/>
          <w:lang w:eastAsia="en-US"/>
        </w:rPr>
        <w:t>משתתפים נוספים</w:t>
      </w:r>
    </w:p>
    <w:p w:rsidR="00A25CD5" w:rsidRPr="004B42D8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גב' שירן אזרזר, חטיבת השווקים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>
        <w:rPr>
          <w:rFonts w:ascii="David" w:hAnsi="David" w:cs="David" w:hint="cs"/>
          <w:sz w:val="24"/>
          <w:szCs w:val="24"/>
          <w:rtl/>
          <w:lang w:eastAsia="en-US"/>
        </w:rPr>
        <w:t xml:space="preserve">מר ברק אטינגר,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חטיבת השווקים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AD7867">
        <w:rPr>
          <w:rFonts w:ascii="David" w:hAnsi="David" w:cs="David"/>
          <w:sz w:val="24"/>
          <w:szCs w:val="24"/>
          <w:rtl/>
          <w:lang w:eastAsia="en-US"/>
        </w:rPr>
        <w:t>מר יעקב אשכנזי, חטיבת השווקים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>
        <w:rPr>
          <w:rFonts w:ascii="David" w:hAnsi="David" w:cs="David" w:hint="cs"/>
          <w:sz w:val="24"/>
          <w:szCs w:val="24"/>
          <w:rtl/>
          <w:lang w:eastAsia="en-US"/>
        </w:rPr>
        <w:t>מר נדב אשל, יועץ הנגיד</w:t>
      </w:r>
    </w:p>
    <w:p w:rsidR="00A25CD5" w:rsidRPr="004B42D8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ד"ר גולן בניטה, מנהל חטיבת השווקים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</w:p>
    <w:p w:rsidR="00A25CD5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מר טל ביבר, מנהל אגף שווקים בחטיבת השווקים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Pr="004B42D8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מר מיקי בלנק, מנהל חדר עסקות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Pr="004B42D8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גב' פרנסואז בן צור, מנהלת האגף הפיננסי בחטיבת השווקים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Pr="004B42D8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מר חנוך דננברג, מנהל יחידת מעקב וניתוח, חטיבת השווקים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AD7867">
        <w:rPr>
          <w:rFonts w:ascii="David" w:hAnsi="David" w:cs="David"/>
          <w:sz w:val="24"/>
          <w:szCs w:val="24"/>
          <w:rtl/>
          <w:lang w:eastAsia="en-US"/>
        </w:rPr>
        <w:t>מר אורן הדג'ס, חטיבת השווקים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>
        <w:rPr>
          <w:rFonts w:ascii="David" w:hAnsi="David" w:cs="David" w:hint="cs"/>
          <w:sz w:val="24"/>
          <w:szCs w:val="24"/>
          <w:rtl/>
          <w:lang w:eastAsia="en-US"/>
        </w:rPr>
        <w:t xml:space="preserve">מר צבי זוסמן,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מזכירות הוועדה המוניטרית והמועצה המנהלית</w:t>
      </w:r>
    </w:p>
    <w:p w:rsidR="00A25CD5" w:rsidRPr="004B42D8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מר אסף זילברשטיין, חטיבת השווקים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Pr="004B42D8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 xml:space="preserve">מר מרק יוחאי, ראש היחידה לניהול אסטרטגי, חטיבת השווקים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>
        <w:rPr>
          <w:rFonts w:ascii="David" w:hAnsi="David" w:cs="David" w:hint="cs"/>
          <w:sz w:val="24"/>
          <w:szCs w:val="24"/>
          <w:rtl/>
          <w:lang w:eastAsia="en-US"/>
        </w:rPr>
        <w:t>ד"ר עודד כהן, רמ"ט הנגיד</w:t>
      </w:r>
    </w:p>
    <w:p w:rsidR="00A25CD5" w:rsidRPr="004B42D8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מר דור לב, חטיבת השווקים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Pr="004B42D8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 xml:space="preserve">מר רועי לוי, מנהל יחידת ניהול סיכונים, חטיבת השווקים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>
        <w:rPr>
          <w:rFonts w:ascii="David" w:hAnsi="David" w:cs="David" w:hint="cs"/>
          <w:sz w:val="24"/>
          <w:szCs w:val="24"/>
          <w:rtl/>
          <w:lang w:eastAsia="en-US"/>
        </w:rPr>
        <w:t>ד"ר זיו נאור, דוברת הבנק</w:t>
      </w:r>
    </w:p>
    <w:p w:rsidR="00A25CD5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>
        <w:rPr>
          <w:rFonts w:ascii="David" w:hAnsi="David" w:cs="David" w:hint="cs"/>
          <w:sz w:val="24"/>
          <w:szCs w:val="24"/>
          <w:rtl/>
          <w:lang w:eastAsia="en-US"/>
        </w:rPr>
        <w:t xml:space="preserve">מר ליאור פרבמן, חטיבת השווקים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Pr="004B42D8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 xml:space="preserve">ד"ר עמית פרידמן, יועץ למנהל חטיבת השווקים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A25CD5" w:rsidRPr="004B42D8" w:rsidRDefault="00A25CD5" w:rsidP="00A25C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  <w:lang w:eastAsia="en-US"/>
        </w:rPr>
        <w:t>מר עידן שניר, חטיבת השווקים</w:t>
      </w:r>
      <w:r>
        <w:rPr>
          <w:rFonts w:ascii="David" w:hAnsi="David" w:cs="David" w:hint="cs"/>
          <w:sz w:val="24"/>
          <w:szCs w:val="24"/>
          <w:rtl/>
          <w:lang w:eastAsia="en-US"/>
        </w:rPr>
        <w:t xml:space="preserve"> 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(בישיבה ב-</w:t>
      </w:r>
      <w:r>
        <w:rPr>
          <w:rFonts w:ascii="David" w:hAnsi="David" w:cs="David" w:hint="cs"/>
          <w:sz w:val="24"/>
          <w:szCs w:val="24"/>
          <w:rtl/>
          <w:lang w:eastAsia="en-US"/>
        </w:rPr>
        <w:t>25/12</w:t>
      </w:r>
      <w:r w:rsidRPr="00AD7867">
        <w:rPr>
          <w:rFonts w:ascii="David" w:hAnsi="David" w:cs="David"/>
          <w:sz w:val="24"/>
          <w:szCs w:val="24"/>
          <w:rtl/>
          <w:lang w:eastAsia="en-US"/>
        </w:rPr>
        <w:t>)</w:t>
      </w:r>
    </w:p>
    <w:p w:rsidR="000872DB" w:rsidRDefault="000872DB" w:rsidP="000872DB">
      <w:pPr>
        <w:tabs>
          <w:tab w:val="left" w:pos="360"/>
        </w:tabs>
        <w:autoSpaceDE w:val="0"/>
        <w:autoSpaceDN w:val="0"/>
        <w:bidi/>
        <w:adjustRightInd w:val="0"/>
        <w:spacing w:before="240" w:line="360" w:lineRule="auto"/>
        <w:ind w:left="2880" w:right="-142" w:firstLine="720"/>
        <w:contextualSpacing/>
        <w:jc w:val="center"/>
        <w:rPr>
          <w:rFonts w:ascii="David" w:hAnsi="David" w:cs="David"/>
          <w:sz w:val="24"/>
          <w:szCs w:val="24"/>
          <w:rtl/>
        </w:rPr>
      </w:pPr>
    </w:p>
    <w:p w:rsidR="00E81AF5" w:rsidRPr="004B42D8" w:rsidRDefault="00E81AF5" w:rsidP="00E81AF5">
      <w:pPr>
        <w:tabs>
          <w:tab w:val="left" w:pos="360"/>
        </w:tabs>
        <w:autoSpaceDE w:val="0"/>
        <w:autoSpaceDN w:val="0"/>
        <w:bidi/>
        <w:adjustRightInd w:val="0"/>
        <w:spacing w:before="240" w:line="360" w:lineRule="auto"/>
        <w:ind w:left="2880" w:right="-142" w:firstLine="720"/>
        <w:contextualSpacing/>
        <w:jc w:val="center"/>
        <w:rPr>
          <w:rFonts w:ascii="David" w:hAnsi="David" w:cs="David"/>
          <w:sz w:val="24"/>
          <w:szCs w:val="24"/>
          <w:rtl/>
        </w:rPr>
      </w:pPr>
    </w:p>
    <w:p w:rsidR="000872DB" w:rsidRPr="004B42D8" w:rsidRDefault="000872DB" w:rsidP="000872DB">
      <w:pPr>
        <w:tabs>
          <w:tab w:val="left" w:pos="360"/>
        </w:tabs>
        <w:autoSpaceDE w:val="0"/>
        <w:autoSpaceDN w:val="0"/>
        <w:bidi/>
        <w:adjustRightInd w:val="0"/>
        <w:spacing w:before="240" w:line="360" w:lineRule="auto"/>
        <w:ind w:left="2880" w:right="-142" w:firstLine="720"/>
        <w:contextualSpacing/>
        <w:jc w:val="center"/>
        <w:rPr>
          <w:rFonts w:ascii="David" w:hAnsi="David" w:cs="David"/>
          <w:sz w:val="24"/>
          <w:szCs w:val="24"/>
          <w:rtl/>
        </w:rPr>
      </w:pPr>
    </w:p>
    <w:p w:rsidR="000872DB" w:rsidRPr="004B42D8" w:rsidRDefault="000872DB" w:rsidP="000872DB">
      <w:pPr>
        <w:tabs>
          <w:tab w:val="left" w:pos="360"/>
        </w:tabs>
        <w:autoSpaceDE w:val="0"/>
        <w:autoSpaceDN w:val="0"/>
        <w:bidi/>
        <w:adjustRightInd w:val="0"/>
        <w:spacing w:before="240" w:line="360" w:lineRule="auto"/>
        <w:ind w:left="2880" w:right="-142" w:firstLine="720"/>
        <w:contextualSpacing/>
        <w:jc w:val="center"/>
        <w:rPr>
          <w:rFonts w:ascii="David" w:hAnsi="David" w:cs="David"/>
          <w:sz w:val="24"/>
          <w:szCs w:val="24"/>
          <w:rtl/>
        </w:rPr>
      </w:pPr>
    </w:p>
    <w:p w:rsidR="000872DB" w:rsidRPr="004B42D8" w:rsidRDefault="000872DB" w:rsidP="000872DB">
      <w:pPr>
        <w:tabs>
          <w:tab w:val="left" w:pos="360"/>
        </w:tabs>
        <w:autoSpaceDE w:val="0"/>
        <w:autoSpaceDN w:val="0"/>
        <w:bidi/>
        <w:adjustRightInd w:val="0"/>
        <w:spacing w:before="240" w:line="360" w:lineRule="auto"/>
        <w:ind w:left="2880" w:right="-142" w:firstLine="720"/>
        <w:contextualSpacing/>
        <w:jc w:val="center"/>
        <w:rPr>
          <w:rFonts w:ascii="David" w:hAnsi="David" w:cs="David"/>
          <w:sz w:val="24"/>
          <w:szCs w:val="24"/>
          <w:rtl/>
        </w:rPr>
      </w:pPr>
    </w:p>
    <w:p w:rsidR="000872DB" w:rsidRPr="004B42D8" w:rsidRDefault="000872DB" w:rsidP="000872DB">
      <w:pPr>
        <w:tabs>
          <w:tab w:val="left" w:pos="360"/>
        </w:tabs>
        <w:autoSpaceDE w:val="0"/>
        <w:autoSpaceDN w:val="0"/>
        <w:bidi/>
        <w:adjustRightInd w:val="0"/>
        <w:spacing w:before="240" w:line="360" w:lineRule="auto"/>
        <w:ind w:left="2880" w:right="-142" w:firstLine="720"/>
        <w:contextualSpacing/>
        <w:jc w:val="center"/>
        <w:rPr>
          <w:rFonts w:ascii="David" w:hAnsi="David" w:cs="David"/>
          <w:sz w:val="24"/>
          <w:szCs w:val="24"/>
          <w:rtl/>
        </w:rPr>
      </w:pPr>
    </w:p>
    <w:p w:rsidR="00CD3E08" w:rsidRPr="004B42D8" w:rsidRDefault="00CD3E08" w:rsidP="000872DB">
      <w:pPr>
        <w:tabs>
          <w:tab w:val="left" w:pos="360"/>
        </w:tabs>
        <w:autoSpaceDE w:val="0"/>
        <w:autoSpaceDN w:val="0"/>
        <w:bidi/>
        <w:adjustRightInd w:val="0"/>
        <w:spacing w:before="240" w:line="360" w:lineRule="auto"/>
        <w:ind w:left="2880" w:right="-142" w:firstLine="720"/>
        <w:contextualSpacing/>
        <w:jc w:val="center"/>
        <w:rPr>
          <w:rFonts w:ascii="David" w:hAnsi="David" w:cs="David"/>
          <w:sz w:val="24"/>
          <w:szCs w:val="24"/>
          <w:lang w:eastAsia="en-US"/>
        </w:rPr>
      </w:pPr>
      <w:r w:rsidRPr="004B42D8">
        <w:rPr>
          <w:rFonts w:ascii="David" w:hAnsi="David" w:cs="David"/>
          <w:sz w:val="24"/>
          <w:szCs w:val="24"/>
          <w:rtl/>
        </w:rPr>
        <w:t xml:space="preserve">   </w:t>
      </w:r>
      <w:r w:rsidRPr="004B42D8">
        <w:rPr>
          <w:rFonts w:ascii="David" w:hAnsi="David" w:cs="David"/>
          <w:sz w:val="24"/>
          <w:szCs w:val="24"/>
          <w:rtl/>
        </w:rPr>
        <w:tab/>
        <w:t xml:space="preserve">   ______________________</w:t>
      </w:r>
    </w:p>
    <w:p w:rsidR="00CD3E08" w:rsidRPr="004B42D8" w:rsidRDefault="00CD3E08" w:rsidP="003926D4">
      <w:pPr>
        <w:tabs>
          <w:tab w:val="left" w:pos="360"/>
        </w:tabs>
        <w:autoSpaceDE w:val="0"/>
        <w:autoSpaceDN w:val="0"/>
        <w:bidi/>
        <w:adjustRightInd w:val="0"/>
        <w:spacing w:before="240" w:line="360" w:lineRule="auto"/>
        <w:ind w:left="-335"/>
        <w:contextualSpacing/>
        <w:jc w:val="right"/>
        <w:rPr>
          <w:rFonts w:ascii="David" w:hAnsi="David" w:cs="David"/>
          <w:sz w:val="24"/>
          <w:szCs w:val="24"/>
          <w:rtl/>
          <w:lang w:eastAsia="en-US"/>
        </w:rPr>
      </w:pPr>
      <w:r w:rsidRPr="004B42D8">
        <w:rPr>
          <w:rFonts w:ascii="David" w:hAnsi="David" w:cs="David"/>
          <w:sz w:val="24"/>
          <w:szCs w:val="24"/>
          <w:rtl/>
        </w:rPr>
        <w:t>פרופ' אמיר ירון – נגיד בנק ישראל, יו"ר הוועדה המוניטרית</w:t>
      </w:r>
    </w:p>
    <w:sectPr w:rsidR="00CD3E08" w:rsidRPr="004B42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758" w:bottom="142" w:left="175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77" w:rsidRDefault="00EA2077">
      <w:r>
        <w:separator/>
      </w:r>
    </w:p>
  </w:endnote>
  <w:endnote w:type="continuationSeparator" w:id="0">
    <w:p w:rsidR="00EA2077" w:rsidRDefault="00EA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63" w:rsidRDefault="00844B6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63" w:rsidRDefault="00844B6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63" w:rsidRDefault="00844B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77" w:rsidRDefault="00EA2077">
      <w:r>
        <w:separator/>
      </w:r>
    </w:p>
  </w:footnote>
  <w:footnote w:type="continuationSeparator" w:id="0">
    <w:p w:rsidR="00EA2077" w:rsidRDefault="00EA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63" w:rsidRDefault="00844B6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63" w:rsidRDefault="00844B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B63" w:rsidRDefault="00844B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935"/>
    <w:multiLevelType w:val="hybridMultilevel"/>
    <w:tmpl w:val="268E7012"/>
    <w:lvl w:ilvl="0" w:tplc="DCA08F2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271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ECE8C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082C0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28B0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04C00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65510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2C2D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8F7A8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F61B3"/>
    <w:multiLevelType w:val="hybridMultilevel"/>
    <w:tmpl w:val="263A0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52431"/>
    <w:multiLevelType w:val="hybridMultilevel"/>
    <w:tmpl w:val="2F2C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0A46"/>
    <w:multiLevelType w:val="hybridMultilevel"/>
    <w:tmpl w:val="BB26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7ADB"/>
    <w:multiLevelType w:val="hybridMultilevel"/>
    <w:tmpl w:val="C2388802"/>
    <w:lvl w:ilvl="0" w:tplc="F4C85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3142B0"/>
    <w:multiLevelType w:val="hybridMultilevel"/>
    <w:tmpl w:val="FFB08F7A"/>
    <w:lvl w:ilvl="0" w:tplc="F4C85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0B4E08"/>
    <w:multiLevelType w:val="hybridMultilevel"/>
    <w:tmpl w:val="7F1A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5B98"/>
    <w:multiLevelType w:val="hybridMultilevel"/>
    <w:tmpl w:val="0494ECAE"/>
    <w:lvl w:ilvl="0" w:tplc="FC98E8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A398E"/>
    <w:multiLevelType w:val="hybridMultilevel"/>
    <w:tmpl w:val="73C6CE58"/>
    <w:lvl w:ilvl="0" w:tplc="7EEECD50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20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6EC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84C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BA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E1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484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47A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3D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F80CDB"/>
    <w:multiLevelType w:val="hybridMultilevel"/>
    <w:tmpl w:val="C930C3EE"/>
    <w:lvl w:ilvl="0" w:tplc="E61C5940">
      <w:start w:val="1"/>
      <w:numFmt w:val="hebrew1"/>
      <w:lvlText w:val="(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47122"/>
    <w:multiLevelType w:val="hybridMultilevel"/>
    <w:tmpl w:val="E2E89496"/>
    <w:lvl w:ilvl="0" w:tplc="07B29886">
      <w:start w:val="1"/>
      <w:numFmt w:val="hebrew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248E7"/>
    <w:multiLevelType w:val="hybridMultilevel"/>
    <w:tmpl w:val="17FA584A"/>
    <w:lvl w:ilvl="0" w:tplc="F4C85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011ED4"/>
    <w:multiLevelType w:val="hybridMultilevel"/>
    <w:tmpl w:val="E52C5ADA"/>
    <w:lvl w:ilvl="0" w:tplc="431E67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C2455"/>
    <w:multiLevelType w:val="hybridMultilevel"/>
    <w:tmpl w:val="0414CED0"/>
    <w:lvl w:ilvl="0" w:tplc="2D265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B6637"/>
    <w:multiLevelType w:val="hybridMultilevel"/>
    <w:tmpl w:val="ACACD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11AD5"/>
    <w:multiLevelType w:val="hybridMultilevel"/>
    <w:tmpl w:val="804ED5B8"/>
    <w:lvl w:ilvl="0" w:tplc="48DEF3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E1AD6"/>
    <w:multiLevelType w:val="hybridMultilevel"/>
    <w:tmpl w:val="56D45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797AF2"/>
    <w:multiLevelType w:val="hybridMultilevel"/>
    <w:tmpl w:val="F7F62B62"/>
    <w:lvl w:ilvl="0" w:tplc="ABBE18B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8F2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06D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49B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498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220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A28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E22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4BE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5968BD"/>
    <w:multiLevelType w:val="hybridMultilevel"/>
    <w:tmpl w:val="F956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44434"/>
    <w:multiLevelType w:val="hybridMultilevel"/>
    <w:tmpl w:val="888A9128"/>
    <w:lvl w:ilvl="0" w:tplc="E61C5940">
      <w:start w:val="1"/>
      <w:numFmt w:val="hebrew1"/>
      <w:lvlText w:val="(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47B1B"/>
    <w:multiLevelType w:val="hybridMultilevel"/>
    <w:tmpl w:val="6680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19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3"/>
  </w:num>
  <w:num w:numId="13">
    <w:abstractNumId w:val="20"/>
  </w:num>
  <w:num w:numId="14">
    <w:abstractNumId w:val="15"/>
  </w:num>
  <w:num w:numId="15">
    <w:abstractNumId w:val="18"/>
  </w:num>
  <w:num w:numId="16">
    <w:abstractNumId w:val="8"/>
  </w:num>
  <w:num w:numId="17">
    <w:abstractNumId w:val="17"/>
  </w:num>
  <w:num w:numId="18">
    <w:abstractNumId w:val="0"/>
  </w:num>
  <w:num w:numId="19">
    <w:abstractNumId w:val="16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63"/>
    <w:rsid w:val="00010AA2"/>
    <w:rsid w:val="000130B5"/>
    <w:rsid w:val="00017D1F"/>
    <w:rsid w:val="000238C7"/>
    <w:rsid w:val="00026A95"/>
    <w:rsid w:val="00027460"/>
    <w:rsid w:val="00053925"/>
    <w:rsid w:val="00070BD7"/>
    <w:rsid w:val="00072BF7"/>
    <w:rsid w:val="00082621"/>
    <w:rsid w:val="000872DB"/>
    <w:rsid w:val="000A4A1D"/>
    <w:rsid w:val="000C4F54"/>
    <w:rsid w:val="000E2997"/>
    <w:rsid w:val="000F281E"/>
    <w:rsid w:val="00116464"/>
    <w:rsid w:val="001347C1"/>
    <w:rsid w:val="0014101C"/>
    <w:rsid w:val="00143128"/>
    <w:rsid w:val="00153151"/>
    <w:rsid w:val="00173098"/>
    <w:rsid w:val="00187A18"/>
    <w:rsid w:val="00187CED"/>
    <w:rsid w:val="001A0065"/>
    <w:rsid w:val="001A07F4"/>
    <w:rsid w:val="001B2178"/>
    <w:rsid w:val="001C1B68"/>
    <w:rsid w:val="001E1B8A"/>
    <w:rsid w:val="001F0B85"/>
    <w:rsid w:val="00244119"/>
    <w:rsid w:val="00274088"/>
    <w:rsid w:val="00280F95"/>
    <w:rsid w:val="002A0BB5"/>
    <w:rsid w:val="002A73AF"/>
    <w:rsid w:val="002D27D4"/>
    <w:rsid w:val="002F226B"/>
    <w:rsid w:val="00301801"/>
    <w:rsid w:val="00327718"/>
    <w:rsid w:val="00362A42"/>
    <w:rsid w:val="003926D4"/>
    <w:rsid w:val="003929BB"/>
    <w:rsid w:val="00394CA8"/>
    <w:rsid w:val="003A18F7"/>
    <w:rsid w:val="003A46A4"/>
    <w:rsid w:val="003C11FF"/>
    <w:rsid w:val="003C622B"/>
    <w:rsid w:val="003F52C7"/>
    <w:rsid w:val="0040387A"/>
    <w:rsid w:val="00404BEE"/>
    <w:rsid w:val="00434386"/>
    <w:rsid w:val="00442CA5"/>
    <w:rsid w:val="004473B3"/>
    <w:rsid w:val="004744DC"/>
    <w:rsid w:val="00490400"/>
    <w:rsid w:val="004925DB"/>
    <w:rsid w:val="00497732"/>
    <w:rsid w:val="004B42D8"/>
    <w:rsid w:val="004D37E9"/>
    <w:rsid w:val="004E0FDB"/>
    <w:rsid w:val="00505C02"/>
    <w:rsid w:val="00516F0F"/>
    <w:rsid w:val="00521322"/>
    <w:rsid w:val="00521D49"/>
    <w:rsid w:val="005243BB"/>
    <w:rsid w:val="005812B6"/>
    <w:rsid w:val="005A37CF"/>
    <w:rsid w:val="005D10F9"/>
    <w:rsid w:val="005E614E"/>
    <w:rsid w:val="005F3E48"/>
    <w:rsid w:val="005F6A8E"/>
    <w:rsid w:val="00605623"/>
    <w:rsid w:val="0064220F"/>
    <w:rsid w:val="00657A9C"/>
    <w:rsid w:val="00685F69"/>
    <w:rsid w:val="006A12FF"/>
    <w:rsid w:val="006B61B4"/>
    <w:rsid w:val="006B63B7"/>
    <w:rsid w:val="006C431F"/>
    <w:rsid w:val="006D7282"/>
    <w:rsid w:val="006E6754"/>
    <w:rsid w:val="00705649"/>
    <w:rsid w:val="00705F6D"/>
    <w:rsid w:val="007154A2"/>
    <w:rsid w:val="00725BDA"/>
    <w:rsid w:val="00757D35"/>
    <w:rsid w:val="00762BCD"/>
    <w:rsid w:val="00764134"/>
    <w:rsid w:val="007831C9"/>
    <w:rsid w:val="00784913"/>
    <w:rsid w:val="00795189"/>
    <w:rsid w:val="007972B7"/>
    <w:rsid w:val="007B485F"/>
    <w:rsid w:val="007B4F27"/>
    <w:rsid w:val="007C105F"/>
    <w:rsid w:val="007C40C9"/>
    <w:rsid w:val="007F277E"/>
    <w:rsid w:val="007F438D"/>
    <w:rsid w:val="007F56C3"/>
    <w:rsid w:val="00805528"/>
    <w:rsid w:val="00816105"/>
    <w:rsid w:val="008178A4"/>
    <w:rsid w:val="00827820"/>
    <w:rsid w:val="00844B63"/>
    <w:rsid w:val="00844C20"/>
    <w:rsid w:val="008566B1"/>
    <w:rsid w:val="00875FA8"/>
    <w:rsid w:val="00882A28"/>
    <w:rsid w:val="00885AE0"/>
    <w:rsid w:val="00891538"/>
    <w:rsid w:val="008A1F6C"/>
    <w:rsid w:val="008C2C5F"/>
    <w:rsid w:val="008D714F"/>
    <w:rsid w:val="008E3BE3"/>
    <w:rsid w:val="008F6DB4"/>
    <w:rsid w:val="0091365A"/>
    <w:rsid w:val="00935723"/>
    <w:rsid w:val="00997309"/>
    <w:rsid w:val="009B4330"/>
    <w:rsid w:val="009D0213"/>
    <w:rsid w:val="00A02661"/>
    <w:rsid w:val="00A02943"/>
    <w:rsid w:val="00A25CD5"/>
    <w:rsid w:val="00A566EA"/>
    <w:rsid w:val="00A83E07"/>
    <w:rsid w:val="00AB7F28"/>
    <w:rsid w:val="00AC321B"/>
    <w:rsid w:val="00AE4534"/>
    <w:rsid w:val="00B02571"/>
    <w:rsid w:val="00B1658F"/>
    <w:rsid w:val="00B24001"/>
    <w:rsid w:val="00B27856"/>
    <w:rsid w:val="00B30F7E"/>
    <w:rsid w:val="00B42042"/>
    <w:rsid w:val="00B75130"/>
    <w:rsid w:val="00B77461"/>
    <w:rsid w:val="00B90DC6"/>
    <w:rsid w:val="00BA2A0F"/>
    <w:rsid w:val="00BA5887"/>
    <w:rsid w:val="00BB0833"/>
    <w:rsid w:val="00BD3680"/>
    <w:rsid w:val="00BD505E"/>
    <w:rsid w:val="00BD579E"/>
    <w:rsid w:val="00BE54D4"/>
    <w:rsid w:val="00C226B2"/>
    <w:rsid w:val="00C418D2"/>
    <w:rsid w:val="00C44088"/>
    <w:rsid w:val="00C4714F"/>
    <w:rsid w:val="00C477BD"/>
    <w:rsid w:val="00C51443"/>
    <w:rsid w:val="00C76EE7"/>
    <w:rsid w:val="00C86980"/>
    <w:rsid w:val="00CA4E9A"/>
    <w:rsid w:val="00CD3E08"/>
    <w:rsid w:val="00D03316"/>
    <w:rsid w:val="00D03A83"/>
    <w:rsid w:val="00D45232"/>
    <w:rsid w:val="00D515B8"/>
    <w:rsid w:val="00D64812"/>
    <w:rsid w:val="00DA0FC7"/>
    <w:rsid w:val="00DC6577"/>
    <w:rsid w:val="00DE65D3"/>
    <w:rsid w:val="00DF08AF"/>
    <w:rsid w:val="00DF4A8C"/>
    <w:rsid w:val="00DF596F"/>
    <w:rsid w:val="00E04E91"/>
    <w:rsid w:val="00E0760B"/>
    <w:rsid w:val="00E2097A"/>
    <w:rsid w:val="00E22D8A"/>
    <w:rsid w:val="00E71967"/>
    <w:rsid w:val="00E758ED"/>
    <w:rsid w:val="00E809D4"/>
    <w:rsid w:val="00E81AF5"/>
    <w:rsid w:val="00EA2077"/>
    <w:rsid w:val="00EA292F"/>
    <w:rsid w:val="00F30309"/>
    <w:rsid w:val="00F83751"/>
    <w:rsid w:val="00F9282C"/>
    <w:rsid w:val="00FA2096"/>
    <w:rsid w:val="00FA66B2"/>
    <w:rsid w:val="00FC006C"/>
    <w:rsid w:val="00FC348A"/>
    <w:rsid w:val="00FD3703"/>
    <w:rsid w:val="00FD4098"/>
    <w:rsid w:val="00FD4380"/>
    <w:rsid w:val="00FE1FE1"/>
    <w:rsid w:val="00FE490E"/>
    <w:rsid w:val="00FE4954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B820F-99BE-45BF-A1E5-7911C3E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David"/>
        <w:sz w:val="24"/>
        <w:szCs w:val="24"/>
        <w:lang w:val="en-US" w:eastAsia="en-US" w:bidi="he-IL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pPr>
      <w:keepNext/>
      <w:bidi/>
      <w:outlineLvl w:val="0"/>
    </w:pPr>
    <w:rPr>
      <w:rFonts w:cs="David"/>
      <w:b/>
      <w:bCs/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Pr>
      <w:b/>
      <w:bCs/>
      <w:sz w:val="22"/>
      <w:szCs w:val="28"/>
      <w:lang w:eastAsia="he-IL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note text"/>
    <w:basedOn w:val="a"/>
    <w:link w:val="a5"/>
    <w:pPr>
      <w:bidi/>
    </w:pPr>
    <w:rPr>
      <w:rFonts w:cs="Times New Roman"/>
      <w:lang w:eastAsia="en-US"/>
    </w:rPr>
  </w:style>
  <w:style w:type="character" w:customStyle="1" w:styleId="a5">
    <w:name w:val="טקסט הערת שוליים תו"/>
    <w:basedOn w:val="a0"/>
    <w:link w:val="a4"/>
    <w:rPr>
      <w:rFonts w:cs="Times New Roman"/>
      <w:sz w:val="20"/>
      <w:szCs w:val="20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Tahoma" w:hAnsi="Tahoma" w:cs="Tahoma"/>
      <w:sz w:val="16"/>
      <w:szCs w:val="16"/>
      <w:lang w:eastAsia="he-IL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uiPriority w:val="99"/>
    <w:rPr>
      <w:rFonts w:cs="Miriam"/>
      <w:sz w:val="20"/>
      <w:szCs w:val="20"/>
      <w:lang w:eastAsia="he-IL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uiPriority w:val="99"/>
    <w:rPr>
      <w:rFonts w:cs="Miriam"/>
      <w:sz w:val="20"/>
      <w:szCs w:val="20"/>
      <w:lang w:eastAsia="he-IL"/>
    </w:rPr>
  </w:style>
  <w:style w:type="character" w:customStyle="1" w:styleId="20">
    <w:name w:val="כותרת 2 תו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table" w:customStyle="1" w:styleId="11">
    <w:name w:val="טבלת רשת1"/>
    <w:basedOn w:val="a1"/>
    <w:next w:val="ad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C622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622B"/>
  </w:style>
  <w:style w:type="character" w:customStyle="1" w:styleId="af0">
    <w:name w:val="טקסט הערה תו"/>
    <w:basedOn w:val="a0"/>
    <w:link w:val="af"/>
    <w:uiPriority w:val="99"/>
    <w:semiHidden/>
    <w:rsid w:val="003C622B"/>
    <w:rPr>
      <w:rFonts w:cs="Miriam"/>
      <w:sz w:val="20"/>
      <w:szCs w:val="20"/>
      <w:lang w:eastAsia="he-IL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622B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3C622B"/>
    <w:rPr>
      <w:rFonts w:cs="Miriam"/>
      <w:b/>
      <w:bCs/>
      <w:sz w:val="20"/>
      <w:szCs w:val="20"/>
      <w:lang w:eastAsia="he-IL"/>
    </w:rPr>
  </w:style>
  <w:style w:type="paragraph" w:styleId="af3">
    <w:name w:val="Revision"/>
    <w:hidden/>
    <w:uiPriority w:val="99"/>
    <w:semiHidden/>
    <w:rsid w:val="00BD3680"/>
    <w:pPr>
      <w:spacing w:after="0" w:line="240" w:lineRule="auto"/>
    </w:pPr>
    <w:rPr>
      <w:rFonts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גרסת פרוטוקול" ma:contentTypeID="0x010100179300C4BABF19419B4A386862D03E7F0C0055DDEF2964C4594E8FA9604BE57DCB59" ma:contentTypeVersion="25" ma:contentTypeDescription="" ma:contentTypeScope="" ma:versionID="6a8f98dfbf02e26026751ee90a0fa524">
  <xsd:schema xmlns:xsd="http://www.w3.org/2001/XMLSchema" xmlns:xs="http://www.w3.org/2001/XMLSchema" xmlns:p="http://schemas.microsoft.com/office/2006/metadata/properties" xmlns:ns2="4c281fc7-251d-4b67-9524-890b472f540f" xmlns:ns3="2aa3394e-02d6-4835-acd5-072d1944f237" targetNamespace="http://schemas.microsoft.com/office/2006/metadata/properties" ma:root="true" ma:fieldsID="f8bad5f29b3f60dbd8c99208e4879488" ns2:_="" ns3:_="">
    <xsd:import namespace="4c281fc7-251d-4b67-9524-890b472f540f"/>
    <xsd:import namespace="2aa3394e-02d6-4835-acd5-072d1944f237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ocComments" minOccurs="0"/>
                <xsd:element ref="ns2:ConfidencialityLevel" minOccurs="0"/>
                <xsd:element ref="ns2:IsIncludedInBooklet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cd47bfa5d6a645b78401ba4fa0df5ab7" minOccurs="0"/>
                <xsd:element ref="ns2:da2bf1e0b25a4801ba43491855dd33e1" minOccurs="0"/>
                <xsd:element ref="ns2:_dlc_DocId" minOccurs="0"/>
                <xsd:element ref="ns2:MainBody" minOccurs="0"/>
                <xsd:element ref="ns2:MeetingNum" minOccurs="0"/>
                <xsd:element ref="ns2:MeetingID" minOccurs="0"/>
                <xsd:element ref="ns2:MeetingItemNum" minOccurs="0"/>
                <xsd:element ref="ns2:DetailedBody" minOccurs="0"/>
                <xsd:element ref="ns2:ProtocolVUpdater" minOccurs="0"/>
                <xsd:element ref="ns2:ProtocolVersionStage" minOccurs="0"/>
                <xsd:element ref="ns3:AuditorName" minOccurs="0"/>
                <xsd:element ref="ns2:MeetingStartTime" minOccurs="0"/>
                <xsd:element ref="ns2:MCMeeting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1fc7-251d-4b67-9524-890b472f540f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תאריך מסמך" ma:format="DateOnly" ma:indexed="true" ma:internalName="DocDate" ma:readOnly="false">
      <xsd:simpleType>
        <xsd:restriction base="dms:DateTime"/>
      </xsd:simpleType>
    </xsd:element>
    <xsd:element name="DocComments" ma:index="3" nillable="true" ma:displayName="הערות מסמך________________________" ma:internalName="DocComments" ma:readOnly="false">
      <xsd:simpleType>
        <xsd:restriction base="dms:Note"/>
      </xsd:simpleType>
    </xsd:element>
    <xsd:element name="ConfidencialityLevel" ma:index="5" nillable="true" ma:displayName="סיווג" ma:format="Dropdown" ma:internalName="ConfidencialityLevel">
      <xsd:simpleType>
        <xsd:restriction base="dms:Choice">
          <xsd:enumeration value="בלמ''ס"/>
          <xsd:enumeration value="חסוי"/>
          <xsd:enumeration value="סודי רגיש"/>
        </xsd:restriction>
      </xsd:simpleType>
    </xsd:element>
    <xsd:element name="IsIncludedInBooklet" ma:index="6" nillable="true" ma:displayName="כלול בחוברת" ma:default="לא" ma:format="RadioButtons" ma:indexed="true" ma:internalName="IsIncludedInBooklet">
      <xsd:simpleType>
        <xsd:restriction base="dms:Choice">
          <xsd:enumeration value="כן"/>
          <xsd:enumeration value="לא"/>
        </xsd:restriction>
      </xsd:simpleType>
    </xsd:element>
    <xsd:element name="_dlc_DocIdUrl" ma:index="8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0" nillable="true" ma:taxonomy="true" ma:internalName="TaxKeywordTaxHTField" ma:taxonomyFieldName="TaxKeyword" ma:displayName="מילות מפתח של ארגון" ma:readOnly="false" ma:fieldId="{23f27201-bee3-471e-b2e7-b64fd8b7ca38}" ma:taxonomyMulti="true" ma:sspId="0d8ee0f2-3939-419a-a064-5013d4754a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a5d2597-1568-477a-826f-b66530603b22}" ma:internalName="TaxCatchAll" ma:readOnly="false" ma:showField="CatchAllData" ma:web="4c281fc7-251d-4b67-9524-890b472f5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a5d2597-1568-477a-826f-b66530603b22}" ma:internalName="TaxCatchAllLabel" ma:readOnly="false" ma:showField="CatchAllDataLabel" ma:web="4c281fc7-251d-4b67-9524-890b472f5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47bfa5d6a645b78401ba4fa0df5ab7" ma:index="15" nillable="true" ma:displayName="SubjectTags_0" ma:hidden="true" ma:internalName="cd47bfa5d6a645b78401ba4fa0df5ab7" ma:readOnly="false">
      <xsd:simpleType>
        <xsd:restriction base="dms:Note"/>
      </xsd:simpleType>
    </xsd:element>
    <xsd:element name="da2bf1e0b25a4801ba43491855dd33e1" ma:index="17" nillable="true" ma:taxonomy="true" ma:internalName="da2bf1e0b25a4801ba43491855dd33e1" ma:taxonomyFieldName="SubjectTags" ma:displayName="שיוך נושאי" ma:default="" ma:fieldId="{da2bf1e0-b25a-4801-ba43-491855dd33e1}" ma:taxonomyMulti="true" ma:sspId="0d8ee0f2-3939-419a-a064-5013d4754aa5" ma:termSetId="f1fc6d70-50d1-4d33-af7b-23ff3b60ebe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MainBody" ma:index="22" nillable="true" ma:displayName="גוף" ma:description="מועצה מנהלית או ועדה מוניטרית" ma:format="Dropdown" ma:internalName="MainBody">
      <xsd:simpleType>
        <xsd:restriction base="dms:Choice">
          <xsd:enumeration value="ועדה מוניטרית"/>
          <xsd:enumeration value="מועצה מינהלית"/>
          <xsd:enumeration value="ועדה ליציבות פיננסית"/>
        </xsd:restriction>
      </xsd:simpleType>
    </xsd:element>
    <xsd:element name="MeetingNum" ma:index="23" nillable="true" ma:displayName="מס. ישיבה(+)" ma:description="לדוגמא 2014-003" ma:indexed="true" ma:internalName="MeetingNum">
      <xsd:simpleType>
        <xsd:restriction base="dms:Text">
          <xsd:maxLength value="20"/>
        </xsd:restriction>
      </xsd:simpleType>
    </xsd:element>
    <xsd:element name="MeetingID" ma:index="24" nillable="true" ma:displayName="מזהה ישיבה(+)" ma:indexed="true" ma:internalName="MeetingID">
      <xsd:simpleType>
        <xsd:restriction base="dms:Text">
          <xsd:maxLength value="255"/>
        </xsd:restriction>
      </xsd:simpleType>
    </xsd:element>
    <xsd:element name="MeetingItemNum" ma:index="25" nillable="true" ma:displayName="מס. נושא בישיבה" ma:decimals="2" ma:description="ישיבה מקורית" ma:internalName="MeetingItemNum" ma:readOnly="false" ma:percentage="FALSE">
      <xsd:simpleType>
        <xsd:restriction base="dms:Number">
          <xsd:minInclusive value="1"/>
        </xsd:restriction>
      </xsd:simpleType>
    </xsd:element>
    <xsd:element name="DetailedBody" ma:index="26" nillable="true" ma:displayName="גוף מורחב" ma:internalName="DetailedBod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ועדה מוניטרית"/>
                        <xsd:enumeration value="מועצה מינהלית"/>
                        <xsd:enumeration value="ועדת ביקורת"/>
                        <xsd:enumeration value="ועדה לבחינת הדוחות הכספיים"/>
                        <xsd:enumeration value="ועדה לבחירת רו&quot;ח מבקר"/>
                        <xsd:enumeration value="ועדה ליציבות פיננסית"/>
                        <xsd:enumeration value="ועדת משנה"/>
                        <xsd:enumeration value="ועדה לענייני ביקורת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tocolVUpdater" ma:index="27" nillable="true" ma:displayName="מעדכן הפרוטוקול" ma:internalName="ProtocolVUpdater" ma:readOnly="false">
      <xsd:simpleType>
        <xsd:restriction base="dms:Text">
          <xsd:maxLength value="255"/>
        </xsd:restriction>
      </xsd:simpleType>
    </xsd:element>
    <xsd:element name="ProtocolVersionStage" ma:index="28" nillable="true" ma:displayName="שלב גרסת פרוטוקול" ma:default="1.פרוטוקול החלטות" ma:format="Dropdown" ma:internalName="ProtocolVersionStage" ma:readOnly="false">
      <xsd:simpleType>
        <xsd:restriction base="dms:Choice">
          <xsd:enumeration value="1.פרוטוקול החלטות"/>
          <xsd:enumeration value="2.כתיבה ראשונית"/>
          <xsd:enumeration value="3.עריכה לשונית"/>
          <xsd:enumeration value="4.משתתפים"/>
          <xsd:enumeration value="5.מזכיר"/>
          <xsd:enumeration value="6.דובר"/>
          <xsd:enumeration value="7.משפטית"/>
          <xsd:enumeration value="8.מועצה/ועדה"/>
          <xsd:enumeration value="9.אושר"/>
          <xsd:enumeration value="10.פורסם"/>
          <xsd:enumeration value="11.אנגלית"/>
          <xsd:enumeration value="12.חתום"/>
          <xsd:enumeration value="13. חלקי"/>
          <xsd:enumeration value="14. חלקי חתום"/>
          <xsd:enumeration value="20. חברים"/>
          <xsd:enumeration value="21 נגידה"/>
          <xsd:enumeration value="22. יו&quot;ר המועצה"/>
        </xsd:restriction>
      </xsd:simpleType>
    </xsd:element>
    <xsd:element name="MeetingStartTime" ma:index="30" nillable="true" ma:displayName="תחילת ישיבה מתוכננת" ma:format="DateTime" ma:indexed="true" ma:internalName="MeetingStartTime">
      <xsd:simpleType>
        <xsd:restriction base="dms:DateTime"/>
      </xsd:simpleType>
    </xsd:element>
    <xsd:element name="MCMeetingType" ma:index="31" nillable="true" ma:displayName="סוג ישיבה (ו.מ.)" ma:format="Dropdown" ma:internalName="MCMeetingType">
      <xsd:simpleType>
        <xsd:restriction base="dms:Choice">
          <xsd:enumeration value="מוניטרי שבועי"/>
          <xsd:enumeration value="ניהול יתרות מט&quot;ח"/>
          <xsd:enumeration value="דוח המדיניות המוניטרית"/>
          <xsd:enumeration value="כלים מוניטריים נוספים"/>
          <xsd:enumeration value="החלטת ריבית"/>
          <xsd:enumeration value="שער חליפין"/>
          <xsd:enumeration value="הצגת נושאים מקצועיים"/>
          <xsd:enumeration value="יציבות פיננסית"/>
          <xsd:enumeration value="אח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394e-02d6-4835-acd5-072d1944f237" elementFormDefault="qualified">
    <xsd:import namespace="http://schemas.microsoft.com/office/2006/documentManagement/types"/>
    <xsd:import namespace="http://schemas.microsoft.com/office/infopath/2007/PartnerControls"/>
    <xsd:element name="AuditorName" ma:index="29" nillable="true" ma:displayName="מבצע הבקרה" ma:list="{c0da8341-7299-494d-8da4-270243ca4506}" ma:internalName="AuditorNam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edBody xmlns="4c281fc7-251d-4b67-9524-890b472f540f"/>
    <DocComments xmlns="4c281fc7-251d-4b67-9524-890b472f540f" xsi:nil="true"/>
    <MeetingNum xmlns="4c281fc7-251d-4b67-9524-890b472f540f">2020-101</MeetingNum>
    <cd47bfa5d6a645b78401ba4fa0df5ab7 xmlns="4c281fc7-251d-4b67-9524-890b472f540f" xsi:nil="true"/>
    <ConfidencialityLevel xmlns="4c281fc7-251d-4b67-9524-890b472f540f" xsi:nil="true"/>
    <MeetingID xmlns="4c281fc7-251d-4b67-9524-890b472f540f">01774</MeetingID>
    <MeetingItemNum xmlns="4c281fc7-251d-4b67-9524-890b472f540f" xsi:nil="true"/>
    <TaxCatchAll xmlns="4c281fc7-251d-4b67-9524-890b472f540f">
      <Value>96</Value>
      <Value>186</Value>
      <Value>10</Value>
      <Value>36</Value>
    </TaxCatchAll>
    <DocDate xmlns="4c281fc7-251d-4b67-9524-890b472f540f">2019-03-05T22:00:00+00:00</DocDate>
    <IsIncludedInBooklet xmlns="4c281fc7-251d-4b67-9524-890b472f540f">כן</IsIncludedInBooklet>
    <MainBody xmlns="4c281fc7-251d-4b67-9524-890b472f540f">ועדה מוניטרית</MainBody>
    <da2bf1e0b25a4801ba43491855dd33e1 xmlns="4c281fc7-251d-4b67-9524-890b472f5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יתרות מטח שנתי</TermName>
          <TermId xmlns="http://schemas.microsoft.com/office/infopath/2007/PartnerControls">43ec8b21-5a7b-4c4b-a510-8d599a64d39a</TermId>
        </TermInfo>
        <TermInfo xmlns="http://schemas.microsoft.com/office/infopath/2007/PartnerControls">
          <TermName xmlns="http://schemas.microsoft.com/office/infopath/2007/PartnerControls">פרוטוקולים</TermName>
          <TermId xmlns="http://schemas.microsoft.com/office/infopath/2007/PartnerControls">34761df9-84c7-40ad-8694-625e45089784</TermId>
        </TermInfo>
        <TermInfo xmlns="http://schemas.microsoft.com/office/infopath/2007/PartnerControls">
          <TermName xmlns="http://schemas.microsoft.com/office/infopath/2007/PartnerControls">פרוטוקול סופי</TermName>
          <TermId xmlns="http://schemas.microsoft.com/office/infopath/2007/PartnerControls">22dd5d55-e36e-4ba5-bdec-2d6c2f3c1881</TermId>
        </TermInfo>
      </Terms>
    </da2bf1e0b25a4801ba43491855dd33e1>
    <TaxCatchAllLabel xmlns="4c281fc7-251d-4b67-9524-890b472f540f"/>
    <TaxKeywordTaxHTField xmlns="4c281fc7-251d-4b67-9524-890b472f5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בנק-ישראל-בלמס</TermName>
          <TermId xmlns="http://schemas.microsoft.com/office/infopath/2007/PartnerControls">fb7b6e28-59f7-4349-9b26-40673841cad6</TermId>
        </TermInfo>
      </Terms>
    </TaxKeywordTaxHTField>
    <AuditorName xmlns="2aa3394e-02d6-4835-acd5-072d1944f237" xsi:nil="true"/>
    <ProtocolVersionStage xmlns="4c281fc7-251d-4b67-9524-890b472f540f">9.אושר</ProtocolVersionStage>
    <ProtocolVUpdater xmlns="4c281fc7-251d-4b67-9524-890b472f540f" xsi:nil="true"/>
    <MeetingStartTime xmlns="4c281fc7-251d-4b67-9524-890b472f540f">2020-05-20T07:25:00+00:00</MeetingStartTime>
    <MCMeetingType xmlns="4c281fc7-251d-4b67-9524-890b472f540f">ניהול יתרות מט"ח</MCMeetingType>
    <_dlc_DocId xmlns="4c281fc7-251d-4b67-9524-890b472f540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B9EC-DFB7-4B4F-8149-8E508C4F8F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693DAC-CEAF-4FA7-8168-4DDB8B6AA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81fc7-251d-4b67-9524-890b472f540f"/>
    <ds:schemaRef ds:uri="2aa3394e-02d6-4835-acd5-072d1944f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7E531-00AB-4203-B7DB-EA8634067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85826-18C6-42BD-B25F-0A692F63A967}">
  <ds:schemaRefs>
    <ds:schemaRef ds:uri="http://schemas.microsoft.com/office/2006/metadata/properties"/>
    <ds:schemaRef ds:uri="http://schemas.microsoft.com/office/infopath/2007/PartnerControls"/>
    <ds:schemaRef ds:uri="4c281fc7-251d-4b67-9524-890b472f540f"/>
    <ds:schemaRef ds:uri="2aa3394e-02d6-4835-acd5-072d1944f237"/>
  </ds:schemaRefs>
</ds:datastoreItem>
</file>

<file path=customXml/itemProps5.xml><?xml version="1.0" encoding="utf-8"?>
<ds:datastoreItem xmlns:ds="http://schemas.openxmlformats.org/officeDocument/2006/customXml" ds:itemID="{76177E8A-D8EB-4DC9-9299-303DAFF3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924</Words>
  <Characters>4622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MCM_06032019_V15</vt:lpstr>
      <vt:lpstr>MCM_06032019_V15</vt:lpstr>
    </vt:vector>
  </TitlesOfParts>
  <Company>BOI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MCM_06032019_V15</dc:title>
  <dc:subject/>
  <dc:creator>מרב ברודץ מרמורשטיין</dc:creator>
  <cp:keywords>בנק-ישראל-בלמס</cp:keywords>
  <dc:description/>
  <cp:lastModifiedBy>אמונה ערוסי</cp:lastModifiedBy>
  <cp:revision>5</cp:revision>
  <cp:lastPrinted>2025-01-01T12:12:00Z</cp:lastPrinted>
  <dcterms:created xsi:type="dcterms:W3CDTF">2025-01-01T12:11:00Z</dcterms:created>
  <dcterms:modified xsi:type="dcterms:W3CDTF">2025-01-12T10:40:00Z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5ff5faff-4a33-4dae-bf89-a63aeb6072ae</vt:lpwstr>
  </property>
  <property fmtid="{D5CDD505-2E9C-101B-9397-08002B2CF9AE}" pid="3" name="TitusCorpClassification">
    <vt:lpwstr>בנק-ישראל-בלמס</vt:lpwstr>
  </property>
  <property fmtid="{D5CDD505-2E9C-101B-9397-08002B2CF9AE}" pid="4" name="ContentTypeId">
    <vt:lpwstr>0x010100179300C4BABF19419B4A386862D03E7F0C0055DDEF2964C4594E8FA9604BE57DCB59</vt:lpwstr>
  </property>
  <property fmtid="{D5CDD505-2E9C-101B-9397-08002B2CF9AE}" pid="5" name="TaxKeyword">
    <vt:lpwstr>10;#בנק-ישראל-בלמס|fb7b6e28-59f7-4349-9b26-40673841cad6</vt:lpwstr>
  </property>
  <property fmtid="{D5CDD505-2E9C-101B-9397-08002B2CF9AE}" pid="6" name="DecisionUID">
    <vt:lpwstr>2650</vt:lpwstr>
  </property>
  <property fmtid="{D5CDD505-2E9C-101B-9397-08002B2CF9AE}" pid="7" name="SubjectTags">
    <vt:lpwstr>96;#יתרות מטח שנתי|43ec8b21-5a7b-4c4b-a510-8d599a64d39a;#36;#פרוטוקולים|34761df9-84c7-40ad-8694-625e45089784;#186;#פרוטוקול סופי|22dd5d55-e36e-4ba5-bdec-2d6c2f3c1881</vt:lpwstr>
  </property>
  <property fmtid="{D5CDD505-2E9C-101B-9397-08002B2CF9AE}" pid="8" name="_docset_NoMedatataSyncRequired">
    <vt:lpwstr>False</vt:lpwstr>
  </property>
  <property fmtid="{D5CDD505-2E9C-101B-9397-08002B2CF9AE}" pid="9" name="SPPCopyMoveEvent">
    <vt:lpwstr>1</vt:lpwstr>
  </property>
  <property fmtid="{D5CDD505-2E9C-101B-9397-08002B2CF9AE}" pid="10" name="MCMember2Presence">
    <vt:lpwstr/>
  </property>
  <property fmtid="{D5CDD505-2E9C-101B-9397-08002B2CF9AE}" pid="11" name="WillBePresented">
    <vt:lpwstr/>
  </property>
  <property fmtid="{D5CDD505-2E9C-101B-9397-08002B2CF9AE}" pid="12" name="HandingInTime">
    <vt:lpwstr/>
  </property>
  <property fmtid="{D5CDD505-2E9C-101B-9397-08002B2CF9AE}" pid="13" name="HandlingDescription">
    <vt:lpwstr/>
  </property>
  <property fmtid="{D5CDD505-2E9C-101B-9397-08002B2CF9AE}" pid="14" name="IsIncluded">
    <vt:lpwstr/>
  </property>
  <property fmtid="{D5CDD505-2E9C-101B-9397-08002B2CF9AE}" pid="15" name="PropFinalText">
    <vt:lpwstr/>
  </property>
  <property fmtid="{D5CDD505-2E9C-101B-9397-08002B2CF9AE}" pid="16" name="BankPresence">
    <vt:lpwstr/>
  </property>
  <property fmtid="{D5CDD505-2E9C-101B-9397-08002B2CF9AE}" pid="17" name="BSupervPresence">
    <vt:lpwstr/>
  </property>
  <property fmtid="{D5CDD505-2E9C-101B-9397-08002B2CF9AE}" pid="18" name="numberOfDiscussionMeeting">
    <vt:lpwstr/>
  </property>
  <property fmtid="{D5CDD505-2E9C-101B-9397-08002B2CF9AE}" pid="19" name="DecisionNum">
    <vt:lpwstr/>
  </property>
  <property fmtid="{D5CDD505-2E9C-101B-9397-08002B2CF9AE}" pid="20" name="DocumentSetDescription">
    <vt:lpwstr/>
  </property>
  <property fmtid="{D5CDD505-2E9C-101B-9397-08002B2CF9AE}" pid="21" name="SecSuperPresence">
    <vt:lpwstr/>
  </property>
  <property fmtid="{D5CDD505-2E9C-101B-9397-08002B2CF9AE}" pid="22" name="ContentDisplayer">
    <vt:lpwstr/>
  </property>
  <property fmtid="{D5CDD505-2E9C-101B-9397-08002B2CF9AE}" pid="23" name="SubjectInSchedule">
    <vt:lpwstr/>
  </property>
  <property fmtid="{D5CDD505-2E9C-101B-9397-08002B2CF9AE}" pid="24" name="DepGovPresence">
    <vt:lpwstr/>
  </property>
  <property fmtid="{D5CDD505-2E9C-101B-9397-08002B2CF9AE}" pid="25" name="SCMember1Presence">
    <vt:lpwstr/>
  </property>
  <property fmtid="{D5CDD505-2E9C-101B-9397-08002B2CF9AE}" pid="26" name="DocSubject">
    <vt:lpwstr/>
  </property>
  <property fmtid="{D5CDD505-2E9C-101B-9397-08002B2CF9AE}" pid="27" name="Materials">
    <vt:lpwstr/>
  </property>
  <property fmtid="{D5CDD505-2E9C-101B-9397-08002B2CF9AE}" pid="28" name="DocsetStatus">
    <vt:lpwstr/>
  </property>
  <property fmtid="{D5CDD505-2E9C-101B-9397-08002B2CF9AE}" pid="29" name="GovernerPresence">
    <vt:lpwstr/>
  </property>
  <property fmtid="{D5CDD505-2E9C-101B-9397-08002B2CF9AE}" pid="30" name="MCMember3Presence">
    <vt:lpwstr/>
  </property>
  <property fmtid="{D5CDD505-2E9C-101B-9397-08002B2CF9AE}" pid="31" name="PresSubj">
    <vt:lpwstr/>
  </property>
  <property fmtid="{D5CDD505-2E9C-101B-9397-08002B2CF9AE}" pid="32" name="משתתפים חיצונים">
    <vt:lpwstr/>
  </property>
  <property fmtid="{D5CDD505-2E9C-101B-9397-08002B2CF9AE}" pid="33" name="DiscStatus">
    <vt:lpwstr/>
  </property>
  <property fmtid="{D5CDD505-2E9C-101B-9397-08002B2CF9AE}" pid="34" name="DocAuthor">
    <vt:lpwstr/>
  </property>
  <property fmtid="{D5CDD505-2E9C-101B-9397-08002B2CF9AE}" pid="35" name="BodyToPresentTo">
    <vt:lpwstr/>
  </property>
  <property fmtid="{D5CDD505-2E9C-101B-9397-08002B2CF9AE}" pid="36" name="FirstDecisionRef">
    <vt:lpwstr/>
  </property>
  <property fmtid="{D5CDD505-2E9C-101B-9397-08002B2CF9AE}" pid="37" name="RecordingDuration">
    <vt:lpwstr/>
  </property>
  <property fmtid="{D5CDD505-2E9C-101B-9397-08002B2CF9AE}" pid="38" name="SCMember2Presence">
    <vt:lpwstr/>
  </property>
  <property fmtid="{D5CDD505-2E9C-101B-9397-08002B2CF9AE}" pid="39" name="Recipient">
    <vt:lpwstr/>
  </property>
  <property fmtid="{D5CDD505-2E9C-101B-9397-08002B2CF9AE}" pid="40" name="TaskOwner">
    <vt:lpwstr/>
  </property>
  <property fmtid="{D5CDD505-2E9C-101B-9397-08002B2CF9AE}" pid="41" name="DecisionDesc">
    <vt:lpwstr/>
  </property>
  <property fmtid="{D5CDD505-2E9C-101B-9397-08002B2CF9AE}" pid="42" name="TypingStage">
    <vt:lpwstr/>
  </property>
  <property fmtid="{D5CDD505-2E9C-101B-9397-08002B2CF9AE}" pid="43" name="FinCEOPresence">
    <vt:lpwstr/>
  </property>
  <property fmtid="{D5CDD505-2E9C-101B-9397-08002B2CF9AE}" pid="44" name="ToBeInvited">
    <vt:lpwstr/>
  </property>
  <property fmtid="{D5CDD505-2E9C-101B-9397-08002B2CF9AE}" pid="45" name="AgendaItemNum">
    <vt:lpwstr/>
  </property>
  <property fmtid="{D5CDD505-2E9C-101B-9397-08002B2CF9AE}" pid="46" name="FinHSHKLPresence">
    <vt:lpwstr/>
  </property>
  <property fmtid="{D5CDD505-2E9C-101B-9397-08002B2CF9AE}" pid="47" name="Contributer">
    <vt:lpwstr/>
  </property>
  <property fmtid="{D5CDD505-2E9C-101B-9397-08002B2CF9AE}" pid="48" name="ChairComments">
    <vt:lpwstr/>
  </property>
  <property fmtid="{D5CDD505-2E9C-101B-9397-08002B2CF9AE}" pid="49" name="MeetingNotes">
    <vt:lpwstr/>
  </property>
  <property fmtid="{D5CDD505-2E9C-101B-9397-08002B2CF9AE}" pid="50" name="SCMember3Presence">
    <vt:lpwstr/>
  </property>
  <property fmtid="{D5CDD505-2E9C-101B-9397-08002B2CF9AE}" pid="51" name="TaskStatus1">
    <vt:lpwstr/>
  </property>
  <property fmtid="{D5CDD505-2E9C-101B-9397-08002B2CF9AE}" pid="52" name="DecisionDocType">
    <vt:lpwstr/>
  </property>
  <property fmtid="{D5CDD505-2E9C-101B-9397-08002B2CF9AE}" pid="53" name="InternalParticipants">
    <vt:lpwstr/>
  </property>
  <property fmtid="{D5CDD505-2E9C-101B-9397-08002B2CF9AE}" pid="54" name="PaymentPresence">
    <vt:lpwstr/>
  </property>
  <property fmtid="{D5CDD505-2E9C-101B-9397-08002B2CF9AE}" pid="55" name="FinCommMemberPresence">
    <vt:lpwstr/>
  </property>
  <property fmtid="{D5CDD505-2E9C-101B-9397-08002B2CF9AE}" pid="56" name="MCMember1Presence">
    <vt:lpwstr/>
  </property>
  <property fmtid="{D5CDD505-2E9C-101B-9397-08002B2CF9AE}" pid="57" name="FirstRelatedMeeting">
    <vt:lpwstr/>
  </property>
  <property fmtid="{D5CDD505-2E9C-101B-9397-08002B2CF9AE}" pid="58" name="Sender">
    <vt:lpwstr/>
  </property>
  <property fmtid="{D5CDD505-2E9C-101B-9397-08002B2CF9AE}" pid="59" name="FinStbIntPresence">
    <vt:lpwstr/>
  </property>
  <property fmtid="{D5CDD505-2E9C-101B-9397-08002B2CF9AE}" pid="60" name="SCChairmanPresence">
    <vt:lpwstr/>
  </property>
  <property fmtid="{D5CDD505-2E9C-101B-9397-08002B2CF9AE}" pid="61" name="MeetingItemSubj">
    <vt:lpwstr/>
  </property>
  <property fmtid="{D5CDD505-2E9C-101B-9397-08002B2CF9AE}" pid="62" name="LinkToRecording">
    <vt:lpwstr/>
  </property>
  <property fmtid="{D5CDD505-2E9C-101B-9397-08002B2CF9AE}" pid="63" name="MCInternalMemberPresence">
    <vt:lpwstr/>
  </property>
  <property fmtid="{D5CDD505-2E9C-101B-9397-08002B2CF9AE}" pid="64" name="MailType">
    <vt:lpwstr/>
  </property>
  <property fmtid="{D5CDD505-2E9C-101B-9397-08002B2CF9AE}" pid="65" name="NatEcoPresence">
    <vt:lpwstr/>
  </property>
  <property fmtid="{D5CDD505-2E9C-101B-9397-08002B2CF9AE}" pid="66" name="SCMember4Presence">
    <vt:lpwstr/>
  </property>
</Properties>
</file>