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38"/>
        <w:bidiVisual/>
        <w:tblW w:w="0" w:type="auto"/>
        <w:tblLayout w:type="fixed"/>
        <w:tblLook w:val="0000" w:firstRow="0" w:lastRow="0" w:firstColumn="0" w:lastColumn="0" w:noHBand="0" w:noVBand="0"/>
        <w:tblCaption w:val="כותרת בנק ישראל"/>
        <w:tblDescription w:val="כותרת בנק ישראל"/>
      </w:tblPr>
      <w:tblGrid>
        <w:gridCol w:w="2840"/>
        <w:gridCol w:w="2596"/>
        <w:gridCol w:w="3084"/>
      </w:tblGrid>
      <w:tr w:rsidR="004A7D02" w:rsidRPr="004A7D02" w:rsidTr="000C6F87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0A54F7" w:rsidRDefault="002B5CFE" w:rsidP="002B5CFE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0A54F7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0A54F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0A54F7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0A54F7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2B5CFE" w:rsidRPr="000A54F7" w:rsidRDefault="002B5CFE" w:rsidP="002B5CFE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876E85">
              <w:rPr>
                <w:rFonts w:cs="David"/>
                <w:sz w:val="24"/>
                <w:szCs w:val="24"/>
                <w:rtl/>
              </w:rPr>
              <w:t>דו</w:t>
            </w:r>
            <w:r w:rsidRPr="00876E85">
              <w:rPr>
                <w:rFonts w:cs="David" w:hint="cs"/>
                <w:sz w:val="24"/>
                <w:szCs w:val="24"/>
                <w:rtl/>
              </w:rPr>
              <w:t>בר</w:t>
            </w:r>
            <w:r w:rsidRPr="00876E85">
              <w:rPr>
                <w:rFonts w:cs="David"/>
                <w:sz w:val="24"/>
                <w:szCs w:val="24"/>
                <w:rtl/>
              </w:rPr>
              <w:t>ות</w:t>
            </w:r>
            <w:r w:rsidRPr="00876E85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B5CFE" w:rsidRPr="000A54F7" w:rsidRDefault="00CA31CF" w:rsidP="002B5CFE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  <w:noProof/>
              </w:rPr>
              <w:drawing>
                <wp:inline distT="0" distB="0" distL="0" distR="0" wp14:anchorId="06C1A9E4" wp14:editId="4E9F3152">
                  <wp:extent cx="1048385" cy="1054735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4A7D02" w:rsidRDefault="002B5CFE" w:rsidP="0099165F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4A7D02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4A7D02">
              <w:rPr>
                <w:rFonts w:cs="David"/>
                <w:sz w:val="24"/>
                <w:szCs w:val="24"/>
                <w:rtl/>
              </w:rPr>
              <w:t xml:space="preserve"> ירושלים, </w:t>
            </w:r>
            <w:r w:rsidR="0099165F" w:rsidRPr="004A7D02">
              <w:rPr>
                <w:rFonts w:cs="David" w:hint="cs"/>
                <w:sz w:val="24"/>
                <w:szCs w:val="24"/>
                <w:rtl/>
              </w:rPr>
              <w:t xml:space="preserve">י"א' </w:t>
            </w:r>
            <w:r w:rsidR="00B16D33" w:rsidRPr="004A7D02">
              <w:rPr>
                <w:rFonts w:cs="David" w:hint="cs"/>
                <w:sz w:val="24"/>
                <w:szCs w:val="24"/>
                <w:rtl/>
              </w:rPr>
              <w:t>בטבת</w:t>
            </w:r>
            <w:r w:rsidRPr="004A7D02">
              <w:rPr>
                <w:rFonts w:cs="David"/>
                <w:sz w:val="24"/>
                <w:szCs w:val="24"/>
                <w:rtl/>
              </w:rPr>
              <w:t>, תש</w:t>
            </w:r>
            <w:r w:rsidR="00A51E03" w:rsidRPr="004A7D02">
              <w:rPr>
                <w:rFonts w:cs="David" w:hint="cs"/>
                <w:sz w:val="24"/>
                <w:szCs w:val="24"/>
                <w:rtl/>
              </w:rPr>
              <w:t>פ"</w:t>
            </w:r>
            <w:r w:rsidR="0099165F" w:rsidRPr="004A7D02">
              <w:rPr>
                <w:rFonts w:cs="David" w:hint="cs"/>
                <w:sz w:val="24"/>
                <w:szCs w:val="24"/>
                <w:rtl/>
              </w:rPr>
              <w:t>ג</w:t>
            </w:r>
          </w:p>
          <w:p w:rsidR="002B5CFE" w:rsidRPr="004A7D02" w:rsidRDefault="002B5CFE" w:rsidP="00014791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4A7D02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A51E03" w:rsidRPr="004A7D02">
              <w:rPr>
                <w:rFonts w:cs="David" w:hint="cs"/>
                <w:sz w:val="24"/>
                <w:szCs w:val="24"/>
                <w:rtl/>
              </w:rPr>
              <w:t>4</w:t>
            </w:r>
            <w:r w:rsidRPr="004A7D02">
              <w:rPr>
                <w:rFonts w:cs="David"/>
                <w:sz w:val="24"/>
                <w:szCs w:val="24"/>
                <w:rtl/>
              </w:rPr>
              <w:t xml:space="preserve"> ב</w:t>
            </w:r>
            <w:r w:rsidR="00A51E03" w:rsidRPr="004A7D02">
              <w:rPr>
                <w:rFonts w:cs="David" w:hint="cs"/>
                <w:sz w:val="24"/>
                <w:szCs w:val="24"/>
                <w:rtl/>
              </w:rPr>
              <w:t>ינואר</w:t>
            </w:r>
            <w:r w:rsidRPr="004A7D0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A7D02">
              <w:rPr>
                <w:rFonts w:cs="David" w:hint="cs"/>
                <w:sz w:val="24"/>
                <w:szCs w:val="24"/>
                <w:rtl/>
              </w:rPr>
              <w:t>20</w:t>
            </w:r>
            <w:r w:rsidR="00A51E03" w:rsidRPr="004A7D02">
              <w:rPr>
                <w:rFonts w:cs="David" w:hint="cs"/>
                <w:sz w:val="24"/>
                <w:szCs w:val="24"/>
                <w:rtl/>
              </w:rPr>
              <w:t>2</w:t>
            </w:r>
            <w:r w:rsidR="00014791" w:rsidRPr="004A7D02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  <w:tr w:rsidR="002B5CFE" w:rsidRPr="00876E85" w:rsidTr="000C6F87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0A54F7" w:rsidRDefault="002B5CFE" w:rsidP="002B5CFE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B5CFE" w:rsidRPr="000A54F7" w:rsidRDefault="002B5CFE" w:rsidP="002B5CFE">
            <w:pPr>
              <w:spacing w:line="36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4A7D02" w:rsidRDefault="002B5CFE" w:rsidP="002B5CFE">
            <w:pPr>
              <w:spacing w:line="360" w:lineRule="auto"/>
              <w:jc w:val="right"/>
              <w:rPr>
                <w:rFonts w:cs="David"/>
                <w:color w:val="FF0000"/>
                <w:sz w:val="24"/>
                <w:szCs w:val="24"/>
                <w:rtl/>
              </w:rPr>
            </w:pPr>
          </w:p>
        </w:tc>
      </w:tr>
    </w:tbl>
    <w:p w:rsidR="002B5CFE" w:rsidRDefault="002B5CFE" w:rsidP="002B5CFE">
      <w:pPr>
        <w:tabs>
          <w:tab w:val="left" w:pos="2315"/>
        </w:tabs>
        <w:spacing w:line="360" w:lineRule="auto"/>
        <w:jc w:val="both"/>
        <w:rPr>
          <w:rFonts w:cs="David"/>
          <w:sz w:val="24"/>
          <w:szCs w:val="24"/>
          <w:rtl/>
        </w:rPr>
      </w:pPr>
    </w:p>
    <w:p w:rsidR="002B5CFE" w:rsidRPr="003F5C09" w:rsidRDefault="002B5CFE" w:rsidP="002B5CFE">
      <w:pPr>
        <w:tabs>
          <w:tab w:val="left" w:pos="2315"/>
        </w:tabs>
        <w:spacing w:line="360" w:lineRule="auto"/>
        <w:jc w:val="both"/>
        <w:rPr>
          <w:rFonts w:cs="David"/>
          <w:rtl/>
        </w:rPr>
      </w:pPr>
      <w:r w:rsidRPr="003F5C09">
        <w:rPr>
          <w:rFonts w:cs="David" w:hint="cs"/>
          <w:sz w:val="24"/>
          <w:szCs w:val="24"/>
          <w:rtl/>
        </w:rPr>
        <w:t>הודעה לעיתונות</w:t>
      </w:r>
      <w:r>
        <w:rPr>
          <w:rFonts w:cs="David" w:hint="cs"/>
          <w:sz w:val="24"/>
          <w:szCs w:val="24"/>
          <w:rtl/>
        </w:rPr>
        <w:t>:</w:t>
      </w:r>
    </w:p>
    <w:p w:rsidR="00014791" w:rsidRDefault="00DC08B4" w:rsidP="00014791">
      <w:pPr>
        <w:pStyle w:val="1"/>
        <w:rPr>
          <w:rStyle w:val="20"/>
          <w:b/>
          <w:bCs/>
          <w:rtl/>
        </w:rPr>
      </w:pPr>
      <w:bookmarkStart w:id="0" w:name="_GoBack"/>
      <w:r w:rsidRPr="002B5CFE">
        <w:rPr>
          <w:rFonts w:hint="cs"/>
          <w:rtl/>
        </w:rPr>
        <w:t>בנק ישראל מפרסם היום</w:t>
      </w:r>
      <w:r w:rsidR="003322A2" w:rsidRPr="002B5CFE">
        <w:rPr>
          <w:rFonts w:hint="cs"/>
          <w:rtl/>
        </w:rPr>
        <w:t xml:space="preserve"> </w:t>
      </w:r>
      <w:r w:rsidR="009360B8" w:rsidRPr="002B5CFE">
        <w:rPr>
          <w:rFonts w:hint="cs"/>
          <w:rtl/>
        </w:rPr>
        <w:t xml:space="preserve">מאמר </w:t>
      </w:r>
      <w:r w:rsidR="00014791">
        <w:rPr>
          <w:rFonts w:hint="cs"/>
          <w:rtl/>
        </w:rPr>
        <w:t>שלישי</w:t>
      </w:r>
      <w:r w:rsidR="009360B8" w:rsidRPr="002B5CFE">
        <w:rPr>
          <w:rFonts w:hint="cs"/>
          <w:rtl/>
        </w:rPr>
        <w:t xml:space="preserve"> ואחרון מתוך</w:t>
      </w:r>
      <w:r w:rsidRPr="002B5CFE">
        <w:rPr>
          <w:rFonts w:hint="cs"/>
          <w:rtl/>
        </w:rPr>
        <w:t xml:space="preserve"> "לקט נ</w:t>
      </w:r>
      <w:r w:rsidR="009360B8" w:rsidRPr="002B5CFE">
        <w:rPr>
          <w:rFonts w:hint="cs"/>
          <w:rtl/>
        </w:rPr>
        <w:t>יתוחי מדיניות וסוגיות מחקריות</w:t>
      </w:r>
      <w:bookmarkEnd w:id="0"/>
      <w:r w:rsidR="009360B8" w:rsidRPr="002B5CFE">
        <w:rPr>
          <w:rFonts w:hint="cs"/>
          <w:rtl/>
        </w:rPr>
        <w:t xml:space="preserve">": </w:t>
      </w:r>
      <w:r w:rsidR="00014791" w:rsidRPr="00014791">
        <w:rPr>
          <w:rtl/>
        </w:rPr>
        <w:t>המחסור</w:t>
      </w:r>
      <w:r w:rsidR="00014791" w:rsidRPr="00014791">
        <w:t xml:space="preserve"> </w:t>
      </w:r>
      <w:r w:rsidR="00014791" w:rsidRPr="00014791">
        <w:rPr>
          <w:rtl/>
        </w:rPr>
        <w:t>במימון</w:t>
      </w:r>
      <w:r w:rsidR="00014791" w:rsidRPr="00014791">
        <w:t xml:space="preserve"> </w:t>
      </w:r>
      <w:r w:rsidR="00014791" w:rsidRPr="00014791">
        <w:rPr>
          <w:rtl/>
        </w:rPr>
        <w:t>דולרי</w:t>
      </w:r>
      <w:r w:rsidR="00014791" w:rsidRPr="00014791">
        <w:t xml:space="preserve"> </w:t>
      </w:r>
      <w:r w:rsidR="00014791" w:rsidRPr="00014791">
        <w:rPr>
          <w:rtl/>
        </w:rPr>
        <w:t>בעולם</w:t>
      </w:r>
      <w:r w:rsidR="00014791" w:rsidRPr="00014791">
        <w:t xml:space="preserve"> </w:t>
      </w:r>
      <w:r w:rsidR="00014791" w:rsidRPr="00014791">
        <w:rPr>
          <w:rtl/>
        </w:rPr>
        <w:t>ובישראל</w:t>
      </w:r>
      <w:r w:rsidR="00014791" w:rsidRPr="00014791">
        <w:t xml:space="preserve"> – </w:t>
      </w:r>
      <w:r w:rsidR="00014791" w:rsidRPr="00014791">
        <w:rPr>
          <w:rtl/>
        </w:rPr>
        <w:t>בחינת</w:t>
      </w:r>
      <w:r w:rsidR="00014791" w:rsidRPr="00014791">
        <w:t xml:space="preserve"> </w:t>
      </w:r>
      <w:r w:rsidR="00014791" w:rsidRPr="00014791">
        <w:rPr>
          <w:rtl/>
        </w:rPr>
        <w:t>הסטיות</w:t>
      </w:r>
      <w:r w:rsidR="00014791" w:rsidRPr="00014791">
        <w:t xml:space="preserve"> </w:t>
      </w:r>
      <w:r w:rsidR="00014791" w:rsidRPr="00014791">
        <w:rPr>
          <w:rtl/>
        </w:rPr>
        <w:t>מתנאי</w:t>
      </w:r>
      <w:r w:rsidR="00014791" w:rsidRPr="00014791">
        <w:t xml:space="preserve"> </w:t>
      </w:r>
      <w:r w:rsidR="00014791" w:rsidRPr="00014791">
        <w:rPr>
          <w:rtl/>
        </w:rPr>
        <w:t>ה</w:t>
      </w:r>
      <w:r w:rsidR="00014791">
        <w:rPr>
          <w:rStyle w:val="20"/>
          <w:rFonts w:hint="cs"/>
          <w:b/>
          <w:bCs/>
        </w:rPr>
        <w:t>CIP</w:t>
      </w:r>
      <w:r w:rsidR="00014791">
        <w:rPr>
          <w:rStyle w:val="20"/>
          <w:b/>
          <w:bCs/>
        </w:rPr>
        <w:t>-</w:t>
      </w:r>
    </w:p>
    <w:p w:rsidR="00DC08B4" w:rsidRPr="002B5CFE" w:rsidRDefault="00DC08B4" w:rsidP="003F0F23">
      <w:pPr>
        <w:pStyle w:val="1"/>
        <w:rPr>
          <w:sz w:val="24"/>
          <w:szCs w:val="24"/>
        </w:rPr>
      </w:pPr>
      <w:r w:rsidRPr="002B5CFE">
        <w:rPr>
          <w:rFonts w:hint="cs"/>
          <w:sz w:val="24"/>
          <w:szCs w:val="24"/>
          <w:rtl/>
        </w:rPr>
        <w:t xml:space="preserve">הלקט כולל </w:t>
      </w:r>
      <w:r w:rsidR="003F0F23">
        <w:rPr>
          <w:rFonts w:hint="cs"/>
          <w:sz w:val="24"/>
          <w:szCs w:val="24"/>
          <w:rtl/>
        </w:rPr>
        <w:t>שלו</w:t>
      </w:r>
      <w:r w:rsidRPr="002B5CFE">
        <w:rPr>
          <w:rFonts w:hint="cs"/>
          <w:sz w:val="24"/>
          <w:szCs w:val="24"/>
          <w:rtl/>
        </w:rPr>
        <w:t>שה מאמרים קצרים ש</w:t>
      </w:r>
      <w:r w:rsidR="003F0F23">
        <w:rPr>
          <w:rFonts w:hint="cs"/>
          <w:sz w:val="24"/>
          <w:szCs w:val="24"/>
          <w:rtl/>
        </w:rPr>
        <w:t>שניים</w:t>
      </w:r>
      <w:r w:rsidRPr="002B5CFE">
        <w:rPr>
          <w:rFonts w:hint="cs"/>
          <w:sz w:val="24"/>
          <w:szCs w:val="24"/>
          <w:rtl/>
        </w:rPr>
        <w:t xml:space="preserve"> מתוכם כבר פורסמו בשבועות האחרונים:</w:t>
      </w:r>
    </w:p>
    <w:p w:rsidR="00DC08B4" w:rsidRPr="002B5CFE" w:rsidRDefault="003F0F23" w:rsidP="003F0F23">
      <w:pPr>
        <w:pStyle w:val="a6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F0F23">
        <w:rPr>
          <w:rFonts w:cs="David"/>
          <w:sz w:val="24"/>
          <w:szCs w:val="24"/>
          <w:rtl/>
        </w:rPr>
        <w:t>הערכת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החשיפה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של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ענפי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המשק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הישראלי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לשינויים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בשער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החליפין</w:t>
      </w:r>
      <w:r w:rsidR="00DC08B4" w:rsidRPr="002B5CFE">
        <w:rPr>
          <w:rFonts w:cs="David" w:hint="cs"/>
          <w:sz w:val="24"/>
          <w:szCs w:val="24"/>
          <w:rtl/>
        </w:rPr>
        <w:t>;</w:t>
      </w:r>
    </w:p>
    <w:p w:rsidR="001D41DF" w:rsidRPr="003F0F23" w:rsidRDefault="003F0F23" w:rsidP="003F0F23">
      <w:pPr>
        <w:pStyle w:val="a6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3F0F23">
        <w:rPr>
          <w:rFonts w:cs="David"/>
          <w:sz w:val="24"/>
          <w:szCs w:val="24"/>
          <w:rtl/>
        </w:rPr>
        <w:t>ההשפעה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של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הטלת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המס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על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כלים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חד</w:t>
      </w:r>
      <w:r w:rsidRPr="003F0F23">
        <w:rPr>
          <w:rFonts w:cs="David"/>
          <w:sz w:val="24"/>
          <w:szCs w:val="24"/>
        </w:rPr>
        <w:t>-</w:t>
      </w:r>
      <w:r w:rsidRPr="003F0F23">
        <w:rPr>
          <w:rFonts w:cs="David"/>
          <w:sz w:val="24"/>
          <w:szCs w:val="24"/>
          <w:rtl/>
        </w:rPr>
        <w:t>פעמיים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על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מחיריהם</w:t>
      </w:r>
      <w:r w:rsidRPr="003F0F23">
        <w:rPr>
          <w:rFonts w:cs="David"/>
          <w:sz w:val="24"/>
          <w:szCs w:val="24"/>
        </w:rPr>
        <w:t xml:space="preserve"> - </w:t>
      </w:r>
      <w:r w:rsidRPr="003F0F23">
        <w:rPr>
          <w:rFonts w:cs="David"/>
          <w:sz w:val="24"/>
          <w:szCs w:val="24"/>
          <w:rtl/>
        </w:rPr>
        <w:t>כוסות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חד</w:t>
      </w:r>
      <w:r w:rsidRPr="003F0F23">
        <w:rPr>
          <w:rFonts w:cs="David"/>
          <w:sz w:val="24"/>
          <w:szCs w:val="24"/>
        </w:rPr>
        <w:t>-</w:t>
      </w:r>
      <w:r w:rsidRPr="003F0F23">
        <w:rPr>
          <w:rFonts w:cs="David"/>
          <w:sz w:val="24"/>
          <w:szCs w:val="24"/>
          <w:rtl/>
        </w:rPr>
        <w:t>פעמיות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כמקרה</w:t>
      </w:r>
      <w:r w:rsidRPr="003F0F23">
        <w:rPr>
          <w:rFonts w:cs="David"/>
          <w:sz w:val="24"/>
          <w:szCs w:val="24"/>
        </w:rPr>
        <w:t xml:space="preserve"> </w:t>
      </w:r>
      <w:r w:rsidRPr="003F0F23">
        <w:rPr>
          <w:rFonts w:cs="David"/>
          <w:sz w:val="24"/>
          <w:szCs w:val="24"/>
          <w:rtl/>
        </w:rPr>
        <w:t>בוחן</w:t>
      </w:r>
      <w:r w:rsidR="00DC08B4" w:rsidRPr="003F0F23">
        <w:rPr>
          <w:rFonts w:cs="David" w:hint="cs"/>
          <w:sz w:val="24"/>
          <w:szCs w:val="24"/>
          <w:rtl/>
        </w:rPr>
        <w:t>.</w:t>
      </w:r>
    </w:p>
    <w:p w:rsidR="003F0F23" w:rsidRPr="003F0F23" w:rsidRDefault="00DC08B4" w:rsidP="00CC6A4D">
      <w:pPr>
        <w:spacing w:after="0" w:line="360" w:lineRule="auto"/>
        <w:ind w:left="357"/>
        <w:jc w:val="both"/>
        <w:rPr>
          <w:rFonts w:ascii="David" w:hAnsi="David" w:cs="David"/>
          <w:sz w:val="24"/>
          <w:szCs w:val="24"/>
          <w:rtl/>
        </w:rPr>
      </w:pPr>
      <w:r w:rsidRPr="001D41DF">
        <w:rPr>
          <w:rFonts w:ascii="David" w:hAnsi="David" w:cs="David"/>
          <w:sz w:val="24"/>
          <w:szCs w:val="24"/>
          <w:rtl/>
        </w:rPr>
        <w:t>המאמר ה</w:t>
      </w:r>
      <w:r w:rsidR="003F0F23">
        <w:rPr>
          <w:rFonts w:ascii="David" w:hAnsi="David" w:cs="David" w:hint="cs"/>
          <w:sz w:val="24"/>
          <w:szCs w:val="24"/>
          <w:rtl/>
        </w:rPr>
        <w:t>שלי</w:t>
      </w:r>
      <w:r w:rsidRPr="001D41DF">
        <w:rPr>
          <w:rFonts w:ascii="David" w:hAnsi="David" w:cs="David"/>
          <w:sz w:val="24"/>
          <w:szCs w:val="24"/>
          <w:rtl/>
        </w:rPr>
        <w:t>שי שנכתב על ידי</w:t>
      </w:r>
      <w:r w:rsidR="00D938D4" w:rsidRPr="001D41DF">
        <w:rPr>
          <w:rFonts w:ascii="David" w:hAnsi="David" w:cs="David"/>
          <w:sz w:val="24"/>
          <w:szCs w:val="24"/>
          <w:rtl/>
        </w:rPr>
        <w:t xml:space="preserve"> </w:t>
      </w:r>
      <w:r w:rsidR="003F0F23">
        <w:rPr>
          <w:rFonts w:ascii="David" w:hAnsi="David" w:cs="David" w:hint="cs"/>
          <w:sz w:val="24"/>
          <w:szCs w:val="24"/>
          <w:rtl/>
        </w:rPr>
        <w:t xml:space="preserve">ספיר </w:t>
      </w:r>
      <w:proofErr w:type="spellStart"/>
      <w:r w:rsidR="003F0F23">
        <w:rPr>
          <w:rFonts w:ascii="David" w:hAnsi="David" w:cs="David" w:hint="cs"/>
          <w:sz w:val="24"/>
          <w:szCs w:val="24"/>
          <w:rtl/>
        </w:rPr>
        <w:t>מסבנד</w:t>
      </w:r>
      <w:proofErr w:type="spellEnd"/>
      <w:r w:rsidR="003F0F23">
        <w:rPr>
          <w:rFonts w:ascii="David" w:hAnsi="David" w:cs="David" w:hint="cs"/>
          <w:sz w:val="24"/>
          <w:szCs w:val="24"/>
          <w:rtl/>
        </w:rPr>
        <w:t xml:space="preserve"> בהנחיית דניאל נתן</w:t>
      </w:r>
      <w:r w:rsidR="001260FA" w:rsidRPr="001D41DF">
        <w:rPr>
          <w:rFonts w:ascii="David" w:hAnsi="David" w:cs="David"/>
          <w:sz w:val="24"/>
          <w:szCs w:val="24"/>
          <w:rtl/>
        </w:rPr>
        <w:t xml:space="preserve"> -</w:t>
      </w:r>
      <w:r w:rsidR="00D938D4" w:rsidRPr="001D41DF">
        <w:rPr>
          <w:rFonts w:ascii="David" w:hAnsi="David" w:cs="David"/>
          <w:sz w:val="24"/>
          <w:szCs w:val="24"/>
          <w:rtl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המחסור</w:t>
      </w:r>
      <w:r w:rsidR="003F0F23" w:rsidRPr="003F0F23">
        <w:rPr>
          <w:rFonts w:ascii="David" w:hAnsi="David" w:cs="David"/>
          <w:sz w:val="24"/>
          <w:szCs w:val="24"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במימון</w:t>
      </w:r>
      <w:r w:rsidR="003F0F23" w:rsidRPr="003F0F23">
        <w:rPr>
          <w:rFonts w:ascii="David" w:hAnsi="David" w:cs="David"/>
          <w:sz w:val="24"/>
          <w:szCs w:val="24"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דולרי</w:t>
      </w:r>
      <w:r w:rsidR="003F0F23" w:rsidRPr="003F0F23">
        <w:rPr>
          <w:rFonts w:ascii="David" w:hAnsi="David" w:cs="David"/>
          <w:sz w:val="24"/>
          <w:szCs w:val="24"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בעולם</w:t>
      </w:r>
      <w:r w:rsidR="003F0F23" w:rsidRPr="003F0F23">
        <w:rPr>
          <w:rFonts w:ascii="David" w:hAnsi="David" w:cs="David"/>
          <w:sz w:val="24"/>
          <w:szCs w:val="24"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ובישראל</w:t>
      </w:r>
      <w:r w:rsidR="003F0F23" w:rsidRPr="003F0F23">
        <w:rPr>
          <w:rFonts w:ascii="David" w:hAnsi="David" w:cs="David"/>
          <w:sz w:val="24"/>
          <w:szCs w:val="24"/>
        </w:rPr>
        <w:t xml:space="preserve"> – </w:t>
      </w:r>
      <w:r w:rsidR="003F0F23" w:rsidRPr="003F0F23">
        <w:rPr>
          <w:rFonts w:ascii="David" w:hAnsi="David" w:cs="David"/>
          <w:sz w:val="24"/>
          <w:szCs w:val="24"/>
          <w:rtl/>
        </w:rPr>
        <w:t>בחינת</w:t>
      </w:r>
      <w:r w:rsidR="003F0F23" w:rsidRPr="003F0F23">
        <w:rPr>
          <w:rFonts w:ascii="David" w:hAnsi="David" w:cs="David"/>
          <w:sz w:val="24"/>
          <w:szCs w:val="24"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הסטיות</w:t>
      </w:r>
      <w:r w:rsidR="003F0F23" w:rsidRPr="003F0F23">
        <w:rPr>
          <w:rFonts w:ascii="David" w:hAnsi="David" w:cs="David"/>
          <w:sz w:val="24"/>
          <w:szCs w:val="24"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מתנאי</w:t>
      </w:r>
      <w:r w:rsidR="003F0F23" w:rsidRPr="003F0F23">
        <w:rPr>
          <w:rFonts w:ascii="David" w:hAnsi="David" w:cs="David"/>
          <w:sz w:val="24"/>
          <w:szCs w:val="24"/>
        </w:rPr>
        <w:t xml:space="preserve"> </w:t>
      </w:r>
      <w:r w:rsidR="003F0F23" w:rsidRPr="003F0F23">
        <w:rPr>
          <w:rFonts w:ascii="David" w:hAnsi="David" w:cs="David"/>
          <w:sz w:val="24"/>
          <w:szCs w:val="24"/>
          <w:rtl/>
        </w:rPr>
        <w:t>ה</w:t>
      </w:r>
      <w:r w:rsidR="003F0F23" w:rsidRPr="003F0F23">
        <w:rPr>
          <w:rFonts w:ascii="David" w:hAnsi="David" w:cs="David" w:hint="cs"/>
          <w:sz w:val="24"/>
          <w:szCs w:val="24"/>
        </w:rPr>
        <w:t>CIP</w:t>
      </w:r>
      <w:r w:rsidR="003F0F23" w:rsidRPr="003F0F23">
        <w:rPr>
          <w:rFonts w:ascii="David" w:hAnsi="David" w:cs="David"/>
          <w:sz w:val="24"/>
          <w:szCs w:val="24"/>
        </w:rPr>
        <w:t>-</w:t>
      </w:r>
      <w:r w:rsidR="003F0F23">
        <w:rPr>
          <w:rFonts w:ascii="David" w:hAnsi="David" w:cs="David" w:hint="cs"/>
          <w:sz w:val="24"/>
          <w:szCs w:val="24"/>
          <w:rtl/>
        </w:rPr>
        <w:t xml:space="preserve"> - בוחן את התפתחות המחסור במימון דולרי באמצעות פערי הריביות</w:t>
      </w:r>
      <w:r w:rsidR="0034401C">
        <w:rPr>
          <w:rFonts w:ascii="David" w:hAnsi="David" w:cs="David" w:hint="cs"/>
          <w:sz w:val="24"/>
          <w:szCs w:val="24"/>
          <w:rtl/>
        </w:rPr>
        <w:t xml:space="preserve"> הדולריות המקומיות (</w:t>
      </w:r>
      <w:r w:rsidR="0034401C">
        <w:rPr>
          <w:rFonts w:ascii="David" w:hAnsi="David" w:cs="David"/>
          <w:sz w:val="24"/>
          <w:szCs w:val="24"/>
        </w:rPr>
        <w:t>offshore dollar rate</w:t>
      </w:r>
      <w:r w:rsidR="0034401C">
        <w:rPr>
          <w:rFonts w:ascii="David" w:hAnsi="David" w:cs="David" w:hint="cs"/>
          <w:sz w:val="24"/>
          <w:szCs w:val="24"/>
          <w:rtl/>
        </w:rPr>
        <w:t>) ואלה בארה"ב (</w:t>
      </w:r>
      <w:r w:rsidR="0034401C">
        <w:rPr>
          <w:rFonts w:ascii="David" w:hAnsi="David" w:cs="David"/>
          <w:sz w:val="24"/>
          <w:szCs w:val="24"/>
        </w:rPr>
        <w:t>onshore dollar rate</w:t>
      </w:r>
      <w:r w:rsidR="0034401C">
        <w:rPr>
          <w:rFonts w:ascii="David" w:hAnsi="David" w:cs="David" w:hint="cs"/>
          <w:sz w:val="24"/>
          <w:szCs w:val="24"/>
          <w:rtl/>
        </w:rPr>
        <w:t xml:space="preserve">). המאמר </w:t>
      </w:r>
      <w:r w:rsidR="00D82BC4">
        <w:rPr>
          <w:rFonts w:ascii="David" w:hAnsi="David" w:cs="David" w:hint="cs"/>
          <w:sz w:val="24"/>
          <w:szCs w:val="24"/>
          <w:rtl/>
        </w:rPr>
        <w:t xml:space="preserve">משתמש במתודולוגיה מקובלת בספרות ומוצא כי פער זה התרחב בעולם מאז המשבר הפיננסי ב-2008, וכי הפער נותר גדול גם ב-6 השנים האחרונות, תקופה שלא נבחנה במאמרים קודמים. </w:t>
      </w:r>
      <w:r w:rsidR="003C60AD">
        <w:rPr>
          <w:rFonts w:ascii="David" w:hAnsi="David" w:cs="David" w:hint="cs"/>
          <w:sz w:val="24"/>
          <w:szCs w:val="24"/>
          <w:rtl/>
        </w:rPr>
        <w:t>המאמר סוקר את הגורמים ל</w:t>
      </w:r>
      <w:r w:rsidR="005B40B9">
        <w:rPr>
          <w:rFonts w:ascii="David" w:hAnsi="David" w:cs="David" w:hint="cs"/>
          <w:sz w:val="24"/>
          <w:szCs w:val="24"/>
          <w:rtl/>
        </w:rPr>
        <w:t xml:space="preserve">הימצאות הפער </w:t>
      </w:r>
      <w:r w:rsidR="00CC6A4D">
        <w:rPr>
          <w:rFonts w:ascii="David" w:hAnsi="David" w:cs="David" w:hint="cs"/>
          <w:sz w:val="24"/>
          <w:szCs w:val="24"/>
          <w:rtl/>
        </w:rPr>
        <w:t xml:space="preserve">הכוללים, בין היתר, </w:t>
      </w:r>
      <w:r w:rsidR="000B6BE7">
        <w:rPr>
          <w:rFonts w:ascii="David" w:hAnsi="David" w:cs="David" w:hint="cs"/>
          <w:sz w:val="24"/>
          <w:szCs w:val="24"/>
          <w:rtl/>
        </w:rPr>
        <w:t>רגולציה מחמירה יותר</w:t>
      </w:r>
      <w:r w:rsidR="00CC6A4D">
        <w:rPr>
          <w:rFonts w:ascii="David" w:hAnsi="David" w:cs="David" w:hint="cs"/>
          <w:sz w:val="24"/>
          <w:szCs w:val="24"/>
          <w:rtl/>
        </w:rPr>
        <w:t xml:space="preserve"> על הבנקים</w:t>
      </w:r>
      <w:r w:rsidR="000B6BE7">
        <w:rPr>
          <w:rFonts w:ascii="David" w:hAnsi="David" w:cs="David" w:hint="cs"/>
          <w:sz w:val="24"/>
          <w:szCs w:val="24"/>
          <w:rtl/>
        </w:rPr>
        <w:t xml:space="preserve"> </w:t>
      </w:r>
      <w:r w:rsidR="00CC6A4D">
        <w:rPr>
          <w:rFonts w:ascii="David" w:hAnsi="David" w:cs="David" w:hint="cs"/>
          <w:sz w:val="24"/>
          <w:szCs w:val="24"/>
          <w:rtl/>
        </w:rPr>
        <w:t xml:space="preserve">מאז המשבר הפיננסי של 2008. </w:t>
      </w:r>
      <w:r w:rsidR="00D82BC4">
        <w:rPr>
          <w:rFonts w:ascii="David" w:hAnsi="David" w:cs="David" w:hint="cs"/>
          <w:sz w:val="24"/>
          <w:szCs w:val="24"/>
          <w:rtl/>
        </w:rPr>
        <w:t>לראשונה, המאמר בוחן גם את הימצאותו של הפער בישראל, ומוצא כי פער כזה, כלומר מחסור במימון דולרי, קיים גם בישראל ובהיקפים דומים לממצאים במדינות ה-</w:t>
      </w:r>
      <w:r w:rsidR="00D82BC4">
        <w:rPr>
          <w:rFonts w:ascii="David" w:hAnsi="David" w:cs="David"/>
          <w:sz w:val="24"/>
          <w:szCs w:val="24"/>
        </w:rPr>
        <w:t>G10</w:t>
      </w:r>
      <w:r w:rsidR="00D82BC4">
        <w:rPr>
          <w:rFonts w:ascii="David" w:hAnsi="David" w:cs="David" w:hint="cs"/>
          <w:sz w:val="24"/>
          <w:szCs w:val="24"/>
          <w:rtl/>
        </w:rPr>
        <w:t>. עוד נמצא בעבודה כי גודל הסטיות מתוואי ה-</w:t>
      </w:r>
      <w:r w:rsidR="00D82BC4">
        <w:rPr>
          <w:rFonts w:ascii="David" w:hAnsi="David" w:cs="David" w:hint="cs"/>
          <w:sz w:val="24"/>
          <w:szCs w:val="24"/>
        </w:rPr>
        <w:t>CIP</w:t>
      </w:r>
      <w:r w:rsidR="00D82BC4">
        <w:rPr>
          <w:rFonts w:ascii="David" w:hAnsi="David" w:cs="David" w:hint="cs"/>
          <w:sz w:val="24"/>
          <w:szCs w:val="24"/>
          <w:rtl/>
        </w:rPr>
        <w:t xml:space="preserve"> בישראל ובעולם נוטה לגדול סביב משברים כלכליים.</w:t>
      </w:r>
    </w:p>
    <w:p w:rsidR="002B5CFE" w:rsidRPr="002B5CFE" w:rsidRDefault="002B5CFE" w:rsidP="003F0F23">
      <w:pPr>
        <w:spacing w:after="120" w:line="360" w:lineRule="auto"/>
        <w:ind w:left="357"/>
        <w:jc w:val="both"/>
        <w:rPr>
          <w:rFonts w:ascii="David" w:hAnsi="David" w:cs="David"/>
          <w:sz w:val="24"/>
          <w:szCs w:val="24"/>
          <w:rtl/>
        </w:rPr>
      </w:pPr>
    </w:p>
    <w:p w:rsidR="007F7540" w:rsidRPr="002B5CFE" w:rsidRDefault="002B5CFE" w:rsidP="00A51E0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B5CFE">
        <w:rPr>
          <w:rFonts w:ascii="David" w:hAnsi="David" w:cs="David"/>
          <w:sz w:val="24"/>
          <w:szCs w:val="24"/>
          <w:rtl/>
        </w:rPr>
        <w:t xml:space="preserve"> </w:t>
      </w:r>
    </w:p>
    <w:sectPr w:rsidR="007F7540" w:rsidRPr="002B5CFE" w:rsidSect="002B5C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EA" w:rsidRDefault="007A09EA" w:rsidP="007F7540">
      <w:pPr>
        <w:spacing w:after="0" w:line="240" w:lineRule="auto"/>
      </w:pPr>
      <w:r>
        <w:separator/>
      </w:r>
    </w:p>
  </w:endnote>
  <w:endnote w:type="continuationSeparator" w:id="0">
    <w:p w:rsidR="007A09EA" w:rsidRDefault="007A09EA" w:rsidP="007F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A9" w:rsidRDefault="006630A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A9" w:rsidRDefault="006630A9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A9" w:rsidRDefault="006630A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EA" w:rsidRDefault="007A09EA" w:rsidP="007F7540">
      <w:pPr>
        <w:spacing w:after="0" w:line="240" w:lineRule="auto"/>
      </w:pPr>
      <w:r>
        <w:separator/>
      </w:r>
    </w:p>
  </w:footnote>
  <w:footnote w:type="continuationSeparator" w:id="0">
    <w:p w:rsidR="007A09EA" w:rsidRDefault="007A09EA" w:rsidP="007F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A9" w:rsidRDefault="006630A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A9" w:rsidRDefault="006630A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A9" w:rsidRDefault="006630A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7B0"/>
    <w:multiLevelType w:val="hybridMultilevel"/>
    <w:tmpl w:val="9892B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1A5"/>
    <w:multiLevelType w:val="hybridMultilevel"/>
    <w:tmpl w:val="B65C5604"/>
    <w:lvl w:ilvl="0" w:tplc="6B10BC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9580B26"/>
    <w:multiLevelType w:val="hybridMultilevel"/>
    <w:tmpl w:val="DB0E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12E9"/>
    <w:multiLevelType w:val="hybridMultilevel"/>
    <w:tmpl w:val="0892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6AAF"/>
    <w:multiLevelType w:val="hybridMultilevel"/>
    <w:tmpl w:val="252ED8C4"/>
    <w:lvl w:ilvl="0" w:tplc="4B36B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D7E0C"/>
    <w:multiLevelType w:val="hybridMultilevel"/>
    <w:tmpl w:val="9892B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3C82"/>
    <w:multiLevelType w:val="multilevel"/>
    <w:tmpl w:val="272C4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40"/>
    <w:rsid w:val="00014791"/>
    <w:rsid w:val="000259EB"/>
    <w:rsid w:val="0003355F"/>
    <w:rsid w:val="00064804"/>
    <w:rsid w:val="00073CC2"/>
    <w:rsid w:val="00086B95"/>
    <w:rsid w:val="000B6BE7"/>
    <w:rsid w:val="000C650E"/>
    <w:rsid w:val="00114058"/>
    <w:rsid w:val="00121ED9"/>
    <w:rsid w:val="001260FA"/>
    <w:rsid w:val="00134AC7"/>
    <w:rsid w:val="00145ED9"/>
    <w:rsid w:val="00155D6E"/>
    <w:rsid w:val="001824F5"/>
    <w:rsid w:val="001D41DF"/>
    <w:rsid w:val="002021E5"/>
    <w:rsid w:val="00202BD7"/>
    <w:rsid w:val="00231036"/>
    <w:rsid w:val="00244D61"/>
    <w:rsid w:val="00254BBB"/>
    <w:rsid w:val="00283AD6"/>
    <w:rsid w:val="002A3715"/>
    <w:rsid w:val="002B5CFE"/>
    <w:rsid w:val="002C661D"/>
    <w:rsid w:val="002F234C"/>
    <w:rsid w:val="003024D9"/>
    <w:rsid w:val="00330101"/>
    <w:rsid w:val="003322A2"/>
    <w:rsid w:val="003331DF"/>
    <w:rsid w:val="0034401C"/>
    <w:rsid w:val="00356A88"/>
    <w:rsid w:val="003731E3"/>
    <w:rsid w:val="0039524E"/>
    <w:rsid w:val="003C135E"/>
    <w:rsid w:val="003C4ECA"/>
    <w:rsid w:val="003C60AD"/>
    <w:rsid w:val="003F0F23"/>
    <w:rsid w:val="003F176A"/>
    <w:rsid w:val="004045D8"/>
    <w:rsid w:val="0044117F"/>
    <w:rsid w:val="004411DA"/>
    <w:rsid w:val="004A752A"/>
    <w:rsid w:val="004A7D02"/>
    <w:rsid w:val="004D7F1F"/>
    <w:rsid w:val="005158CE"/>
    <w:rsid w:val="00540639"/>
    <w:rsid w:val="005B3029"/>
    <w:rsid w:val="005B40B9"/>
    <w:rsid w:val="005B7135"/>
    <w:rsid w:val="005B763B"/>
    <w:rsid w:val="005C2CE0"/>
    <w:rsid w:val="005C720D"/>
    <w:rsid w:val="005E3A50"/>
    <w:rsid w:val="005F2C85"/>
    <w:rsid w:val="00607665"/>
    <w:rsid w:val="006232AB"/>
    <w:rsid w:val="00634F6D"/>
    <w:rsid w:val="006406E7"/>
    <w:rsid w:val="00640DBC"/>
    <w:rsid w:val="006519CB"/>
    <w:rsid w:val="006630A9"/>
    <w:rsid w:val="00664267"/>
    <w:rsid w:val="00666A84"/>
    <w:rsid w:val="006A2B30"/>
    <w:rsid w:val="00730D18"/>
    <w:rsid w:val="00733E5A"/>
    <w:rsid w:val="007A09EA"/>
    <w:rsid w:val="007F2B04"/>
    <w:rsid w:val="007F7540"/>
    <w:rsid w:val="0080289A"/>
    <w:rsid w:val="00825C34"/>
    <w:rsid w:val="00857690"/>
    <w:rsid w:val="00863164"/>
    <w:rsid w:val="008715EC"/>
    <w:rsid w:val="0089197F"/>
    <w:rsid w:val="0089297A"/>
    <w:rsid w:val="0089743D"/>
    <w:rsid w:val="008E5311"/>
    <w:rsid w:val="0092182D"/>
    <w:rsid w:val="00925796"/>
    <w:rsid w:val="009312B6"/>
    <w:rsid w:val="009360B8"/>
    <w:rsid w:val="00963DDF"/>
    <w:rsid w:val="00984C29"/>
    <w:rsid w:val="0099165F"/>
    <w:rsid w:val="009B2776"/>
    <w:rsid w:val="009C5B6D"/>
    <w:rsid w:val="009D2FC0"/>
    <w:rsid w:val="009F3101"/>
    <w:rsid w:val="00A21A0D"/>
    <w:rsid w:val="00A51E03"/>
    <w:rsid w:val="00A912FD"/>
    <w:rsid w:val="00AF344F"/>
    <w:rsid w:val="00B0225B"/>
    <w:rsid w:val="00B16D33"/>
    <w:rsid w:val="00B33AEF"/>
    <w:rsid w:val="00B45EF2"/>
    <w:rsid w:val="00B52B11"/>
    <w:rsid w:val="00B60ED5"/>
    <w:rsid w:val="00BA4FE5"/>
    <w:rsid w:val="00BA65F9"/>
    <w:rsid w:val="00BC3560"/>
    <w:rsid w:val="00BD3572"/>
    <w:rsid w:val="00BE568A"/>
    <w:rsid w:val="00BF5EFB"/>
    <w:rsid w:val="00C0504C"/>
    <w:rsid w:val="00C24B4D"/>
    <w:rsid w:val="00C3102F"/>
    <w:rsid w:val="00CA31CF"/>
    <w:rsid w:val="00CA5DE8"/>
    <w:rsid w:val="00CC6A4D"/>
    <w:rsid w:val="00CF6CBE"/>
    <w:rsid w:val="00CF75BD"/>
    <w:rsid w:val="00D00085"/>
    <w:rsid w:val="00D127F4"/>
    <w:rsid w:val="00D43B10"/>
    <w:rsid w:val="00D461EA"/>
    <w:rsid w:val="00D82BC4"/>
    <w:rsid w:val="00D938D4"/>
    <w:rsid w:val="00DC08B4"/>
    <w:rsid w:val="00DC3DDC"/>
    <w:rsid w:val="00DF4668"/>
    <w:rsid w:val="00E00841"/>
    <w:rsid w:val="00E115A8"/>
    <w:rsid w:val="00E515D1"/>
    <w:rsid w:val="00E604A6"/>
    <w:rsid w:val="00E7422E"/>
    <w:rsid w:val="00EA1257"/>
    <w:rsid w:val="00EA1E0B"/>
    <w:rsid w:val="00EB306A"/>
    <w:rsid w:val="00EB56F5"/>
    <w:rsid w:val="00EC7B0E"/>
    <w:rsid w:val="00EE0192"/>
    <w:rsid w:val="00EE2D28"/>
    <w:rsid w:val="00F375C8"/>
    <w:rsid w:val="00F90F38"/>
    <w:rsid w:val="00FB5D10"/>
    <w:rsid w:val="00FB6350"/>
    <w:rsid w:val="00FC09D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B5CFE"/>
    <w:pPr>
      <w:spacing w:line="360" w:lineRule="auto"/>
      <w:jc w:val="center"/>
      <w:outlineLvl w:val="0"/>
    </w:pPr>
    <w:rPr>
      <w:rFonts w:cs="David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2B5CFE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2B5CF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754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F75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7540"/>
    <w:rPr>
      <w:vertAlign w:val="superscript"/>
    </w:rPr>
  </w:style>
  <w:style w:type="paragraph" w:styleId="a6">
    <w:name w:val="List Paragraph"/>
    <w:basedOn w:val="a"/>
    <w:uiPriority w:val="34"/>
    <w:qFormat/>
    <w:rsid w:val="007F7540"/>
    <w:pPr>
      <w:ind w:left="720"/>
      <w:contextualSpacing/>
    </w:pPr>
  </w:style>
  <w:style w:type="table" w:styleId="a7">
    <w:name w:val="Table Grid"/>
    <w:basedOn w:val="a1"/>
    <w:uiPriority w:val="59"/>
    <w:rsid w:val="007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F754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55D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5D6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55D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5D6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55D6E"/>
    <w:rPr>
      <w:b/>
      <w:bCs/>
      <w:sz w:val="20"/>
      <w:szCs w:val="20"/>
    </w:rPr>
  </w:style>
  <w:style w:type="character" w:customStyle="1" w:styleId="30">
    <w:name w:val="כותרת 3 תו"/>
    <w:basedOn w:val="a0"/>
    <w:link w:val="3"/>
    <w:uiPriority w:val="9"/>
    <w:rsid w:val="002B5CFE"/>
    <w:rPr>
      <w:rFonts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2B5CFE"/>
    <w:rPr>
      <w:rFonts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2B5CFE"/>
    <w:rPr>
      <w:rFonts w:cs="David"/>
      <w:b/>
      <w:bCs/>
      <w:sz w:val="28"/>
      <w:szCs w:val="28"/>
    </w:rPr>
  </w:style>
  <w:style w:type="paragraph" w:styleId="af">
    <w:name w:val="Revision"/>
    <w:hidden/>
    <w:uiPriority w:val="99"/>
    <w:semiHidden/>
    <w:rsid w:val="0034401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663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6630A9"/>
  </w:style>
  <w:style w:type="paragraph" w:styleId="af2">
    <w:name w:val="footer"/>
    <w:basedOn w:val="a"/>
    <w:link w:val="af3"/>
    <w:uiPriority w:val="99"/>
    <w:unhideWhenUsed/>
    <w:rsid w:val="00663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66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3C8D-3464-4EAE-ACB0-4DA000BF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2023-01-04T06:59:00Z</dcterms:created>
  <dcterms:modified xsi:type="dcterms:W3CDTF">2023-01-04T06:59:00Z</dcterms:modified>
</cp:coreProperties>
</file>