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01"/>
        <w:bidiVisual/>
        <w:tblW w:w="8728" w:type="dxa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916"/>
        <w:gridCol w:w="2835"/>
        <w:gridCol w:w="2977"/>
      </w:tblGrid>
      <w:tr w:rsidR="00D410A1" w:rsidRPr="00F84402" w:rsidTr="00A541B2">
        <w:trPr>
          <w:trHeight w:val="1566"/>
          <w:tblHeader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0A1" w:rsidRPr="000D4675" w:rsidRDefault="00D410A1" w:rsidP="00A541B2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0D467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בנק ישראל</w:t>
            </w:r>
          </w:p>
          <w:p w:rsidR="00D410A1" w:rsidRPr="000D4675" w:rsidRDefault="00D410A1" w:rsidP="00A541B2">
            <w:pPr>
              <w:ind w:right="-101"/>
              <w:jc w:val="center"/>
              <w:rPr>
                <w:rFonts w:ascii="David" w:hAnsi="David" w:cs="David"/>
                <w:rtl/>
              </w:rPr>
            </w:pPr>
            <w:r w:rsidRPr="00F84402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10A1" w:rsidRPr="000D4675" w:rsidRDefault="00D410A1" w:rsidP="00A541B2">
            <w:pPr>
              <w:jc w:val="center"/>
              <w:rPr>
                <w:rFonts w:ascii="David" w:hAnsi="David" w:cs="David"/>
              </w:rPr>
            </w:pPr>
            <w:r w:rsidRPr="000D4675">
              <w:rPr>
                <w:rFonts w:ascii="David" w:hAnsi="David" w:cs="David"/>
                <w:noProof/>
              </w:rPr>
              <w:drawing>
                <wp:inline distT="0" distB="0" distL="0" distR="0" wp14:anchorId="7682B89D" wp14:editId="0FF14AEF">
                  <wp:extent cx="749935" cy="749935"/>
                  <wp:effectExtent l="0" t="0" r="0" b="0"/>
                  <wp:docPr id="9" name="תמונה 9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0A1" w:rsidRPr="002A1AF3" w:rsidRDefault="00D410A1" w:rsidP="000F08B9">
            <w:pPr>
              <w:spacing w:line="480" w:lineRule="auto"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ED537A">
              <w:rPr>
                <w:rFonts w:ascii="David" w:hAnsi="David" w:cs="David"/>
                <w:sz w:val="24"/>
                <w:szCs w:val="24"/>
                <w:rtl/>
              </w:rPr>
              <w:t>‏‏ירושלים,</w:t>
            </w:r>
            <w:r w:rsidRPr="00ED537A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ED537A">
              <w:rPr>
                <w:rFonts w:ascii="David" w:hAnsi="David" w:cs="David" w:hint="eastAsia"/>
                <w:sz w:val="24"/>
                <w:szCs w:val="24"/>
                <w:rtl/>
              </w:rPr>
              <w:t>‏‏</w:t>
            </w:r>
            <w:r>
              <w:rPr>
                <w:rFonts w:ascii="David" w:hAnsi="David" w:cs="David" w:hint="eastAsia"/>
                <w:sz w:val="24"/>
                <w:szCs w:val="24"/>
                <w:rtl/>
              </w:rPr>
              <w:t>‏</w:t>
            </w:r>
            <w:r w:rsidR="000F08B9">
              <w:rPr>
                <w:rFonts w:ascii="David" w:hAnsi="David" w:cs="David" w:hint="cs"/>
                <w:sz w:val="24"/>
                <w:szCs w:val="24"/>
                <w:rtl/>
              </w:rPr>
              <w:t xml:space="preserve">כ"ב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באדר,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תש"ף</w:t>
            </w:r>
            <w:proofErr w:type="spellEnd"/>
          </w:p>
          <w:p w:rsidR="00D410A1" w:rsidRPr="00AE6C75" w:rsidRDefault="00D410A1" w:rsidP="000F08B9">
            <w:pPr>
              <w:bidi w:val="0"/>
              <w:spacing w:line="480" w:lineRule="auto"/>
              <w:rPr>
                <w:rFonts w:ascii="David" w:hAnsi="David" w:cs="David"/>
                <w:sz w:val="24"/>
                <w:szCs w:val="24"/>
                <w:highlight w:val="yellow"/>
              </w:rPr>
            </w:pPr>
            <w:r w:rsidRPr="002A1AF3">
              <w:rPr>
                <w:rFonts w:ascii="David" w:hAnsi="David" w:cs="David"/>
                <w:sz w:val="24"/>
                <w:szCs w:val="24"/>
                <w:rtl/>
              </w:rPr>
              <w:t>‏</w:t>
            </w:r>
            <w:r w:rsidRPr="002A1AF3">
              <w:rPr>
                <w:rFonts w:ascii="David" w:hAnsi="David" w:cs="David" w:hint="eastAsia"/>
                <w:sz w:val="24"/>
                <w:szCs w:val="24"/>
                <w:rtl/>
              </w:rPr>
              <w:t>‏</w:t>
            </w:r>
            <w:r>
              <w:rPr>
                <w:rFonts w:ascii="David" w:hAnsi="David" w:cs="David" w:hint="eastAsia"/>
                <w:sz w:val="24"/>
                <w:szCs w:val="24"/>
                <w:rtl/>
              </w:rPr>
              <w:t>‏</w:t>
            </w:r>
            <w:r w:rsidR="000F08B9">
              <w:rPr>
                <w:rFonts w:ascii="David" w:hAnsi="David" w:cs="David" w:hint="cs"/>
                <w:sz w:val="24"/>
                <w:szCs w:val="24"/>
                <w:rtl/>
              </w:rPr>
              <w:t>18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במרץ, </w:t>
            </w:r>
            <w:r>
              <w:rPr>
                <w:rFonts w:ascii="David" w:hAnsi="David" w:cs="David"/>
                <w:sz w:val="24"/>
                <w:szCs w:val="24"/>
                <w:rtl/>
              </w:rPr>
              <w:t>2020</w:t>
            </w:r>
          </w:p>
        </w:tc>
      </w:tr>
    </w:tbl>
    <w:p w:rsidR="00D410A1" w:rsidRPr="000D4675" w:rsidRDefault="00D410A1" w:rsidP="00D410A1">
      <w:pPr>
        <w:rPr>
          <w:rFonts w:ascii="David" w:hAnsi="David" w:cs="David"/>
          <w:rtl/>
        </w:rPr>
      </w:pPr>
    </w:p>
    <w:p w:rsidR="00073935" w:rsidRDefault="00073935" w:rsidP="00D410A1">
      <w:pPr>
        <w:rPr>
          <w:rFonts w:ascii="David" w:hAnsi="David" w:cs="David"/>
          <w:sz w:val="24"/>
          <w:szCs w:val="24"/>
          <w:rtl/>
        </w:rPr>
      </w:pPr>
    </w:p>
    <w:p w:rsidR="00D410A1" w:rsidRDefault="00D410A1" w:rsidP="00D410A1">
      <w:pPr>
        <w:rPr>
          <w:rFonts w:ascii="David" w:hAnsi="David" w:cs="David"/>
          <w:sz w:val="24"/>
          <w:szCs w:val="24"/>
          <w:rtl/>
        </w:rPr>
      </w:pPr>
      <w:r w:rsidRPr="00F84402">
        <w:rPr>
          <w:rFonts w:ascii="David" w:hAnsi="David" w:cs="David"/>
          <w:sz w:val="24"/>
          <w:szCs w:val="24"/>
          <w:rtl/>
        </w:rPr>
        <w:t>הודעה לעיתונות:</w:t>
      </w:r>
    </w:p>
    <w:p w:rsidR="00073935" w:rsidRDefault="00073935" w:rsidP="00D410A1">
      <w:pPr>
        <w:rPr>
          <w:rFonts w:ascii="David" w:hAnsi="David" w:cs="David"/>
          <w:sz w:val="24"/>
          <w:szCs w:val="24"/>
          <w:rtl/>
        </w:rPr>
      </w:pPr>
    </w:p>
    <w:p w:rsidR="000F08B9" w:rsidRDefault="00563B89" w:rsidP="00073935">
      <w:pPr>
        <w:pStyle w:val="NormalWeb"/>
        <w:bidi/>
        <w:spacing w:before="0" w:beforeAutospacing="0" w:after="0" w:afterAutospacing="0" w:line="360" w:lineRule="auto"/>
        <w:jc w:val="center"/>
        <w:rPr>
          <w:rFonts w:cs="David"/>
        </w:rPr>
      </w:pPr>
      <w:r w:rsidRPr="00563B89">
        <w:rPr>
          <w:rFonts w:ascii="David" w:hAnsi="David" w:cs="David"/>
          <w:b/>
          <w:bCs/>
          <w:sz w:val="28"/>
          <w:szCs w:val="28"/>
          <w:rtl/>
        </w:rPr>
        <w:t xml:space="preserve">בנק ישראל </w:t>
      </w:r>
      <w:r w:rsidR="00037B1D">
        <w:rPr>
          <w:rFonts w:ascii="David" w:hAnsi="David" w:cs="David" w:hint="cs"/>
          <w:b/>
          <w:bCs/>
          <w:sz w:val="28"/>
          <w:szCs w:val="28"/>
          <w:rtl/>
        </w:rPr>
        <w:t xml:space="preserve">מרחיב את </w:t>
      </w:r>
      <w:r w:rsidR="000A7F3D">
        <w:rPr>
          <w:rFonts w:ascii="David" w:hAnsi="David" w:cs="David" w:hint="cs"/>
          <w:b/>
          <w:bCs/>
          <w:sz w:val="28"/>
          <w:szCs w:val="28"/>
          <w:rtl/>
        </w:rPr>
        <w:t>היקף ה</w:t>
      </w:r>
      <w:r w:rsidR="00037B1D">
        <w:rPr>
          <w:rFonts w:ascii="David" w:hAnsi="David" w:cs="David" w:hint="cs"/>
          <w:b/>
          <w:bCs/>
          <w:sz w:val="28"/>
          <w:szCs w:val="28"/>
          <w:rtl/>
        </w:rPr>
        <w:t>פעילות</w:t>
      </w:r>
      <w:r w:rsidR="0014283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0A7F3D">
        <w:rPr>
          <w:rFonts w:ascii="David" w:hAnsi="David" w:cs="David" w:hint="cs"/>
          <w:b/>
          <w:bCs/>
          <w:sz w:val="28"/>
          <w:szCs w:val="28"/>
          <w:rtl/>
        </w:rPr>
        <w:t>ב</w:t>
      </w:r>
      <w:r w:rsidR="000F08B9">
        <w:rPr>
          <w:rFonts w:ascii="David" w:hAnsi="David" w:cs="David" w:hint="cs"/>
          <w:b/>
          <w:bCs/>
          <w:sz w:val="28"/>
          <w:szCs w:val="28"/>
          <w:rtl/>
        </w:rPr>
        <w:t xml:space="preserve">עסקות </w:t>
      </w:r>
      <w:r w:rsidR="000F08B9" w:rsidRPr="000F08B9">
        <w:rPr>
          <w:rFonts w:ascii="David" w:hAnsi="David" w:cs="David" w:hint="cs"/>
          <w:b/>
          <w:bCs/>
          <w:sz w:val="28"/>
          <w:szCs w:val="28"/>
          <w:rtl/>
        </w:rPr>
        <w:t>החלף דולר/שקל</w:t>
      </w:r>
      <w:r w:rsidR="00073935">
        <w:rPr>
          <w:rFonts w:ascii="David" w:hAnsi="David" w:cs="David" w:hint="cs"/>
          <w:b/>
          <w:bCs/>
          <w:sz w:val="28"/>
          <w:szCs w:val="28"/>
          <w:rtl/>
        </w:rPr>
        <w:t xml:space="preserve">- </w:t>
      </w:r>
      <w:r w:rsidR="0055710B">
        <w:rPr>
          <w:rFonts w:ascii="David" w:hAnsi="David" w:cs="David" w:hint="cs"/>
          <w:b/>
          <w:bCs/>
          <w:sz w:val="28"/>
          <w:szCs w:val="28"/>
          <w:rtl/>
        </w:rPr>
        <w:t>עד 15 מיליארד דולר</w:t>
      </w:r>
    </w:p>
    <w:p w:rsidR="00073935" w:rsidRDefault="00073935" w:rsidP="0055710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037B1D" w:rsidRDefault="00037B1D" w:rsidP="0055710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bookmarkStart w:id="0" w:name="_GoBack"/>
      <w:bookmarkEnd w:id="0"/>
      <w:r>
        <w:rPr>
          <w:rFonts w:ascii="David" w:hAnsi="David" w:cs="David" w:hint="cs"/>
          <w:sz w:val="24"/>
          <w:szCs w:val="24"/>
          <w:rtl/>
        </w:rPr>
        <w:t xml:space="preserve">בהמשך להודעת בנק ישראל </w:t>
      </w:r>
      <w:r w:rsidR="000A7F3D">
        <w:rPr>
          <w:rFonts w:ascii="David" w:hAnsi="David" w:cs="David" w:hint="cs"/>
          <w:sz w:val="24"/>
          <w:szCs w:val="24"/>
          <w:rtl/>
        </w:rPr>
        <w:t xml:space="preserve">ב-16.3.2020 </w:t>
      </w:r>
      <w:r>
        <w:rPr>
          <w:rFonts w:ascii="David" w:hAnsi="David" w:cs="David" w:hint="cs"/>
          <w:sz w:val="24"/>
          <w:szCs w:val="24"/>
          <w:rtl/>
        </w:rPr>
        <w:t xml:space="preserve">על הפעלת כלי נזילות נוסף בשווקים הפיננסיים </w:t>
      </w:r>
      <w:r w:rsidR="0055710B">
        <w:rPr>
          <w:rFonts w:ascii="David" w:hAnsi="David" w:cs="David" w:hint="cs"/>
          <w:sz w:val="24"/>
          <w:szCs w:val="24"/>
          <w:rtl/>
        </w:rPr>
        <w:t xml:space="preserve"> - </w:t>
      </w:r>
      <w:r>
        <w:rPr>
          <w:rFonts w:ascii="David" w:hAnsi="David" w:cs="David" w:hint="cs"/>
          <w:sz w:val="24"/>
          <w:szCs w:val="24"/>
          <w:rtl/>
        </w:rPr>
        <w:t xml:space="preserve"> קשירת עסקות החלף </w:t>
      </w:r>
      <w:proofErr w:type="spellStart"/>
      <w:r>
        <w:rPr>
          <w:rFonts w:ascii="David" w:hAnsi="David" w:cs="David" w:hint="cs"/>
          <w:sz w:val="24"/>
          <w:szCs w:val="24"/>
          <w:rtl/>
        </w:rPr>
        <w:t>לפרעון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לשבוע מול מערכת הבנקאות המקומית</w:t>
      </w:r>
      <w:r w:rsidR="0055710B">
        <w:rPr>
          <w:rFonts w:ascii="David" w:hAnsi="David" w:cs="David" w:hint="cs"/>
          <w:sz w:val="24"/>
          <w:szCs w:val="24"/>
          <w:rtl/>
        </w:rPr>
        <w:t xml:space="preserve"> - </w:t>
      </w:r>
      <w:r>
        <w:rPr>
          <w:rFonts w:ascii="David" w:hAnsi="David" w:cs="David" w:hint="cs"/>
          <w:sz w:val="24"/>
          <w:szCs w:val="24"/>
          <w:rtl/>
        </w:rPr>
        <w:t xml:space="preserve">בנק ישראל מרחיב את </w:t>
      </w:r>
      <w:r w:rsidR="0055710B"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>שימוש בכלי זה.</w:t>
      </w:r>
    </w:p>
    <w:p w:rsidR="00037B1D" w:rsidRDefault="00B6781D" w:rsidP="0055710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בנק ישראל יקצה בשלב זה עד 15</w:t>
      </w:r>
      <w:r w:rsidR="00037B1D">
        <w:rPr>
          <w:rFonts w:ascii="David" w:hAnsi="David" w:cs="David" w:hint="cs"/>
          <w:sz w:val="24"/>
          <w:szCs w:val="24"/>
          <w:rtl/>
        </w:rPr>
        <w:t xml:space="preserve"> מיליארד דולר</w:t>
      </w:r>
      <w:r w:rsidR="002E5D19">
        <w:rPr>
          <w:rFonts w:ascii="David" w:hAnsi="David" w:cs="David" w:hint="cs"/>
          <w:sz w:val="24"/>
          <w:szCs w:val="24"/>
          <w:rtl/>
        </w:rPr>
        <w:t xml:space="preserve"> </w:t>
      </w:r>
      <w:r w:rsidR="00037B1D">
        <w:rPr>
          <w:rFonts w:ascii="David" w:hAnsi="David" w:cs="David" w:hint="cs"/>
          <w:sz w:val="24"/>
          <w:szCs w:val="24"/>
          <w:rtl/>
        </w:rPr>
        <w:t xml:space="preserve">לעסקות החלף </w:t>
      </w:r>
      <w:r w:rsidR="0055710B">
        <w:rPr>
          <w:rFonts w:ascii="David" w:hAnsi="David" w:cs="David" w:hint="cs"/>
          <w:sz w:val="24"/>
          <w:szCs w:val="24"/>
          <w:rtl/>
        </w:rPr>
        <w:t xml:space="preserve">מול מערכת הבנקאות המקומית גם </w:t>
      </w:r>
      <w:r w:rsidR="00037B1D">
        <w:rPr>
          <w:rFonts w:ascii="David" w:hAnsi="David" w:cs="David" w:hint="cs"/>
          <w:sz w:val="24"/>
          <w:szCs w:val="24"/>
          <w:rtl/>
        </w:rPr>
        <w:t>ל</w:t>
      </w:r>
      <w:r w:rsidR="00667134">
        <w:rPr>
          <w:rFonts w:ascii="David" w:hAnsi="David" w:cs="David" w:hint="cs"/>
          <w:sz w:val="24"/>
          <w:szCs w:val="24"/>
          <w:rtl/>
        </w:rPr>
        <w:t xml:space="preserve">טווחים </w:t>
      </w:r>
      <w:r w:rsidR="0055710B">
        <w:rPr>
          <w:rFonts w:ascii="David" w:hAnsi="David" w:cs="David" w:hint="cs"/>
          <w:sz w:val="24"/>
          <w:szCs w:val="24"/>
          <w:rtl/>
        </w:rPr>
        <w:t>של למעלה משבוע</w:t>
      </w:r>
      <w:r w:rsidR="00037B1D">
        <w:rPr>
          <w:rFonts w:ascii="David" w:hAnsi="David" w:cs="David" w:hint="cs"/>
          <w:sz w:val="24"/>
          <w:szCs w:val="24"/>
          <w:rtl/>
        </w:rPr>
        <w:t>. בנק ישראל ימשיך להפעיל כלי זה כל עוד הלחצי</w:t>
      </w:r>
      <w:r w:rsidR="002E5D19">
        <w:rPr>
          <w:rFonts w:ascii="David" w:hAnsi="David" w:cs="David" w:hint="cs"/>
          <w:sz w:val="24"/>
          <w:szCs w:val="24"/>
          <w:rtl/>
        </w:rPr>
        <w:t>ם לנזילות דולרית ימשיכו להיות גבוהים מאוד.</w:t>
      </w:r>
      <w:r w:rsidR="00037B1D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2E5D19" w:rsidRDefault="002E5D19" w:rsidP="0055710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יצוין שכלי זה מופעל על ידי שימוש ביתרות המט"ח </w:t>
      </w:r>
      <w:r w:rsidR="0055710B">
        <w:rPr>
          <w:rFonts w:ascii="David" w:hAnsi="David" w:cs="David" w:hint="cs"/>
          <w:sz w:val="24"/>
          <w:szCs w:val="24"/>
          <w:rtl/>
        </w:rPr>
        <w:t xml:space="preserve">שבנק ישראל צבר </w:t>
      </w:r>
      <w:r w:rsidR="00667134">
        <w:rPr>
          <w:rFonts w:ascii="David" w:hAnsi="David" w:cs="David" w:hint="cs"/>
          <w:sz w:val="24"/>
          <w:szCs w:val="24"/>
          <w:rtl/>
        </w:rPr>
        <w:t xml:space="preserve"> בשנים האחרונות</w:t>
      </w:r>
      <w:r w:rsidR="0055710B">
        <w:rPr>
          <w:rFonts w:ascii="David" w:hAnsi="David" w:cs="David" w:hint="cs"/>
          <w:sz w:val="24"/>
          <w:szCs w:val="24"/>
          <w:rtl/>
        </w:rPr>
        <w:t xml:space="preserve">. רמת היתרות הגבוהה </w:t>
      </w:r>
      <w:r>
        <w:rPr>
          <w:rFonts w:ascii="David" w:hAnsi="David" w:cs="David" w:hint="cs"/>
          <w:sz w:val="24"/>
          <w:szCs w:val="24"/>
          <w:rtl/>
        </w:rPr>
        <w:t xml:space="preserve">מאפשרת </w:t>
      </w:r>
      <w:r w:rsidR="0055710B">
        <w:rPr>
          <w:rFonts w:ascii="David" w:hAnsi="David" w:cs="David" w:hint="cs"/>
          <w:sz w:val="24"/>
          <w:szCs w:val="24"/>
          <w:rtl/>
        </w:rPr>
        <w:t xml:space="preserve">את </w:t>
      </w:r>
      <w:r>
        <w:rPr>
          <w:rFonts w:ascii="David" w:hAnsi="David" w:cs="David" w:hint="cs"/>
          <w:sz w:val="24"/>
          <w:szCs w:val="24"/>
          <w:rtl/>
        </w:rPr>
        <w:t xml:space="preserve">הספקת </w:t>
      </w:r>
      <w:r w:rsidR="0055710B"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 xml:space="preserve">נזילות </w:t>
      </w:r>
      <w:r w:rsidR="0055710B">
        <w:rPr>
          <w:rFonts w:ascii="David" w:hAnsi="David" w:cs="David" w:hint="cs"/>
          <w:sz w:val="24"/>
          <w:szCs w:val="24"/>
          <w:rtl/>
        </w:rPr>
        <w:t xml:space="preserve">הנדרשת </w:t>
      </w:r>
      <w:r w:rsidR="00667134">
        <w:rPr>
          <w:rFonts w:ascii="David" w:hAnsi="David" w:cs="David" w:hint="cs"/>
          <w:sz w:val="24"/>
          <w:szCs w:val="24"/>
          <w:rtl/>
        </w:rPr>
        <w:t>למערכת הפיננסית המקומית</w:t>
      </w:r>
      <w:r>
        <w:rPr>
          <w:rFonts w:ascii="David" w:hAnsi="David" w:cs="David" w:hint="cs"/>
          <w:sz w:val="24"/>
          <w:szCs w:val="24"/>
          <w:rtl/>
        </w:rPr>
        <w:t xml:space="preserve"> באופן יעיל.</w:t>
      </w:r>
    </w:p>
    <w:p w:rsidR="00563B89" w:rsidRPr="00563B89" w:rsidRDefault="00563B89" w:rsidP="00CC52F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63B89">
        <w:rPr>
          <w:rFonts w:ascii="David" w:hAnsi="David" w:cs="David"/>
          <w:sz w:val="24"/>
          <w:szCs w:val="24"/>
          <w:rtl/>
        </w:rPr>
        <w:t>כלי</w:t>
      </w:r>
      <w:r w:rsidR="002E5D19">
        <w:rPr>
          <w:rFonts w:ascii="David" w:hAnsi="David" w:cs="David" w:hint="cs"/>
          <w:sz w:val="24"/>
          <w:szCs w:val="24"/>
          <w:rtl/>
        </w:rPr>
        <w:t xml:space="preserve"> זה</w:t>
      </w:r>
      <w:r w:rsidRPr="00563B89">
        <w:rPr>
          <w:rFonts w:ascii="David" w:hAnsi="David" w:cs="David"/>
          <w:sz w:val="24"/>
          <w:szCs w:val="24"/>
          <w:rtl/>
        </w:rPr>
        <w:t xml:space="preserve"> מתווס</w:t>
      </w:r>
      <w:r w:rsidR="002E5D19">
        <w:rPr>
          <w:rFonts w:ascii="David" w:hAnsi="David" w:cs="David" w:hint="cs"/>
          <w:sz w:val="24"/>
          <w:szCs w:val="24"/>
          <w:rtl/>
        </w:rPr>
        <w:t>ף</w:t>
      </w:r>
      <w:r w:rsidRPr="00563B89">
        <w:rPr>
          <w:rFonts w:ascii="David" w:hAnsi="David" w:cs="David"/>
          <w:sz w:val="24"/>
          <w:szCs w:val="24"/>
          <w:rtl/>
        </w:rPr>
        <w:t xml:space="preserve"> למכלול הכלים בהם בנק ישראל משתמש על מנת להשיג את מטרותיו: יציבות מחירים, תמיכה ב</w:t>
      </w:r>
      <w:r w:rsidRPr="00563B89">
        <w:rPr>
          <w:rFonts w:ascii="David" w:hAnsi="David" w:cs="David" w:hint="cs"/>
          <w:sz w:val="24"/>
          <w:szCs w:val="24"/>
          <w:rtl/>
        </w:rPr>
        <w:t>מדיניות הכלכלית של הממשלה וב</w:t>
      </w:r>
      <w:r w:rsidRPr="00563B89">
        <w:rPr>
          <w:rFonts w:ascii="David" w:hAnsi="David" w:cs="David"/>
          <w:sz w:val="24"/>
          <w:szCs w:val="24"/>
          <w:rtl/>
        </w:rPr>
        <w:t>יציבות המערכת הפיננסית.</w:t>
      </w:r>
    </w:p>
    <w:p w:rsidR="00785BFF" w:rsidRPr="00D410A1" w:rsidRDefault="00563B89" w:rsidP="00CC52F9">
      <w:p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563B89">
        <w:rPr>
          <w:rFonts w:ascii="David" w:hAnsi="David" w:cs="David"/>
          <w:sz w:val="24"/>
          <w:szCs w:val="24"/>
          <w:rtl/>
        </w:rPr>
        <w:t xml:space="preserve">בנק ישראל </w:t>
      </w:r>
      <w:r w:rsidR="002E5D19">
        <w:rPr>
          <w:rFonts w:ascii="David" w:hAnsi="David" w:cs="David"/>
          <w:sz w:val="24"/>
          <w:szCs w:val="24"/>
          <w:rtl/>
        </w:rPr>
        <w:t>יבחן מעת לעת את דרכי הפעולה בכל</w:t>
      </w:r>
      <w:r w:rsidR="002E5D19">
        <w:rPr>
          <w:rFonts w:ascii="David" w:hAnsi="David" w:cs="David" w:hint="cs"/>
          <w:sz w:val="24"/>
          <w:szCs w:val="24"/>
          <w:rtl/>
        </w:rPr>
        <w:t>י זה</w:t>
      </w:r>
      <w:r w:rsidRPr="00563B89">
        <w:rPr>
          <w:rFonts w:ascii="David" w:hAnsi="David" w:cs="David"/>
          <w:sz w:val="24"/>
          <w:szCs w:val="24"/>
          <w:rtl/>
        </w:rPr>
        <w:t xml:space="preserve"> ויתאים אותן לפי הצורך</w:t>
      </w:r>
      <w:r w:rsidR="0055710B">
        <w:rPr>
          <w:rFonts w:ascii="David" w:hAnsi="David" w:cs="David" w:hint="cs"/>
          <w:sz w:val="24"/>
          <w:szCs w:val="24"/>
          <w:rtl/>
        </w:rPr>
        <w:t>, ויוסיף לנקוט במגוון צעדי המדיניות שעומדים לרשותו ככל שיידרש</w:t>
      </w:r>
      <w:r w:rsidRPr="00563B89">
        <w:rPr>
          <w:rFonts w:ascii="David" w:hAnsi="David" w:cs="David"/>
          <w:sz w:val="24"/>
          <w:szCs w:val="24"/>
          <w:rtl/>
        </w:rPr>
        <w:t>.</w:t>
      </w:r>
    </w:p>
    <w:sectPr w:rsidR="00785BFF" w:rsidRPr="00D410A1" w:rsidSect="0044062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3D7"/>
    <w:multiLevelType w:val="hybridMultilevel"/>
    <w:tmpl w:val="35DEF144"/>
    <w:lvl w:ilvl="0" w:tplc="2B7A4DF6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74FD6"/>
    <w:multiLevelType w:val="hybridMultilevel"/>
    <w:tmpl w:val="14FEAFAE"/>
    <w:lvl w:ilvl="0" w:tplc="FEE08AB8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A1"/>
    <w:rsid w:val="0000090B"/>
    <w:rsid w:val="000017C3"/>
    <w:rsid w:val="00037B1D"/>
    <w:rsid w:val="00050058"/>
    <w:rsid w:val="00073935"/>
    <w:rsid w:val="00081035"/>
    <w:rsid w:val="000A7F3D"/>
    <w:rsid w:val="000C3516"/>
    <w:rsid w:val="000E266A"/>
    <w:rsid w:val="000F08B9"/>
    <w:rsid w:val="0014283B"/>
    <w:rsid w:val="001538F6"/>
    <w:rsid w:val="001B6DD3"/>
    <w:rsid w:val="0020270C"/>
    <w:rsid w:val="00217BB4"/>
    <w:rsid w:val="002637E3"/>
    <w:rsid w:val="0026461C"/>
    <w:rsid w:val="00285DAA"/>
    <w:rsid w:val="002E5D19"/>
    <w:rsid w:val="00325EA8"/>
    <w:rsid w:val="00336E9C"/>
    <w:rsid w:val="003627AB"/>
    <w:rsid w:val="00375302"/>
    <w:rsid w:val="003A5AB9"/>
    <w:rsid w:val="004145FB"/>
    <w:rsid w:val="0044062F"/>
    <w:rsid w:val="00453187"/>
    <w:rsid w:val="004A1E4A"/>
    <w:rsid w:val="004C40D8"/>
    <w:rsid w:val="00531321"/>
    <w:rsid w:val="00545383"/>
    <w:rsid w:val="0055710B"/>
    <w:rsid w:val="00563B89"/>
    <w:rsid w:val="00596D70"/>
    <w:rsid w:val="005B57CF"/>
    <w:rsid w:val="00666B60"/>
    <w:rsid w:val="00667134"/>
    <w:rsid w:val="006A4EF8"/>
    <w:rsid w:val="00762877"/>
    <w:rsid w:val="007817F2"/>
    <w:rsid w:val="00785BFF"/>
    <w:rsid w:val="007870DA"/>
    <w:rsid w:val="0078710A"/>
    <w:rsid w:val="007A410D"/>
    <w:rsid w:val="007A6429"/>
    <w:rsid w:val="007D2886"/>
    <w:rsid w:val="00873DFD"/>
    <w:rsid w:val="00877ABA"/>
    <w:rsid w:val="008C083F"/>
    <w:rsid w:val="008E7705"/>
    <w:rsid w:val="009B0570"/>
    <w:rsid w:val="009D1227"/>
    <w:rsid w:val="009E3ED4"/>
    <w:rsid w:val="00A31097"/>
    <w:rsid w:val="00A542ED"/>
    <w:rsid w:val="00A631D3"/>
    <w:rsid w:val="00A63A97"/>
    <w:rsid w:val="00AF536D"/>
    <w:rsid w:val="00B16769"/>
    <w:rsid w:val="00B16DC9"/>
    <w:rsid w:val="00B225DE"/>
    <w:rsid w:val="00B6781D"/>
    <w:rsid w:val="00BA523B"/>
    <w:rsid w:val="00C11D08"/>
    <w:rsid w:val="00C56CFE"/>
    <w:rsid w:val="00CC52F9"/>
    <w:rsid w:val="00D05379"/>
    <w:rsid w:val="00D410A1"/>
    <w:rsid w:val="00D53B69"/>
    <w:rsid w:val="00D65F53"/>
    <w:rsid w:val="00D77948"/>
    <w:rsid w:val="00E101C4"/>
    <w:rsid w:val="00E45C72"/>
    <w:rsid w:val="00E55B7B"/>
    <w:rsid w:val="00E86D0E"/>
    <w:rsid w:val="00ED0B4B"/>
    <w:rsid w:val="00FD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0A8D2"/>
  <w15:chartTrackingRefBased/>
  <w15:docId w15:val="{24ACC59A-D434-4931-848E-7E02EF6D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0A1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BFF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563B89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7F3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0A7F3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817</Characters>
  <Application>Microsoft Office Word</Application>
  <DocSecurity>4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יפעת כהן סידי</dc:creator>
  <cp:keywords/>
  <dc:description/>
  <cp:lastModifiedBy>יפעת כהן סידי</cp:lastModifiedBy>
  <cp:revision>2</cp:revision>
  <dcterms:created xsi:type="dcterms:W3CDTF">2020-03-18T13:53:00Z</dcterms:created>
  <dcterms:modified xsi:type="dcterms:W3CDTF">2020-03-18T13:53:00Z</dcterms:modified>
</cp:coreProperties>
</file>